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5C17" w14:textId="77777777" w:rsidR="00135F99" w:rsidRPr="00205340" w:rsidRDefault="009147A1" w:rsidP="001238FA">
      <w:pPr>
        <w:pStyle w:val="Heading1"/>
        <w:numPr>
          <w:ilvl w:val="0"/>
          <w:numId w:val="0"/>
        </w:numPr>
        <w:pBdr>
          <w:bottom w:val="none" w:sz="0" w:space="0" w:color="auto"/>
        </w:pBdr>
        <w:spacing w:before="0" w:after="360"/>
        <w:ind w:left="426"/>
        <w:jc w:val="center"/>
        <w:rPr>
          <w:rFonts w:ascii="Arial" w:hAnsi="Arial" w:cs="Arial"/>
          <w:b/>
          <w:color w:val="000080"/>
          <w:sz w:val="36"/>
          <w:szCs w:val="36"/>
        </w:rPr>
      </w:pPr>
      <w:bookmarkStart w:id="0" w:name="_Hlk219387197"/>
      <w:r w:rsidRPr="00205340">
        <w:rPr>
          <w:rFonts w:ascii="Arial" w:hAnsi="Arial" w:cs="Arial"/>
          <w:b/>
          <w:bCs/>
          <w:color w:val="000080"/>
          <w:sz w:val="36"/>
          <w:szCs w:val="36"/>
        </w:rPr>
        <w:t xml:space="preserve">Medical Services Advisory Committee (MSAC) </w:t>
      </w:r>
      <w:r w:rsidR="00135F99" w:rsidRPr="00205340">
        <w:rPr>
          <w:rFonts w:ascii="Arial" w:hAnsi="Arial" w:cs="Arial"/>
          <w:b/>
          <w:bCs/>
          <w:color w:val="000080"/>
          <w:sz w:val="36"/>
          <w:szCs w:val="36"/>
        </w:rPr>
        <w:t>Public Summary Document</w:t>
      </w:r>
    </w:p>
    <w:bookmarkEnd w:id="0"/>
    <w:p w14:paraId="7A128FDE" w14:textId="30CCC0E7" w:rsidR="00772829" w:rsidRPr="00205340" w:rsidRDefault="00772829" w:rsidP="00772829">
      <w:pPr>
        <w:pStyle w:val="Subtitle"/>
      </w:pPr>
      <w:r w:rsidRPr="00205340">
        <w:t xml:space="preserve">Application No. </w:t>
      </w:r>
      <w:r w:rsidR="006C4FA3" w:rsidRPr="00205340">
        <w:t>1806 – Marstacimab for routine prophylaxis to prevent bleeding in patients with Haemophilia</w:t>
      </w:r>
    </w:p>
    <w:p w14:paraId="35263561" w14:textId="0CEDAA0D" w:rsidR="00772829" w:rsidRPr="00205340" w:rsidRDefault="00772829" w:rsidP="00772829">
      <w:pPr>
        <w:tabs>
          <w:tab w:val="left" w:pos="3686"/>
        </w:tabs>
        <w:spacing w:after="240"/>
        <w:rPr>
          <w:rFonts w:ascii="Arial" w:hAnsi="Arial" w:cs="Arial"/>
          <w:b/>
          <w:szCs w:val="24"/>
        </w:rPr>
      </w:pPr>
      <w:r w:rsidRPr="00205340">
        <w:rPr>
          <w:rFonts w:ascii="Arial" w:hAnsi="Arial" w:cs="Arial"/>
          <w:b/>
          <w:szCs w:val="24"/>
        </w:rPr>
        <w:t>Applicant:</w:t>
      </w:r>
      <w:r w:rsidRPr="00205340">
        <w:rPr>
          <w:rFonts w:ascii="Arial" w:hAnsi="Arial" w:cs="Arial"/>
          <w:b/>
          <w:szCs w:val="24"/>
        </w:rPr>
        <w:tab/>
      </w:r>
      <w:r w:rsidR="006C4FA3" w:rsidRPr="00205340">
        <w:rPr>
          <w:rFonts w:ascii="Arial" w:hAnsi="Arial" w:cs="Arial"/>
          <w:b/>
          <w:szCs w:val="24"/>
        </w:rPr>
        <w:t>Pfizer Australia Pty Ltd</w:t>
      </w:r>
    </w:p>
    <w:p w14:paraId="333345CB" w14:textId="2FA402CF" w:rsidR="00377AC8" w:rsidRPr="00205340" w:rsidRDefault="00772829" w:rsidP="00135F99">
      <w:pPr>
        <w:tabs>
          <w:tab w:val="left" w:pos="3686"/>
        </w:tabs>
        <w:spacing w:after="120"/>
        <w:rPr>
          <w:rFonts w:ascii="Arial" w:hAnsi="Arial" w:cs="Arial"/>
          <w:b/>
          <w:szCs w:val="24"/>
        </w:rPr>
      </w:pPr>
      <w:r w:rsidRPr="00205340">
        <w:rPr>
          <w:rFonts w:ascii="Arial" w:hAnsi="Arial" w:cs="Arial"/>
          <w:b/>
          <w:szCs w:val="24"/>
        </w:rPr>
        <w:t xml:space="preserve">Date of </w:t>
      </w:r>
      <w:r w:rsidR="00135F99" w:rsidRPr="00205340">
        <w:rPr>
          <w:rFonts w:ascii="Arial" w:hAnsi="Arial" w:cs="Arial"/>
          <w:b/>
          <w:szCs w:val="24"/>
        </w:rPr>
        <w:t>MSAC</w:t>
      </w:r>
      <w:r w:rsidRPr="00205340">
        <w:rPr>
          <w:rFonts w:ascii="Arial" w:hAnsi="Arial" w:cs="Arial"/>
          <w:b/>
          <w:szCs w:val="24"/>
        </w:rPr>
        <w:t xml:space="preserve"> consideration:</w:t>
      </w:r>
      <w:r w:rsidRPr="00205340">
        <w:rPr>
          <w:rFonts w:ascii="Arial" w:hAnsi="Arial" w:cs="Arial"/>
          <w:b/>
          <w:szCs w:val="24"/>
        </w:rPr>
        <w:tab/>
      </w:r>
      <w:r w:rsidR="00135F99" w:rsidRPr="00205340">
        <w:rPr>
          <w:rFonts w:ascii="Arial" w:hAnsi="Arial" w:cs="Arial"/>
          <w:b/>
          <w:szCs w:val="24"/>
        </w:rPr>
        <w:t>1 April</w:t>
      </w:r>
      <w:r w:rsidR="00987954" w:rsidRPr="00205340">
        <w:rPr>
          <w:rFonts w:ascii="Arial" w:hAnsi="Arial" w:cs="Arial"/>
          <w:b/>
          <w:szCs w:val="24"/>
        </w:rPr>
        <w:t xml:space="preserve"> 2026</w:t>
      </w:r>
    </w:p>
    <w:p w14:paraId="73A09C9E" w14:textId="16A83D64" w:rsidR="00135F99" w:rsidRPr="00205340" w:rsidRDefault="00135F99" w:rsidP="00135F99">
      <w:pPr>
        <w:spacing w:before="0" w:after="200"/>
        <w:rPr>
          <w:color w:val="0000FF"/>
          <w:u w:val="single"/>
        </w:rPr>
      </w:pPr>
      <w:bookmarkStart w:id="1" w:name="_Hlk194308493"/>
      <w:r w:rsidRPr="00205340">
        <w:t xml:space="preserve">Context for decision: MSAC makes its advice in accordance with its Terms of Reference, </w:t>
      </w:r>
      <w:hyperlink r:id="rId8" w:tooltip="Link to Medical Services Advisory Committee website" w:history="1">
        <w:r w:rsidRPr="00205340">
          <w:rPr>
            <w:color w:val="007BB8"/>
            <w:u w:val="single"/>
          </w:rPr>
          <w:t>visit the MSAC website</w:t>
        </w:r>
      </w:hyperlink>
      <w:bookmarkEnd w:id="1"/>
    </w:p>
    <w:p w14:paraId="7EAA7262" w14:textId="31B132C6" w:rsidR="00772829" w:rsidRPr="00205340" w:rsidRDefault="00772829" w:rsidP="005C116D">
      <w:pPr>
        <w:pStyle w:val="Heading2"/>
        <w:numPr>
          <w:ilvl w:val="0"/>
          <w:numId w:val="29"/>
        </w:numPr>
        <w:ind w:hanging="720"/>
      </w:pPr>
      <w:bookmarkStart w:id="2" w:name="_Toc69491415"/>
      <w:r w:rsidRPr="00205340">
        <w:t xml:space="preserve">Purpose </w:t>
      </w:r>
      <w:r w:rsidRPr="00205340">
        <w:rPr>
          <w:szCs w:val="32"/>
        </w:rPr>
        <w:t>of</w:t>
      </w:r>
      <w:r w:rsidRPr="00205340">
        <w:t xml:space="preserve"> application</w:t>
      </w:r>
      <w:bookmarkEnd w:id="2"/>
    </w:p>
    <w:p w14:paraId="552D1098" w14:textId="5ABC1ED7" w:rsidR="00681C4D" w:rsidRPr="00205340" w:rsidRDefault="00681C4D" w:rsidP="00772829">
      <w:pPr>
        <w:spacing w:after="240"/>
      </w:pPr>
      <w:bookmarkStart w:id="3" w:name="_Hlk69734469"/>
      <w:r w:rsidRPr="00205340">
        <w:t xml:space="preserve">An application </w:t>
      </w:r>
      <w:r w:rsidR="006C1556" w:rsidRPr="00205340">
        <w:t xml:space="preserve">was received by the Department of Health, Disability and Ageing, from Pfizer Australia Pty Ltd, </w:t>
      </w:r>
      <w:r w:rsidRPr="00205340">
        <w:t xml:space="preserve">requesting </w:t>
      </w:r>
      <w:proofErr w:type="spellStart"/>
      <w:r w:rsidRPr="00205340">
        <w:t>Hympavzi</w:t>
      </w:r>
      <w:proofErr w:type="spellEnd"/>
      <w:r w:rsidRPr="00205340">
        <w:t>® (</w:t>
      </w:r>
      <w:r w:rsidR="006C1556" w:rsidRPr="00205340">
        <w:t xml:space="preserve">subsequently </w:t>
      </w:r>
      <w:r w:rsidRPr="00205340">
        <w:t xml:space="preserve">referred </w:t>
      </w:r>
      <w:r w:rsidR="005D6C1A" w:rsidRPr="00205340">
        <w:t xml:space="preserve">to </w:t>
      </w:r>
      <w:r w:rsidRPr="00205340">
        <w:t xml:space="preserve">as marstacimab) be publicly funded under the National Blood Agreement via </w:t>
      </w:r>
      <w:r w:rsidR="006B5545" w:rsidRPr="00205340">
        <w:t xml:space="preserve">listing </w:t>
      </w:r>
      <w:r w:rsidR="00DE270F" w:rsidRPr="00205340">
        <w:t>on</w:t>
      </w:r>
      <w:r w:rsidR="006B5545" w:rsidRPr="00205340">
        <w:t xml:space="preserve"> </w:t>
      </w:r>
      <w:r w:rsidRPr="00205340">
        <w:t xml:space="preserve">the National Product Price List (NPPL), </w:t>
      </w:r>
      <w:r w:rsidR="005363C2" w:rsidRPr="00205340">
        <w:t xml:space="preserve">to prevent bleeding in patients with </w:t>
      </w:r>
      <w:r w:rsidR="00F96651" w:rsidRPr="00205340">
        <w:t xml:space="preserve">severe </w:t>
      </w:r>
      <w:r w:rsidR="005363C2" w:rsidRPr="00205340">
        <w:t>Haemophilia</w:t>
      </w:r>
      <w:r w:rsidR="00E94339" w:rsidRPr="00205340">
        <w:t xml:space="preserve"> A (HMA) and Haemophilia B (HMB)</w:t>
      </w:r>
      <w:r w:rsidR="0057712C" w:rsidRPr="00205340">
        <w:t>, who are without</w:t>
      </w:r>
      <w:r w:rsidR="001473A0" w:rsidRPr="00205340">
        <w:t xml:space="preserve"> Factor VIII and Factor IX inhibitors (respectively)</w:t>
      </w:r>
      <w:r w:rsidR="00D62B0E" w:rsidRPr="00205340">
        <w:t>.</w:t>
      </w:r>
    </w:p>
    <w:p w14:paraId="12E2517C" w14:textId="77777777" w:rsidR="00135F99" w:rsidRPr="00205340" w:rsidRDefault="00135F99" w:rsidP="005C116D">
      <w:pPr>
        <w:pStyle w:val="Heading2"/>
        <w:numPr>
          <w:ilvl w:val="0"/>
          <w:numId w:val="29"/>
        </w:numPr>
        <w:ind w:hanging="720"/>
      </w:pPr>
      <w:r w:rsidRPr="00205340">
        <w:t>MSAC’s advice to the Minister</w:t>
      </w:r>
    </w:p>
    <w:p w14:paraId="1479F7DC" w14:textId="0D41A796" w:rsidR="00F75A51" w:rsidRPr="00205340" w:rsidRDefault="00607E1C" w:rsidP="00F75A51">
      <w:r w:rsidRPr="00205340">
        <w:t xml:space="preserve">After considering the strength of the available evidence in relation to comparative safety, clinical effectiveness, cost-effectiveness and total cost, </w:t>
      </w:r>
      <w:r w:rsidR="00F75A51" w:rsidRPr="00205340">
        <w:t xml:space="preserve">MSAC did not support public funding of marstacimab for routine prophylaxis to prevent bleeding in either patients with congenital haemophilia A (HMA) without inhibitors or congenital haemophilia B (HMB) without inhibitors.  </w:t>
      </w:r>
    </w:p>
    <w:p w14:paraId="0F5CAB30" w14:textId="2ECADC77" w:rsidR="00135F99" w:rsidRPr="00205340" w:rsidRDefault="00F75A51" w:rsidP="00F75A51">
      <w:pPr>
        <w:rPr>
          <w:szCs w:val="24"/>
        </w:rPr>
      </w:pPr>
      <w:r w:rsidRPr="00205340">
        <w:t xml:space="preserve">MSAC considered there is a clinical need for subcutaneous treatment for the HMB population, however identified that there is currently </w:t>
      </w:r>
      <w:proofErr w:type="gramStart"/>
      <w:r w:rsidRPr="00205340">
        <w:t>a number of</w:t>
      </w:r>
      <w:proofErr w:type="gramEnd"/>
      <w:r w:rsidRPr="00205340">
        <w:t xml:space="preserve"> intravenous treatment options available for this population. MSAC noted in the main trials comparing marstacimab to factor prophylaxis for patients with HMB (BASIS and BASIS LTE), patients mainly used standard half-life (SHL) factor prophylaxis which does not reflect contemporary Australian clinical practice, where most Australian patients use extended half-life (EHL) factor prophylaxis. MSAC considered this made the safety and efficacy results presented in the main trials less applicable to the Australian population. MSAC considered that the use of SHL </w:t>
      </w:r>
      <w:r w:rsidR="001608FC" w:rsidRPr="00205340">
        <w:t>factor replacement</w:t>
      </w:r>
      <w:r w:rsidR="00FA4F8F" w:rsidRPr="00205340">
        <w:t xml:space="preserve"> </w:t>
      </w:r>
      <w:r w:rsidRPr="00205340">
        <w:t>in the main trial cohort likely overestimates the benefit of marstacimab. Therefore, MSAC considered there was significant uncertainty in the safety and effectiveness claims of marstacimab compared to factor prophylaxis in the HMB population. In the analysis of marstacimab compared to emicizumab for patients with HMA, MSAC was unable to substantiate the claim of non-inferior safety and effectiveness, due to critical differences between the BASIS (marstacimab) and HAVEN 3 (emicizumab) trials. MSAC considered the indirect treatment comparison of the studies were subject to differences in treatment practices across countries and changes in treatment practice over time, and unmeasured confounding, which caused uncertainty in the results.</w:t>
      </w:r>
      <w:r w:rsidRPr="00205340" w:rsidDel="00F75A51">
        <w:rPr>
          <w:szCs w:val="24"/>
        </w:rPr>
        <w:t xml:space="preserve"> </w:t>
      </w:r>
    </w:p>
    <w:p w14:paraId="161FB3E3" w14:textId="04DCDBF4" w:rsidR="00F75A51" w:rsidRPr="00205340" w:rsidRDefault="00F25CBB" w:rsidP="00F75A51">
      <w:r w:rsidRPr="00205340">
        <w:t>MSAC noted that the uncertainty in the comparative safety and effectiveness of marstacimab created high uncertainty in the economic analyses. MSAC also noted the lack of established cost-effectiveness basis for existing therapies</w:t>
      </w:r>
      <w:r w:rsidR="000023CC" w:rsidRPr="00205340">
        <w:t>, and the requirement in the MSAC Guidelines</w:t>
      </w:r>
      <w:r w:rsidR="007515AD" w:rsidRPr="00205340">
        <w:t xml:space="preserve"> 2021 for cost-effectiveness to be established for the compara</w:t>
      </w:r>
      <w:r w:rsidR="00320091" w:rsidRPr="00205340">
        <w:t>tor (TG 2.3)</w:t>
      </w:r>
      <w:r w:rsidRPr="00205340">
        <w:t xml:space="preserve">. Therefore, MSAC considered it could not determine the </w:t>
      </w:r>
      <w:r w:rsidR="00E760AC" w:rsidRPr="00205340">
        <w:t xml:space="preserve">incremental </w:t>
      </w:r>
      <w:r w:rsidRPr="00205340">
        <w:t xml:space="preserve">cost effectiveness of </w:t>
      </w:r>
      <w:r w:rsidR="003F2DEC" w:rsidRPr="00205340">
        <w:t>marstaci</w:t>
      </w:r>
      <w:r w:rsidR="00397D76" w:rsidRPr="00205340">
        <w:t>mab</w:t>
      </w:r>
      <w:r w:rsidRPr="00205340">
        <w:t xml:space="preserve">. MSAC also considered </w:t>
      </w:r>
      <w:r w:rsidRPr="00205340">
        <w:lastRenderedPageBreak/>
        <w:t xml:space="preserve">this presented a significant risk for the financial analysis, despite it </w:t>
      </w:r>
      <w:r w:rsidR="00361244" w:rsidRPr="00205340">
        <w:t xml:space="preserve">appearing to </w:t>
      </w:r>
      <w:r w:rsidRPr="00205340">
        <w:t xml:space="preserve">result in a potentially low overall financial cost. MSAC considered that a resubmission would require evidence that demonstrates the comparative safety and effectiveness of marstacimab, in both or either population, that is generalisable to the Australian clinical setting.  </w:t>
      </w:r>
    </w:p>
    <w:p w14:paraId="39D4B3D4" w14:textId="675BEAAD" w:rsidR="000C531D" w:rsidRPr="00205340" w:rsidRDefault="000C531D" w:rsidP="00F75A51">
      <w:r w:rsidRPr="00205340">
        <w:t>MSAC advised the NBA to undertake an evaluation of existing haemophilia products that have not undergone a health technology assessment, to establish cost-effective prices, as the cost-effectiveness of these products has not yet been established.</w:t>
      </w:r>
    </w:p>
    <w:tbl>
      <w:tblPr>
        <w:tblStyle w:val="Section3-footno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35F99" w:rsidRPr="00205340" w14:paraId="72A7EC2C" w14:textId="77777777" w:rsidTr="3B1805F0">
        <w:trPr>
          <w:tblHeader/>
        </w:trPr>
        <w:tc>
          <w:tcPr>
            <w:tcW w:w="9016" w:type="dxa"/>
          </w:tcPr>
          <w:p w14:paraId="711FF932" w14:textId="77777777" w:rsidR="00135F99" w:rsidRPr="00205340" w:rsidRDefault="00135F99">
            <w:pPr>
              <w:keepNext/>
              <w:keepLines/>
              <w:spacing w:before="40" w:after="40" w:line="259" w:lineRule="auto"/>
              <w:rPr>
                <w:rFonts w:eastAsia="Calibri"/>
                <w:b/>
                <w:bCs/>
              </w:rPr>
            </w:pPr>
            <w:r w:rsidRPr="00205340">
              <w:rPr>
                <w:b/>
                <w:bCs/>
              </w:rPr>
              <w:t>Consumer summary</w:t>
            </w:r>
          </w:p>
        </w:tc>
      </w:tr>
      <w:tr w:rsidR="00135F99" w:rsidRPr="00205340" w14:paraId="2E5EC71C" w14:textId="77777777" w:rsidTr="3B1805F0">
        <w:tc>
          <w:tcPr>
            <w:tcW w:w="9016" w:type="dxa"/>
          </w:tcPr>
          <w:p w14:paraId="46FC00E6" w14:textId="1A4B4B88" w:rsidR="00DC7414" w:rsidRPr="00205340" w:rsidRDefault="00DC7414" w:rsidP="00DC7414">
            <w:r w:rsidRPr="00205340">
              <w:t>This application from Pfizer Australia request</w:t>
            </w:r>
            <w:r w:rsidR="00DB42E1" w:rsidRPr="00205340">
              <w:t>ed</w:t>
            </w:r>
            <w:r w:rsidRPr="00205340">
              <w:t xml:space="preserve"> listing of marstacimab on the National Blood Authority’s National Product Price List for</w:t>
            </w:r>
            <w:r w:rsidR="00252728" w:rsidRPr="00205340">
              <w:t xml:space="preserve"> the treatment of</w:t>
            </w:r>
            <w:r w:rsidRPr="00205340">
              <w:t xml:space="preserve"> people aged 12 years or over with severe haemophilia A or haemophilia B, without inhibitors.</w:t>
            </w:r>
          </w:p>
          <w:p w14:paraId="4CBB59DC" w14:textId="5EE90B19" w:rsidR="00DC7414" w:rsidRPr="00205340" w:rsidRDefault="00DC7414" w:rsidP="00DC7414">
            <w:r w:rsidRPr="00205340">
              <w:t>Haemophilia A and haemophilia B are</w:t>
            </w:r>
            <w:r w:rsidR="009A6F53" w:rsidRPr="00205340">
              <w:t xml:space="preserve"> inherited</w:t>
            </w:r>
            <w:r w:rsidRPr="00205340">
              <w:t xml:space="preserve"> bleeding conditions </w:t>
            </w:r>
            <w:r w:rsidR="00C522E0" w:rsidRPr="00205340">
              <w:t xml:space="preserve">where </w:t>
            </w:r>
            <w:r w:rsidR="00F148AA" w:rsidRPr="00205340">
              <w:t>a</w:t>
            </w:r>
            <w:r w:rsidRPr="00205340">
              <w:t xml:space="preserve"> person’s blood does not clot properly. </w:t>
            </w:r>
            <w:r w:rsidR="00E503DF" w:rsidRPr="00205340">
              <w:t>P</w:t>
            </w:r>
            <w:r w:rsidR="009908B7" w:rsidRPr="00205340">
              <w:t>eople</w:t>
            </w:r>
            <w:r w:rsidR="00E503DF" w:rsidRPr="00205340">
              <w:t xml:space="preserve"> with h</w:t>
            </w:r>
            <w:r w:rsidRPr="00205340">
              <w:t>aemophilia</w:t>
            </w:r>
            <w:r w:rsidR="00CC3E38" w:rsidRPr="00205340">
              <w:t xml:space="preserve"> lack certain proteins</w:t>
            </w:r>
            <w:r w:rsidR="005340F9" w:rsidRPr="00205340">
              <w:t>,</w:t>
            </w:r>
            <w:r w:rsidR="009B2EC7" w:rsidRPr="00205340">
              <w:t xml:space="preserve"> called blood clotting factors,</w:t>
            </w:r>
            <w:r w:rsidR="00CC3E38" w:rsidRPr="00205340">
              <w:t xml:space="preserve"> that are needed for blood to clot properly</w:t>
            </w:r>
            <w:r w:rsidR="00DF0C85" w:rsidRPr="00205340">
              <w:t>. Specifically, p</w:t>
            </w:r>
            <w:r w:rsidR="009908B7" w:rsidRPr="00205340">
              <w:t>eople</w:t>
            </w:r>
            <w:r w:rsidR="00DF0C85" w:rsidRPr="00205340">
              <w:t xml:space="preserve"> with </w:t>
            </w:r>
            <w:r w:rsidR="009908B7" w:rsidRPr="00205340">
              <w:t>h</w:t>
            </w:r>
            <w:r w:rsidR="00DF0C85" w:rsidRPr="00205340">
              <w:t xml:space="preserve">aemophilia A have low levels of </w:t>
            </w:r>
            <w:r w:rsidR="52711932" w:rsidRPr="00205340">
              <w:t>F</w:t>
            </w:r>
            <w:r w:rsidRPr="00205340">
              <w:t xml:space="preserve">actor VIII [8] and </w:t>
            </w:r>
            <w:r w:rsidR="00F25026" w:rsidRPr="00205340">
              <w:t>p</w:t>
            </w:r>
            <w:r w:rsidR="009908B7" w:rsidRPr="00205340">
              <w:t xml:space="preserve">eople with haemophilia B have low levels of </w:t>
            </w:r>
            <w:r w:rsidR="00DB6EB1" w:rsidRPr="00205340">
              <w:t>F</w:t>
            </w:r>
            <w:r w:rsidRPr="00205340">
              <w:t xml:space="preserve">actor IX [9]. </w:t>
            </w:r>
            <w:r w:rsidR="00D34AD6" w:rsidRPr="00205340">
              <w:t xml:space="preserve">The low levels of </w:t>
            </w:r>
            <w:r w:rsidR="00DB6EB1" w:rsidRPr="00205340">
              <w:t>F</w:t>
            </w:r>
            <w:r w:rsidR="00D34AD6" w:rsidRPr="00205340">
              <w:t xml:space="preserve">actor VIII or </w:t>
            </w:r>
            <w:r w:rsidR="00DB6EB1" w:rsidRPr="00205340">
              <w:t>F</w:t>
            </w:r>
            <w:r w:rsidR="00D34AD6" w:rsidRPr="00205340">
              <w:t>actor IX is</w:t>
            </w:r>
            <w:r w:rsidR="009D12EC" w:rsidRPr="00205340">
              <w:t xml:space="preserve"> commonly caused by a </w:t>
            </w:r>
            <w:r w:rsidR="00C9738D" w:rsidRPr="00205340">
              <w:t>variation in the gene that codes the</w:t>
            </w:r>
            <w:r w:rsidR="00D34AD6" w:rsidRPr="00205340">
              <w:t>se proteins</w:t>
            </w:r>
            <w:r w:rsidR="005556F5" w:rsidRPr="00205340">
              <w:t>.</w:t>
            </w:r>
            <w:r w:rsidR="00C9738D" w:rsidRPr="00205340">
              <w:t xml:space="preserve"> </w:t>
            </w:r>
            <w:r w:rsidRPr="00205340">
              <w:t>People with haemophilia bleed for longer than usual and may have sudden, painful bleeding in their joints or muscles.</w:t>
            </w:r>
          </w:p>
          <w:p w14:paraId="4A7332C0" w14:textId="4F8DBBB5" w:rsidR="00DC7414" w:rsidRPr="00205340" w:rsidRDefault="00DC7414" w:rsidP="00DC7414">
            <w:pPr>
              <w:rPr>
                <w:bCs/>
              </w:rPr>
            </w:pPr>
            <w:r w:rsidRPr="00205340">
              <w:rPr>
                <w:bCs/>
              </w:rPr>
              <w:t xml:space="preserve">Haemophilia is usually treated by replacing the missing blood clotting factors, </w:t>
            </w:r>
            <w:r w:rsidR="00C81C70" w:rsidRPr="00205340">
              <w:rPr>
                <w:bCs/>
              </w:rPr>
              <w:t xml:space="preserve">through </w:t>
            </w:r>
            <w:r w:rsidRPr="00205340">
              <w:rPr>
                <w:bCs/>
              </w:rPr>
              <w:t xml:space="preserve">either </w:t>
            </w:r>
            <w:r w:rsidR="00C81C70" w:rsidRPr="00205340">
              <w:rPr>
                <w:bCs/>
              </w:rPr>
              <w:t xml:space="preserve">an </w:t>
            </w:r>
            <w:r w:rsidR="00BE22AD" w:rsidRPr="00205340">
              <w:rPr>
                <w:bCs/>
              </w:rPr>
              <w:t xml:space="preserve">injection </w:t>
            </w:r>
            <w:r w:rsidR="00C81C70" w:rsidRPr="00205340">
              <w:rPr>
                <w:bCs/>
              </w:rPr>
              <w:t xml:space="preserve">of </w:t>
            </w:r>
            <w:r w:rsidR="00BE22AD" w:rsidRPr="00205340">
              <w:rPr>
                <w:bCs/>
              </w:rPr>
              <w:t xml:space="preserve">the </w:t>
            </w:r>
            <w:r w:rsidR="002E3016" w:rsidRPr="00205340">
              <w:rPr>
                <w:bCs/>
              </w:rPr>
              <w:t>therapies into a vein</w:t>
            </w:r>
            <w:r w:rsidRPr="00205340">
              <w:rPr>
                <w:bCs/>
              </w:rPr>
              <w:t xml:space="preserve"> </w:t>
            </w:r>
            <w:r w:rsidR="002E3016" w:rsidRPr="00205340">
              <w:rPr>
                <w:bCs/>
              </w:rPr>
              <w:t>(</w:t>
            </w:r>
            <w:r w:rsidRPr="00205340">
              <w:rPr>
                <w:bCs/>
              </w:rPr>
              <w:t>intravenous</w:t>
            </w:r>
            <w:r w:rsidR="002E3016" w:rsidRPr="00205340">
              <w:rPr>
                <w:bCs/>
              </w:rPr>
              <w:t>)</w:t>
            </w:r>
            <w:r w:rsidRPr="00205340">
              <w:rPr>
                <w:bCs/>
              </w:rPr>
              <w:t xml:space="preserve"> or </w:t>
            </w:r>
            <w:r w:rsidR="002E3016" w:rsidRPr="00205340">
              <w:rPr>
                <w:bCs/>
              </w:rPr>
              <w:t xml:space="preserve">into </w:t>
            </w:r>
            <w:r w:rsidR="00C81C70" w:rsidRPr="00205340">
              <w:rPr>
                <w:bCs/>
              </w:rPr>
              <w:t>tissue just under the skin (</w:t>
            </w:r>
            <w:r w:rsidRPr="00205340">
              <w:rPr>
                <w:bCs/>
              </w:rPr>
              <w:t>subcutaneous</w:t>
            </w:r>
            <w:r w:rsidR="00C81C70" w:rsidRPr="00205340">
              <w:rPr>
                <w:bCs/>
              </w:rPr>
              <w:t>)</w:t>
            </w:r>
            <w:r w:rsidRPr="00205340">
              <w:rPr>
                <w:bCs/>
              </w:rPr>
              <w:t xml:space="preserve">. Treatment can be given </w:t>
            </w:r>
            <w:r w:rsidR="001D11CB" w:rsidRPr="00205340">
              <w:rPr>
                <w:bCs/>
              </w:rPr>
              <w:t xml:space="preserve">regularly </w:t>
            </w:r>
            <w:r w:rsidRPr="00205340">
              <w:rPr>
                <w:bCs/>
              </w:rPr>
              <w:t xml:space="preserve">to </w:t>
            </w:r>
            <w:r w:rsidR="009520E0" w:rsidRPr="00205340">
              <w:rPr>
                <w:bCs/>
              </w:rPr>
              <w:t xml:space="preserve">help </w:t>
            </w:r>
            <w:r w:rsidRPr="00205340">
              <w:rPr>
                <w:bCs/>
              </w:rPr>
              <w:t>prevent</w:t>
            </w:r>
            <w:r w:rsidR="009520E0" w:rsidRPr="00205340">
              <w:rPr>
                <w:bCs/>
              </w:rPr>
              <w:t xml:space="preserve"> </w:t>
            </w:r>
            <w:r w:rsidRPr="00205340">
              <w:rPr>
                <w:bCs/>
              </w:rPr>
              <w:t>bleeding</w:t>
            </w:r>
            <w:r w:rsidR="009520E0" w:rsidRPr="00205340">
              <w:rPr>
                <w:bCs/>
              </w:rPr>
              <w:t xml:space="preserve"> (prophyla</w:t>
            </w:r>
            <w:r w:rsidR="00AF1802" w:rsidRPr="00205340">
              <w:rPr>
                <w:bCs/>
              </w:rPr>
              <w:t>xis</w:t>
            </w:r>
            <w:r w:rsidRPr="00205340">
              <w:rPr>
                <w:bCs/>
              </w:rPr>
              <w:t xml:space="preserve">) or given when bleeding </w:t>
            </w:r>
            <w:r w:rsidR="009B05D1" w:rsidRPr="00205340">
              <w:rPr>
                <w:bCs/>
              </w:rPr>
              <w:t>occurs (on demand</w:t>
            </w:r>
            <w:r w:rsidRPr="00205340">
              <w:rPr>
                <w:bCs/>
              </w:rPr>
              <w:t xml:space="preserve">). In rare cases, people </w:t>
            </w:r>
            <w:r w:rsidR="00BC48C9" w:rsidRPr="00205340">
              <w:rPr>
                <w:bCs/>
              </w:rPr>
              <w:t xml:space="preserve">with haemophilia </w:t>
            </w:r>
            <w:r w:rsidRPr="00205340">
              <w:rPr>
                <w:bCs/>
              </w:rPr>
              <w:t xml:space="preserve">can develop inhibitors, which means their immune system starts producing antibodies (inhibitors) that target the replacement factor products and prevent the treatment from working. This application is for </w:t>
            </w:r>
            <w:r w:rsidR="00CE284E" w:rsidRPr="00205340">
              <w:rPr>
                <w:bCs/>
              </w:rPr>
              <w:t xml:space="preserve">people with </w:t>
            </w:r>
            <w:r w:rsidRPr="00205340">
              <w:rPr>
                <w:bCs/>
              </w:rPr>
              <w:t>haemophilia</w:t>
            </w:r>
            <w:r w:rsidR="00CE284E" w:rsidRPr="00205340">
              <w:rPr>
                <w:bCs/>
              </w:rPr>
              <w:t xml:space="preserve"> A </w:t>
            </w:r>
            <w:r w:rsidR="001C3F2E" w:rsidRPr="00205340">
              <w:rPr>
                <w:bCs/>
              </w:rPr>
              <w:t>or</w:t>
            </w:r>
            <w:r w:rsidR="00CE284E" w:rsidRPr="00205340">
              <w:rPr>
                <w:bCs/>
              </w:rPr>
              <w:t xml:space="preserve"> B</w:t>
            </w:r>
            <w:r w:rsidR="001C3F2E" w:rsidRPr="00205340">
              <w:rPr>
                <w:bCs/>
              </w:rPr>
              <w:t xml:space="preserve"> who do not </w:t>
            </w:r>
            <w:r w:rsidR="00F93B6D" w:rsidRPr="00205340">
              <w:rPr>
                <w:bCs/>
              </w:rPr>
              <w:t>have</w:t>
            </w:r>
            <w:r w:rsidRPr="00205340">
              <w:rPr>
                <w:bCs/>
              </w:rPr>
              <w:t xml:space="preserve"> inhibitors.</w:t>
            </w:r>
          </w:p>
          <w:p w14:paraId="406EC3D2" w14:textId="0C9B8226" w:rsidR="00DC7414" w:rsidRPr="00205340" w:rsidRDefault="00DC7414" w:rsidP="00DC7414">
            <w:r w:rsidRPr="00205340">
              <w:t xml:space="preserve">Several </w:t>
            </w:r>
            <w:r w:rsidR="00CC0679" w:rsidRPr="00205340">
              <w:t>prophyla</w:t>
            </w:r>
            <w:r w:rsidR="00C531A1" w:rsidRPr="00205340">
              <w:t>xis</w:t>
            </w:r>
            <w:r w:rsidR="00CC0679" w:rsidRPr="00205340">
              <w:t xml:space="preserve"> </w:t>
            </w:r>
            <w:r w:rsidRPr="00205340">
              <w:t xml:space="preserve">treatment options are already available for </w:t>
            </w:r>
            <w:r w:rsidR="00B154F8" w:rsidRPr="00205340">
              <w:t xml:space="preserve">patients with </w:t>
            </w:r>
            <w:r w:rsidRPr="00205340">
              <w:t xml:space="preserve">haemophilia </w:t>
            </w:r>
            <w:r w:rsidR="004F45C5" w:rsidRPr="00205340">
              <w:t xml:space="preserve">who do not have </w:t>
            </w:r>
            <w:r w:rsidRPr="00205340">
              <w:t>inhibitors</w:t>
            </w:r>
            <w:r w:rsidR="007825B8" w:rsidRPr="00205340">
              <w:t>. T</w:t>
            </w:r>
            <w:r w:rsidR="3DB0B9F0" w:rsidRPr="00205340">
              <w:t>hese</w:t>
            </w:r>
            <w:r w:rsidR="001D5DB1" w:rsidRPr="00205340">
              <w:t xml:space="preserve"> </w:t>
            </w:r>
            <w:r w:rsidR="009243D1" w:rsidRPr="00205340">
              <w:t>include</w:t>
            </w:r>
            <w:r w:rsidR="001D5DB1" w:rsidRPr="00205340">
              <w:t xml:space="preserve"> </w:t>
            </w:r>
            <w:r w:rsidRPr="00205340">
              <w:t>emicizumab</w:t>
            </w:r>
            <w:r w:rsidR="004C01D7" w:rsidRPr="00205340">
              <w:t xml:space="preserve"> which </w:t>
            </w:r>
            <w:r w:rsidR="00D66E69" w:rsidRPr="00205340">
              <w:t xml:space="preserve">mimics the </w:t>
            </w:r>
            <w:r w:rsidR="004128EA" w:rsidRPr="00205340">
              <w:t xml:space="preserve">role of </w:t>
            </w:r>
            <w:r w:rsidR="00CA0EDC" w:rsidRPr="00205340">
              <w:t>F</w:t>
            </w:r>
            <w:r w:rsidR="006F72BB" w:rsidRPr="00205340">
              <w:t>actor V</w:t>
            </w:r>
            <w:r w:rsidR="003A3780" w:rsidRPr="00205340">
              <w:t>III</w:t>
            </w:r>
            <w:r w:rsidRPr="00205340">
              <w:t xml:space="preserve"> (</w:t>
            </w:r>
            <w:r w:rsidR="001C074A" w:rsidRPr="00205340">
              <w:t>given via</w:t>
            </w:r>
            <w:r w:rsidRPr="00205340">
              <w:t xml:space="preserve"> subcutaneous injection) </w:t>
            </w:r>
            <w:r w:rsidR="006556E9" w:rsidRPr="00205340">
              <w:t xml:space="preserve">only </w:t>
            </w:r>
            <w:r w:rsidR="009971E9" w:rsidRPr="00205340">
              <w:t>for patients with HMA</w:t>
            </w:r>
            <w:r w:rsidR="006556E9" w:rsidRPr="00205340">
              <w:t>,</w:t>
            </w:r>
            <w:r w:rsidR="009971E9" w:rsidRPr="00205340">
              <w:t xml:space="preserve"> </w:t>
            </w:r>
            <w:r w:rsidRPr="00205340">
              <w:t>and factor replacement (</w:t>
            </w:r>
            <w:r w:rsidR="001C074A" w:rsidRPr="00205340">
              <w:t xml:space="preserve">given via </w:t>
            </w:r>
            <w:r w:rsidRPr="00205340">
              <w:t>intravenous injection)</w:t>
            </w:r>
            <w:r w:rsidR="006556E9" w:rsidRPr="00205340">
              <w:t xml:space="preserve"> which can used in patients with HMA or HMB</w:t>
            </w:r>
            <w:r w:rsidRPr="00205340">
              <w:t xml:space="preserve">. This application </w:t>
            </w:r>
            <w:r w:rsidR="00E24C90" w:rsidRPr="00205340">
              <w:t>propose</w:t>
            </w:r>
            <w:r w:rsidR="00FF5238" w:rsidRPr="00205340">
              <w:t>d</w:t>
            </w:r>
            <w:r w:rsidR="00E24C90" w:rsidRPr="00205340">
              <w:t xml:space="preserve"> the use of</w:t>
            </w:r>
            <w:r w:rsidRPr="00205340">
              <w:t xml:space="preserve"> marstacimab, </w:t>
            </w:r>
            <w:r w:rsidR="00AA37B1" w:rsidRPr="00205340">
              <w:t>given weekly via</w:t>
            </w:r>
            <w:r w:rsidRPr="00205340">
              <w:t xml:space="preserve"> subcutaneous injection</w:t>
            </w:r>
            <w:r w:rsidR="00E24C90" w:rsidRPr="00205340">
              <w:t xml:space="preserve">, instead of </w:t>
            </w:r>
            <w:r w:rsidR="007673E6" w:rsidRPr="00205340">
              <w:t>emicizumab or factor replacement</w:t>
            </w:r>
            <w:r w:rsidRPr="00205340">
              <w:t xml:space="preserve">. </w:t>
            </w:r>
            <w:r w:rsidR="00DF3877" w:rsidRPr="00205340">
              <w:t xml:space="preserve">Marstacimab works by enhancing </w:t>
            </w:r>
            <w:r w:rsidR="002F2907" w:rsidRPr="00205340">
              <w:t xml:space="preserve">an </w:t>
            </w:r>
            <w:r w:rsidR="00BE581E" w:rsidRPr="00205340">
              <w:t>a</w:t>
            </w:r>
            <w:r w:rsidR="00DF3877" w:rsidRPr="00205340">
              <w:t xml:space="preserve">lternative </w:t>
            </w:r>
            <w:r w:rsidR="000816C6" w:rsidRPr="00205340">
              <w:t xml:space="preserve">clotting </w:t>
            </w:r>
            <w:r w:rsidR="002F2907" w:rsidRPr="00205340">
              <w:t xml:space="preserve">pathway that uses </w:t>
            </w:r>
            <w:r w:rsidR="00C24546" w:rsidRPr="00205340">
              <w:t>a different clotting factor (</w:t>
            </w:r>
            <w:r w:rsidR="00CA0EDC" w:rsidRPr="00205340">
              <w:t>F</w:t>
            </w:r>
            <w:r w:rsidR="00C24546" w:rsidRPr="00205340">
              <w:t xml:space="preserve">actor X) </w:t>
            </w:r>
            <w:r w:rsidR="00BE581E" w:rsidRPr="00205340">
              <w:t xml:space="preserve">to </w:t>
            </w:r>
            <w:r w:rsidR="0095355F" w:rsidRPr="00205340">
              <w:t xml:space="preserve">help blood clot properly </w:t>
            </w:r>
            <w:r w:rsidR="00945B8B" w:rsidRPr="00205340">
              <w:t xml:space="preserve">and </w:t>
            </w:r>
            <w:r w:rsidR="000816C6" w:rsidRPr="00205340">
              <w:t xml:space="preserve">bypassing the need </w:t>
            </w:r>
            <w:r w:rsidR="00ED5D30" w:rsidRPr="00205340">
              <w:t>for</w:t>
            </w:r>
            <w:r w:rsidR="00A36072" w:rsidRPr="00205340">
              <w:t xml:space="preserve"> </w:t>
            </w:r>
            <w:r w:rsidR="00CA0EDC" w:rsidRPr="00205340">
              <w:t>F</w:t>
            </w:r>
            <w:r w:rsidR="00A36072" w:rsidRPr="00205340">
              <w:t>actor VIII or IX.</w:t>
            </w:r>
            <w:r w:rsidR="000816C6" w:rsidRPr="00205340">
              <w:t xml:space="preserve"> </w:t>
            </w:r>
          </w:p>
          <w:p w14:paraId="4A279439" w14:textId="4D292B85" w:rsidR="005C5CD3" w:rsidRPr="00205340" w:rsidRDefault="005C5CD3" w:rsidP="005C5CD3">
            <w:r w:rsidRPr="00205340">
              <w:t xml:space="preserve">MSAC considered the clinical studies </w:t>
            </w:r>
            <w:r w:rsidR="00BD30B6" w:rsidRPr="00205340">
              <w:t xml:space="preserve">had </w:t>
            </w:r>
            <w:r w:rsidRPr="00205340">
              <w:t xml:space="preserve">several issues that made the results less reliable. This included small patient numbers, differences between how the studies were conducted and differences between the study population and the Australian haemophilia population. </w:t>
            </w:r>
            <w:proofErr w:type="gramStart"/>
            <w:r w:rsidRPr="00205340">
              <w:t>In particular, most</w:t>
            </w:r>
            <w:proofErr w:type="gramEnd"/>
            <w:r w:rsidRPr="00205340">
              <w:t xml:space="preserve"> patients in the studies used standard half-life clotting factor. Most Australian patients use extended half-life clotting factor – which may be better at preventing bleeds. These issues meant that MSAC could not be certain that marstacimab was as safe, or effective, as emicizumab or factor replacement </w:t>
            </w:r>
            <w:r w:rsidRPr="00205340">
              <w:rPr>
                <w:bCs/>
              </w:rPr>
              <w:t>prophylaxis</w:t>
            </w:r>
            <w:r w:rsidRPr="00205340">
              <w:t xml:space="preserve">. </w:t>
            </w:r>
          </w:p>
          <w:p w14:paraId="745B217C" w14:textId="075D3A6A" w:rsidR="00DC7414" w:rsidRPr="00205340" w:rsidRDefault="00DC7414" w:rsidP="00DC7414">
            <w:r w:rsidRPr="00205340">
              <w:t xml:space="preserve">MSAC also considered that the application should have compared marstacimab with concizumab and etranacogene dezaparvovec, which are </w:t>
            </w:r>
            <w:r w:rsidR="006E4F5D" w:rsidRPr="00205340">
              <w:t xml:space="preserve">alternative </w:t>
            </w:r>
            <w:r w:rsidRPr="00205340">
              <w:t xml:space="preserve">treatments </w:t>
            </w:r>
            <w:r w:rsidR="006E4F5D" w:rsidRPr="00205340">
              <w:t>that can be used for patients with haemophilia B</w:t>
            </w:r>
            <w:r w:rsidR="00685A8F" w:rsidRPr="00205340">
              <w:t xml:space="preserve"> without inhibitors</w:t>
            </w:r>
            <w:r w:rsidRPr="00205340">
              <w:t>.</w:t>
            </w:r>
            <w:r w:rsidR="00CE6B75" w:rsidRPr="00205340">
              <w:t xml:space="preserve"> However, these other treatments are not yet available public funded treatments</w:t>
            </w:r>
            <w:r w:rsidR="008642DD" w:rsidRPr="00205340">
              <w:t xml:space="preserve"> but have been considered by MSAC (see MSAC application</w:t>
            </w:r>
            <w:r w:rsidR="00BC3531" w:rsidRPr="00205340">
              <w:t>s</w:t>
            </w:r>
            <w:r w:rsidR="008642DD" w:rsidRPr="00205340">
              <w:t xml:space="preserve"> </w:t>
            </w:r>
            <w:r w:rsidR="00A70728" w:rsidRPr="00205340">
              <w:t xml:space="preserve">1805 and </w:t>
            </w:r>
            <w:r w:rsidR="00BC3531" w:rsidRPr="00205340">
              <w:t>1728.1)</w:t>
            </w:r>
            <w:r w:rsidR="00CE6B75" w:rsidRPr="00205340">
              <w:t>.</w:t>
            </w:r>
          </w:p>
          <w:p w14:paraId="672075D9" w14:textId="3DBF62B0" w:rsidR="00DC7414" w:rsidRPr="00205340" w:rsidRDefault="00DC7414" w:rsidP="00DC7414">
            <w:r w:rsidRPr="00205340">
              <w:t xml:space="preserve">MSAC noted that the uncertainties with the evidence base carried through to the economic and financial </w:t>
            </w:r>
            <w:r w:rsidR="00CE6B75" w:rsidRPr="00205340">
              <w:t>evaluation</w:t>
            </w:r>
            <w:r w:rsidRPr="00205340">
              <w:t>. Because of this, MSAC could not be certain that marstacimab was good value for money. MSAC also considered that, because marstacimab is a subcutaneous injection, more people may prefer it over intravenous injections, meaning uptake (and therefore costs) could be higher than estimated.</w:t>
            </w:r>
          </w:p>
          <w:p w14:paraId="635603EF" w14:textId="35467BE9" w:rsidR="00DC7414" w:rsidRPr="00205340" w:rsidRDefault="0089752C" w:rsidP="00DC7414">
            <w:pPr>
              <w:pStyle w:val="Heading3"/>
            </w:pPr>
            <w:r>
              <w:rPr>
                <w:rFonts w:ascii="ZWAdobeF" w:hAnsi="ZWAdobeF" w:cs="ZWAdobeF" w:hint="eastAsia"/>
                <w:sz w:val="2"/>
                <w:szCs w:val="2"/>
              </w:rPr>
              <w:lastRenderedPageBreak/>
              <w:t>0B</w:t>
            </w:r>
            <w:r w:rsidR="00DC7414" w:rsidRPr="00205340">
              <w:t xml:space="preserve">MSAC’s advice to the </w:t>
            </w:r>
            <w:proofErr w:type="gramStart"/>
            <w:r w:rsidR="00DC7414" w:rsidRPr="00205340">
              <w:t>Commonwealth Minister</w:t>
            </w:r>
            <w:proofErr w:type="gramEnd"/>
            <w:r w:rsidR="00DC7414" w:rsidRPr="00205340">
              <w:t xml:space="preserve"> for Health, Disability and Ageing</w:t>
            </w:r>
          </w:p>
          <w:p w14:paraId="79BBA2BB" w14:textId="07B68DBF" w:rsidR="00135F99" w:rsidRPr="00205340" w:rsidRDefault="00DC7414" w:rsidP="00DC7414">
            <w:pPr>
              <w:keepNext/>
              <w:keepLines/>
              <w:tabs>
                <w:tab w:val="left" w:pos="851"/>
              </w:tabs>
              <w:spacing w:before="240"/>
              <w:outlineLvl w:val="2"/>
            </w:pPr>
            <w:r w:rsidRPr="00205340">
              <w:t>MSAC did not support listing marstacimab on the National Product Price List for</w:t>
            </w:r>
            <w:r w:rsidR="00252728" w:rsidRPr="00205340">
              <w:t xml:space="preserve"> the treatment of</w:t>
            </w:r>
            <w:r w:rsidR="00CE2E84" w:rsidRPr="00205340">
              <w:t xml:space="preserve"> </w:t>
            </w:r>
            <w:r w:rsidRPr="00205340">
              <w:t xml:space="preserve">people with severe haemophilia A or haemophilia B, without inhibitors. </w:t>
            </w:r>
            <w:r w:rsidR="00271B14" w:rsidRPr="00205340">
              <w:t>MSAC considered there were significant</w:t>
            </w:r>
            <w:r w:rsidRPr="00205340">
              <w:t xml:space="preserve"> uncertainties with the evidence base, </w:t>
            </w:r>
            <w:r w:rsidR="00271B14" w:rsidRPr="00205340">
              <w:t xml:space="preserve">and </w:t>
            </w:r>
            <w:r w:rsidRPr="00205340">
              <w:t>MSAC could not be certain that marstacimab was as effective or safe as other treatments, nor that it was good value for money.</w:t>
            </w:r>
          </w:p>
        </w:tc>
      </w:tr>
    </w:tbl>
    <w:p w14:paraId="05095BA9" w14:textId="77777777" w:rsidR="00135F99" w:rsidRPr="00205340" w:rsidRDefault="00135F99" w:rsidP="005C116D">
      <w:pPr>
        <w:pStyle w:val="Heading2"/>
        <w:numPr>
          <w:ilvl w:val="0"/>
          <w:numId w:val="29"/>
        </w:numPr>
        <w:ind w:hanging="720"/>
      </w:pPr>
      <w:r w:rsidRPr="00205340">
        <w:lastRenderedPageBreak/>
        <w:t>Summary of consideration and rationale for MSAC’s advice</w:t>
      </w:r>
    </w:p>
    <w:p w14:paraId="60A921BE" w14:textId="59FC326D" w:rsidR="00C765A6" w:rsidRPr="00205340" w:rsidRDefault="008227F0" w:rsidP="008D058E">
      <w:pPr>
        <w:keepNext/>
        <w:keepLines/>
        <w:spacing w:before="240"/>
      </w:pPr>
      <w:r w:rsidRPr="00205340">
        <w:t>MSAC noted that this application from Pfizer Australia Pty Ltd request</w:t>
      </w:r>
      <w:r w:rsidR="008D058E" w:rsidRPr="00205340">
        <w:t>ed</w:t>
      </w:r>
      <w:r w:rsidRPr="00205340">
        <w:t xml:space="preserve"> listing of marstacimab on the National Blood Authority (NBA) National Product Price List (NPPL) for the treatment (routine prophylaxis) of people aged 12 years or over with severe haemophilia A (HMA) or severe haemophilia B (HMB), without inhibitors. </w:t>
      </w:r>
      <w:r w:rsidR="00381205" w:rsidRPr="00205340">
        <w:t xml:space="preserve">MSAC noted that marstacimab is registered on the Australian Register of Therapeutic Goods (ARTG) solely for this population and does not have regulatory approval for any other populations (for example, children under the age of 12, patients with inhibitors, or patients with less severe disease). </w:t>
      </w:r>
    </w:p>
    <w:p w14:paraId="071C755D" w14:textId="0B7B52ED" w:rsidR="00A1554C" w:rsidRPr="00205340" w:rsidRDefault="008227F0" w:rsidP="008227F0">
      <w:pPr>
        <w:spacing w:after="240"/>
      </w:pPr>
      <w:r w:rsidRPr="00205340">
        <w:t>MSAC noted that consultation input</w:t>
      </w:r>
      <w:r w:rsidR="00386609" w:rsidRPr="00205340">
        <w:t xml:space="preserve"> </w:t>
      </w:r>
      <w:r w:rsidRPr="00205340">
        <w:t xml:space="preserve">was </w:t>
      </w:r>
      <w:r w:rsidR="005302AA" w:rsidRPr="00205340">
        <w:t xml:space="preserve">generally </w:t>
      </w:r>
      <w:r w:rsidRPr="00205340">
        <w:t>supportive of listing</w:t>
      </w:r>
      <w:r w:rsidR="00EC255D" w:rsidRPr="00205340">
        <w:t xml:space="preserve"> marstacimab</w:t>
      </w:r>
      <w:r w:rsidR="00853EC2" w:rsidRPr="00205340">
        <w:t>.</w:t>
      </w:r>
      <w:r w:rsidR="00D54F8B" w:rsidRPr="00205340">
        <w:t xml:space="preserve"> </w:t>
      </w:r>
      <w:r w:rsidR="00155A43" w:rsidRPr="00205340">
        <w:t xml:space="preserve">MSAC noted </w:t>
      </w:r>
      <w:r w:rsidR="00CB674F" w:rsidRPr="00205340">
        <w:t xml:space="preserve">the input highlighted </w:t>
      </w:r>
      <w:r w:rsidR="00155A43" w:rsidRPr="00205340">
        <w:t>that</w:t>
      </w:r>
      <w:r w:rsidR="00425CCC" w:rsidRPr="00205340">
        <w:t xml:space="preserve"> </w:t>
      </w:r>
      <w:r w:rsidR="00155A43" w:rsidRPr="00205340">
        <w:t xml:space="preserve">marstacimab offers a subcutaneous treatment option to patients, through a weekly application of a fixed dose using a pen device. </w:t>
      </w:r>
      <w:r w:rsidR="00F220F0" w:rsidRPr="00205340">
        <w:t xml:space="preserve">MSAC noted consumers felt there was a significant treatment burden due to the frequent need to administer medication, including intravenously for some patients. MSAC noted the input that this provides convenience, ease of access and can improve patient quality of life (QoL). </w:t>
      </w:r>
      <w:r w:rsidR="00155A43" w:rsidRPr="00205340">
        <w:t xml:space="preserve">MSAC noted that </w:t>
      </w:r>
      <w:r w:rsidR="00A23DE0" w:rsidRPr="00205340">
        <w:t>the feedback was particularly supportive for</w:t>
      </w:r>
      <w:r w:rsidR="00DF26A2" w:rsidRPr="00205340">
        <w:t xml:space="preserve"> patients with HMB, </w:t>
      </w:r>
      <w:r w:rsidR="00E77851" w:rsidRPr="00205340">
        <w:t xml:space="preserve">who </w:t>
      </w:r>
      <w:r w:rsidR="00853EC2" w:rsidRPr="00205340">
        <w:t xml:space="preserve">at the time of consideration, </w:t>
      </w:r>
      <w:r w:rsidR="00E77851" w:rsidRPr="00205340">
        <w:t>d</w:t>
      </w:r>
      <w:r w:rsidR="00853EC2" w:rsidRPr="00205340">
        <w:t>id</w:t>
      </w:r>
      <w:r w:rsidR="00E77851" w:rsidRPr="00205340">
        <w:t xml:space="preserve"> not have a</w:t>
      </w:r>
      <w:r w:rsidR="00DF26A2" w:rsidRPr="00205340">
        <w:t xml:space="preserve"> publicly funded subcutaneous treatment option. </w:t>
      </w:r>
    </w:p>
    <w:p w14:paraId="3A2329EA" w14:textId="16343B84" w:rsidR="008631D5" w:rsidRPr="00205340" w:rsidRDefault="008227F0" w:rsidP="008227F0">
      <w:pPr>
        <w:spacing w:after="240"/>
      </w:pPr>
      <w:r w:rsidRPr="00205340">
        <w:t xml:space="preserve">MSAC noted that the evidence base </w:t>
      </w:r>
      <w:r w:rsidR="00086E90" w:rsidRPr="00205340">
        <w:t xml:space="preserve">for marstacimab </w:t>
      </w:r>
      <w:r w:rsidR="00BF1364" w:rsidRPr="00205340">
        <w:t>versus</w:t>
      </w:r>
      <w:r w:rsidR="00AF153F" w:rsidRPr="00205340">
        <w:t xml:space="preserve"> </w:t>
      </w:r>
      <w:r w:rsidR="00DB6EB1" w:rsidRPr="00205340">
        <w:t>F</w:t>
      </w:r>
      <w:r w:rsidR="002F4462" w:rsidRPr="00205340">
        <w:t xml:space="preserve">actor VIII (FVIII) prophylaxis and </w:t>
      </w:r>
      <w:r w:rsidR="00DB6EB1" w:rsidRPr="00205340">
        <w:t>F</w:t>
      </w:r>
      <w:r w:rsidR="002F4462" w:rsidRPr="00205340">
        <w:t xml:space="preserve">actor IX (FIX) prophylaxis </w:t>
      </w:r>
      <w:r w:rsidRPr="00205340">
        <w:t xml:space="preserve">consisted of </w:t>
      </w:r>
      <w:r w:rsidR="002F4462" w:rsidRPr="00205340">
        <w:t xml:space="preserve">a </w:t>
      </w:r>
      <w:r w:rsidRPr="00205340">
        <w:t>small, non-randomised, open-label</w:t>
      </w:r>
      <w:r w:rsidR="00097FA1" w:rsidRPr="00205340">
        <w:t xml:space="preserve">, before-and-after case series of </w:t>
      </w:r>
      <w:r w:rsidR="00CE3084" w:rsidRPr="00205340">
        <w:t xml:space="preserve">patients with </w:t>
      </w:r>
      <w:r w:rsidR="00097FA1" w:rsidRPr="00205340">
        <w:t>HMA and HMB using self-reported outcomes during 12</w:t>
      </w:r>
      <w:r w:rsidR="00CE3084" w:rsidRPr="00205340">
        <w:t> </w:t>
      </w:r>
      <w:r w:rsidR="00097FA1" w:rsidRPr="00205340">
        <w:t>months of treatment (BASIS)</w:t>
      </w:r>
      <w:r w:rsidR="007353C4" w:rsidRPr="00205340">
        <w:t>, and an extension of this study</w:t>
      </w:r>
      <w:r w:rsidR="008035B6" w:rsidRPr="00205340">
        <w:t xml:space="preserve"> with 34.9-month follow up (BASIS LTE)</w:t>
      </w:r>
      <w:r w:rsidRPr="00205340">
        <w:t xml:space="preserve">. </w:t>
      </w:r>
      <w:r w:rsidR="0062308B" w:rsidRPr="00205340">
        <w:t xml:space="preserve">For </w:t>
      </w:r>
      <w:r w:rsidR="00356F06" w:rsidRPr="00205340">
        <w:t xml:space="preserve">the comparison of marstacimab to emicizumab in the HMA population, </w:t>
      </w:r>
      <w:r w:rsidR="0062308B" w:rsidRPr="00205340">
        <w:t>MSAC noted the evidence for emicizumab versus prophylaxis consisted of another small, non-randomised, open-label, before-and-after case series, also using self-reported outcomes (HAVEN 3).</w:t>
      </w:r>
    </w:p>
    <w:p w14:paraId="5FF4DB03" w14:textId="18416778" w:rsidR="002F7061" w:rsidRPr="00205340" w:rsidRDefault="003B3A61" w:rsidP="008227F0">
      <w:pPr>
        <w:spacing w:after="240"/>
      </w:pPr>
      <w:r w:rsidRPr="00205340">
        <w:t xml:space="preserve">MSAC </w:t>
      </w:r>
      <w:r w:rsidR="00B17DE7" w:rsidRPr="00205340">
        <w:t>agreed</w:t>
      </w:r>
      <w:r w:rsidRPr="00205340">
        <w:t xml:space="preserve"> </w:t>
      </w:r>
      <w:r w:rsidR="00601B03" w:rsidRPr="00205340">
        <w:t xml:space="preserve">with </w:t>
      </w:r>
      <w:r w:rsidRPr="00205340">
        <w:t xml:space="preserve">ESC that the BASIS and BASIS LTE </w:t>
      </w:r>
      <w:r w:rsidR="00B17DE7" w:rsidRPr="00205340">
        <w:t xml:space="preserve">studies had significant </w:t>
      </w:r>
      <w:r w:rsidR="00E12859" w:rsidRPr="00205340">
        <w:t xml:space="preserve">limitations and considered that </w:t>
      </w:r>
      <w:r w:rsidR="00E3699C" w:rsidRPr="00205340">
        <w:t xml:space="preserve">there was a </w:t>
      </w:r>
      <w:r w:rsidR="00703929" w:rsidRPr="00205340">
        <w:t>high</w:t>
      </w:r>
      <w:r w:rsidR="0057777B" w:rsidRPr="00205340">
        <w:t xml:space="preserve"> risk of bias.</w:t>
      </w:r>
      <w:r w:rsidR="00B17DE7" w:rsidRPr="00205340">
        <w:t xml:space="preserve"> </w:t>
      </w:r>
      <w:r w:rsidR="00C049A4" w:rsidRPr="00205340">
        <w:t xml:space="preserve">MSAC </w:t>
      </w:r>
      <w:r w:rsidR="00703929" w:rsidRPr="00205340">
        <w:t xml:space="preserve">also </w:t>
      </w:r>
      <w:r w:rsidR="008408FD" w:rsidRPr="00205340">
        <w:t>agreed with ESC</w:t>
      </w:r>
      <w:r w:rsidR="00C049A4" w:rsidRPr="00205340">
        <w:t xml:space="preserve"> that </w:t>
      </w:r>
      <w:r w:rsidR="008408FD" w:rsidRPr="00205340">
        <w:t xml:space="preserve">the </w:t>
      </w:r>
      <w:r w:rsidR="00703929" w:rsidRPr="00205340">
        <w:t>generalisability</w:t>
      </w:r>
      <w:r w:rsidR="008408FD" w:rsidRPr="00205340">
        <w:t xml:space="preserve"> of the </w:t>
      </w:r>
      <w:r w:rsidR="00066BAF" w:rsidRPr="00205340">
        <w:t>studies</w:t>
      </w:r>
      <w:r w:rsidR="008227F0" w:rsidRPr="00205340">
        <w:t xml:space="preserve"> to the Australian</w:t>
      </w:r>
      <w:r w:rsidR="006334B5" w:rsidRPr="00205340">
        <w:t xml:space="preserve"> population</w:t>
      </w:r>
      <w:r w:rsidR="008227F0" w:rsidRPr="00205340">
        <w:t xml:space="preserve"> was uncertain</w:t>
      </w:r>
      <w:r w:rsidR="00703929" w:rsidRPr="00205340">
        <w:t xml:space="preserve">, due to the </w:t>
      </w:r>
      <w:r w:rsidR="00123380" w:rsidRPr="00205340">
        <w:t>difference in treatment</w:t>
      </w:r>
      <w:r w:rsidR="006334B5" w:rsidRPr="00205340">
        <w:t xml:space="preserve"> regime</w:t>
      </w:r>
      <w:r w:rsidR="00433F1B" w:rsidRPr="00205340">
        <w:t>n</w:t>
      </w:r>
      <w:r w:rsidR="006334B5" w:rsidRPr="00205340">
        <w:t>s</w:t>
      </w:r>
      <w:r w:rsidR="00B9729D" w:rsidRPr="00205340">
        <w:t xml:space="preserve"> in the studies compared to Australian clinical practice</w:t>
      </w:r>
      <w:r w:rsidR="00066BAF" w:rsidRPr="00205340">
        <w:t>.</w:t>
      </w:r>
      <w:r w:rsidR="004842DB" w:rsidRPr="00205340">
        <w:t xml:space="preserve"> MSAC noted</w:t>
      </w:r>
      <w:r w:rsidR="008227F0" w:rsidRPr="00205340">
        <w:t xml:space="preserve"> most patients in the BASIS studies received standard half-life (SHL) factor products, whereas most people with haemophilia in Australia receive extended half-life (EHL) products. </w:t>
      </w:r>
    </w:p>
    <w:p w14:paraId="4FFA586A" w14:textId="481E663D" w:rsidR="00601B03" w:rsidRPr="00205340" w:rsidRDefault="00916527" w:rsidP="008227F0">
      <w:pPr>
        <w:spacing w:after="240"/>
      </w:pPr>
      <w:r w:rsidRPr="00205340">
        <w:t xml:space="preserve">MSAC noted </w:t>
      </w:r>
      <w:r w:rsidR="002C0419" w:rsidRPr="00205340">
        <w:t>a key issue from ESC was that new evidence suggested that</w:t>
      </w:r>
      <w:r w:rsidR="00782153" w:rsidRPr="00205340">
        <w:t xml:space="preserve"> </w:t>
      </w:r>
      <w:r w:rsidR="0066233B" w:rsidRPr="00205340">
        <w:t xml:space="preserve">EHL products </w:t>
      </w:r>
      <w:r w:rsidR="00651BF5" w:rsidRPr="00205340">
        <w:t xml:space="preserve">may be </w:t>
      </w:r>
      <w:r w:rsidR="0066233B" w:rsidRPr="00205340">
        <w:t>superior to SHL products.</w:t>
      </w:r>
      <w:r w:rsidR="00F046BF" w:rsidRPr="00205340">
        <w:t xml:space="preserve"> However, the applicant’s </w:t>
      </w:r>
      <w:r w:rsidRPr="00205340">
        <w:t xml:space="preserve">pre-MSAC response </w:t>
      </w:r>
      <w:r w:rsidR="00F046BF" w:rsidRPr="00205340">
        <w:t xml:space="preserve">asserted </w:t>
      </w:r>
      <w:r w:rsidR="00AC285F" w:rsidRPr="00205340">
        <w:t xml:space="preserve">the </w:t>
      </w:r>
      <w:r w:rsidR="00DF2D7D" w:rsidRPr="00205340">
        <w:t xml:space="preserve">new </w:t>
      </w:r>
      <w:r w:rsidR="00087EA3" w:rsidRPr="00205340">
        <w:t xml:space="preserve">evidence </w:t>
      </w:r>
      <w:r w:rsidR="00A91C61" w:rsidRPr="00205340">
        <w:t xml:space="preserve">was </w:t>
      </w:r>
      <w:r w:rsidR="00E17100" w:rsidRPr="00205340">
        <w:t>insufficient to conclude EHL products were superior as the evidence was of a</w:t>
      </w:r>
      <w:r w:rsidR="00A91C61" w:rsidRPr="00205340">
        <w:t xml:space="preserve"> low quality</w:t>
      </w:r>
      <w:r w:rsidR="00087EA3" w:rsidRPr="00205340">
        <w:t xml:space="preserve">, </w:t>
      </w:r>
      <w:proofErr w:type="gramStart"/>
      <w:r w:rsidR="00087EA3" w:rsidRPr="00205340">
        <w:t>similar to</w:t>
      </w:r>
      <w:proofErr w:type="gramEnd"/>
      <w:r w:rsidR="00087EA3" w:rsidRPr="00205340">
        <w:t xml:space="preserve"> evidence </w:t>
      </w:r>
      <w:r w:rsidR="00692763" w:rsidRPr="00205340">
        <w:t xml:space="preserve">considered </w:t>
      </w:r>
      <w:r w:rsidR="006A386E" w:rsidRPr="00205340">
        <w:t xml:space="preserve">by MSAC </w:t>
      </w:r>
      <w:r w:rsidR="00692763" w:rsidRPr="00205340">
        <w:t>when it previously assessed</w:t>
      </w:r>
      <w:r w:rsidR="00A30ABC" w:rsidRPr="00205340">
        <w:t xml:space="preserve"> EHL</w:t>
      </w:r>
      <w:r w:rsidR="00581697" w:rsidRPr="00205340">
        <w:t xml:space="preserve"> </w:t>
      </w:r>
      <w:r w:rsidR="00CC6D0D" w:rsidRPr="00205340">
        <w:t>blood clotting factors VIII + IX</w:t>
      </w:r>
      <w:r w:rsidR="00AC285F" w:rsidRPr="00205340">
        <w:t xml:space="preserve"> for Haemophilia A and B</w:t>
      </w:r>
      <w:r w:rsidR="00A30ABC" w:rsidRPr="00205340">
        <w:t xml:space="preserve"> (MSAC application 1511</w:t>
      </w:r>
      <w:r w:rsidR="00AC285F" w:rsidRPr="00205340">
        <w:t>)</w:t>
      </w:r>
      <w:r w:rsidR="00E87205" w:rsidRPr="00205340">
        <w:t xml:space="preserve">. </w:t>
      </w:r>
      <w:r w:rsidR="00581697" w:rsidRPr="00205340">
        <w:t xml:space="preserve">MSAC </w:t>
      </w:r>
      <w:r w:rsidR="00BA2A35" w:rsidRPr="00205340">
        <w:t>recalled</w:t>
      </w:r>
      <w:r w:rsidR="0058262A" w:rsidRPr="00205340">
        <w:t xml:space="preserve"> </w:t>
      </w:r>
      <w:r w:rsidR="00581697" w:rsidRPr="00205340">
        <w:t xml:space="preserve">that </w:t>
      </w:r>
      <w:r w:rsidR="00786B13" w:rsidRPr="00205340">
        <w:t xml:space="preserve">application </w:t>
      </w:r>
      <w:r w:rsidR="00581697" w:rsidRPr="00205340">
        <w:t>1511</w:t>
      </w:r>
      <w:r w:rsidR="00A30ABC" w:rsidRPr="00205340">
        <w:t xml:space="preserve"> presented</w:t>
      </w:r>
      <w:r w:rsidR="00581697" w:rsidRPr="00205340">
        <w:t xml:space="preserve"> </w:t>
      </w:r>
      <w:r w:rsidR="00A41DC5" w:rsidRPr="00205340">
        <w:t>a</w:t>
      </w:r>
      <w:r w:rsidR="003B77F2" w:rsidRPr="00205340">
        <w:t xml:space="preserve"> </w:t>
      </w:r>
      <w:r w:rsidR="00E00F9A" w:rsidRPr="00205340">
        <w:t xml:space="preserve">small </w:t>
      </w:r>
      <w:r w:rsidR="00A666B0" w:rsidRPr="00205340">
        <w:t xml:space="preserve">volume </w:t>
      </w:r>
      <w:r w:rsidR="004521A9" w:rsidRPr="00205340">
        <w:t xml:space="preserve">of </w:t>
      </w:r>
      <w:r w:rsidR="003B77F2" w:rsidRPr="00205340">
        <w:t>low</w:t>
      </w:r>
      <w:r w:rsidR="004521A9" w:rsidRPr="00205340">
        <w:t>-</w:t>
      </w:r>
      <w:r w:rsidR="003B77F2" w:rsidRPr="00205340">
        <w:t xml:space="preserve">quality evidence </w:t>
      </w:r>
      <w:r w:rsidR="0054789E" w:rsidRPr="00205340">
        <w:t xml:space="preserve">from </w:t>
      </w:r>
      <w:r w:rsidR="00A41DC5" w:rsidRPr="00205340">
        <w:t>two system</w:t>
      </w:r>
      <w:r w:rsidR="009F7147" w:rsidRPr="00205340">
        <w:t>at</w:t>
      </w:r>
      <w:r w:rsidR="00A41DC5" w:rsidRPr="00205340">
        <w:t xml:space="preserve">ic reviews; one of which was an indirect comparison of SHL and EHL products, and one matched adjusted </w:t>
      </w:r>
      <w:r w:rsidR="00A41DC5" w:rsidRPr="00205340">
        <w:lastRenderedPageBreak/>
        <w:t>indirect comparison of SHL and EHL products</w:t>
      </w:r>
      <w:r w:rsidR="002013EC" w:rsidRPr="00205340">
        <w:t xml:space="preserve">. MSAC </w:t>
      </w:r>
      <w:r w:rsidR="00CB266C" w:rsidRPr="00205340">
        <w:t xml:space="preserve">recalled </w:t>
      </w:r>
      <w:r w:rsidR="00D922A7" w:rsidRPr="00205340">
        <w:t xml:space="preserve">that </w:t>
      </w:r>
      <w:r w:rsidR="00B2377F" w:rsidRPr="00205340">
        <w:t>the</w:t>
      </w:r>
      <w:r w:rsidR="00CB266C" w:rsidRPr="00205340">
        <w:t xml:space="preserve"> </w:t>
      </w:r>
      <w:r w:rsidR="00D922A7" w:rsidRPr="00205340">
        <w:t>evidence</w:t>
      </w:r>
      <w:r w:rsidR="00CB266C" w:rsidRPr="00205340">
        <w:t xml:space="preserve"> in MSAC application 1511</w:t>
      </w:r>
      <w:r w:rsidR="00D922A7" w:rsidRPr="00205340">
        <w:t xml:space="preserve"> </w:t>
      </w:r>
      <w:r w:rsidR="007802E9" w:rsidRPr="00205340">
        <w:t xml:space="preserve">showed small improvements to annual bleed rates (ABR), and </w:t>
      </w:r>
      <w:r w:rsidR="00C21201" w:rsidRPr="00205340">
        <w:t xml:space="preserve">a small increase in </w:t>
      </w:r>
      <w:r w:rsidR="00752B79" w:rsidRPr="00205340">
        <w:t>quality of life</w:t>
      </w:r>
      <w:r w:rsidR="00655D17" w:rsidRPr="00205340">
        <w:t xml:space="preserve"> when using EHL</w:t>
      </w:r>
      <w:r w:rsidR="001229D1" w:rsidRPr="00205340">
        <w:t xml:space="preserve"> products</w:t>
      </w:r>
      <w:r w:rsidR="00752B79" w:rsidRPr="00205340">
        <w:t xml:space="preserve"> compared to SHL </w:t>
      </w:r>
      <w:r w:rsidR="001229D1" w:rsidRPr="00205340">
        <w:t>products</w:t>
      </w:r>
      <w:r w:rsidR="00752B79" w:rsidRPr="00205340">
        <w:t xml:space="preserve">. </w:t>
      </w:r>
      <w:r w:rsidR="00F10383" w:rsidRPr="00205340">
        <w:t>However</w:t>
      </w:r>
      <w:r w:rsidR="005A6603" w:rsidRPr="00205340">
        <w:t>, at</w:t>
      </w:r>
      <w:r w:rsidR="007802E9" w:rsidRPr="00205340">
        <w:t xml:space="preserve"> th</w:t>
      </w:r>
      <w:r w:rsidR="00F10383" w:rsidRPr="00205340">
        <w:t>at</w:t>
      </w:r>
      <w:r w:rsidR="007802E9" w:rsidRPr="00205340">
        <w:t xml:space="preserve"> time, </w:t>
      </w:r>
      <w:r w:rsidR="005A6603" w:rsidRPr="00205340">
        <w:t>MSAC</w:t>
      </w:r>
      <w:r w:rsidR="001C5EEA" w:rsidRPr="00205340">
        <w:t xml:space="preserve"> had</w:t>
      </w:r>
      <w:r w:rsidR="005A6603" w:rsidRPr="00205340">
        <w:t xml:space="preserve"> </w:t>
      </w:r>
      <w:r w:rsidR="001742F1" w:rsidRPr="00205340">
        <w:t xml:space="preserve">concluded that </w:t>
      </w:r>
      <w:r w:rsidR="00557648" w:rsidRPr="00205340">
        <w:t xml:space="preserve">while </w:t>
      </w:r>
      <w:r w:rsidR="004356B3" w:rsidRPr="00205340">
        <w:t>there may</w:t>
      </w:r>
      <w:r w:rsidR="00D82AB9" w:rsidRPr="00205340">
        <w:t xml:space="preserve"> be</w:t>
      </w:r>
      <w:r w:rsidR="005A6603" w:rsidRPr="00205340">
        <w:t xml:space="preserve"> </w:t>
      </w:r>
      <w:r w:rsidR="005B53FA" w:rsidRPr="00205340">
        <w:t xml:space="preserve">incremental </w:t>
      </w:r>
      <w:r w:rsidR="00D82AB9" w:rsidRPr="00205340">
        <w:t xml:space="preserve">benefits </w:t>
      </w:r>
      <w:r w:rsidR="005B53FA" w:rsidRPr="00205340">
        <w:t xml:space="preserve">associated with </w:t>
      </w:r>
      <w:r w:rsidR="00D82AB9" w:rsidRPr="00205340">
        <w:t>EHL</w:t>
      </w:r>
      <w:r w:rsidR="001229D1" w:rsidRPr="00205340">
        <w:t xml:space="preserve"> products</w:t>
      </w:r>
      <w:r w:rsidR="00557648" w:rsidRPr="00205340">
        <w:t xml:space="preserve">, </w:t>
      </w:r>
      <w:r w:rsidR="00F44CDE" w:rsidRPr="00205340">
        <w:t xml:space="preserve">the </w:t>
      </w:r>
      <w:r w:rsidR="00895B73" w:rsidRPr="00205340">
        <w:t>p</w:t>
      </w:r>
      <w:r w:rsidR="00B7521B" w:rsidRPr="00205340">
        <w:t>resence of incremental benefit</w:t>
      </w:r>
      <w:r w:rsidR="00557648" w:rsidRPr="00205340">
        <w:t xml:space="preserve"> </w:t>
      </w:r>
      <w:r w:rsidR="00D82AB9" w:rsidRPr="00205340">
        <w:t xml:space="preserve">was </w:t>
      </w:r>
      <w:proofErr w:type="gramStart"/>
      <w:r w:rsidR="00D82AB9" w:rsidRPr="00205340">
        <w:t>uncertain</w:t>
      </w:r>
      <w:proofErr w:type="gramEnd"/>
      <w:r w:rsidR="005A6603" w:rsidRPr="00205340">
        <w:t xml:space="preserve"> and any </w:t>
      </w:r>
      <w:r w:rsidR="00125408" w:rsidRPr="00205340">
        <w:t>incremental</w:t>
      </w:r>
      <w:r w:rsidR="005A6603" w:rsidRPr="00205340">
        <w:t xml:space="preserve"> benefit appear</w:t>
      </w:r>
      <w:r w:rsidR="00710AF2" w:rsidRPr="00205340">
        <w:t>ed</w:t>
      </w:r>
      <w:r w:rsidR="005A6603" w:rsidRPr="00205340">
        <w:t xml:space="preserve"> to be </w:t>
      </w:r>
      <w:r w:rsidR="00125408" w:rsidRPr="00205340">
        <w:t>small</w:t>
      </w:r>
      <w:r w:rsidR="00D82AB9" w:rsidRPr="00205340">
        <w:t xml:space="preserve">. </w:t>
      </w:r>
      <w:r w:rsidR="007C525E" w:rsidRPr="00205340">
        <w:t xml:space="preserve">MSAC noted that </w:t>
      </w:r>
      <w:r w:rsidR="005E493A" w:rsidRPr="00205340">
        <w:t xml:space="preserve">the </w:t>
      </w:r>
      <w:r w:rsidR="004B0166" w:rsidRPr="00205340">
        <w:t xml:space="preserve">new evidence was observational </w:t>
      </w:r>
      <w:r w:rsidR="003140DC" w:rsidRPr="00205340">
        <w:t xml:space="preserve">Australian patient data </w:t>
      </w:r>
      <w:r w:rsidR="00147845" w:rsidRPr="00205340">
        <w:t>which</w:t>
      </w:r>
      <w:r w:rsidR="003140DC" w:rsidRPr="00205340">
        <w:t xml:space="preserve"> </w:t>
      </w:r>
      <w:r w:rsidR="005F4236" w:rsidRPr="00205340">
        <w:t>support</w:t>
      </w:r>
      <w:r w:rsidR="00147845" w:rsidRPr="00205340">
        <w:t>s</w:t>
      </w:r>
      <w:r w:rsidR="005F4236" w:rsidRPr="00205340">
        <w:t xml:space="preserve"> the benefits for EHL </w:t>
      </w:r>
      <w:r w:rsidR="00175C26" w:rsidRPr="00205340">
        <w:t xml:space="preserve">compared to SHL </w:t>
      </w:r>
      <w:r w:rsidR="005E493A" w:rsidRPr="00205340">
        <w:t xml:space="preserve">products </w:t>
      </w:r>
      <w:r w:rsidR="00175C26" w:rsidRPr="00205340">
        <w:t xml:space="preserve">that were </w:t>
      </w:r>
      <w:r w:rsidR="005F4236" w:rsidRPr="00205340">
        <w:t xml:space="preserve">noted by MSAC when it </w:t>
      </w:r>
      <w:r w:rsidR="005E493A" w:rsidRPr="00205340">
        <w:t xml:space="preserve">previously </w:t>
      </w:r>
      <w:r w:rsidR="005F4236" w:rsidRPr="00205340">
        <w:t>considered MSAC application 1511</w:t>
      </w:r>
      <w:r w:rsidR="000D06BB" w:rsidRPr="00205340">
        <w:t xml:space="preserve">. MSAC </w:t>
      </w:r>
      <w:r w:rsidR="00192972" w:rsidRPr="00205340">
        <w:t>agreed with</w:t>
      </w:r>
      <w:r w:rsidR="000D06BB" w:rsidRPr="00205340">
        <w:t xml:space="preserve"> ESC </w:t>
      </w:r>
      <w:r w:rsidR="00192972" w:rsidRPr="00205340">
        <w:t xml:space="preserve">that the </w:t>
      </w:r>
      <w:r w:rsidR="000D06BB" w:rsidRPr="00205340">
        <w:t>recent accumulating observational evidence</w:t>
      </w:r>
      <w:r w:rsidR="009C436C" w:rsidRPr="00205340">
        <w:t xml:space="preserve"> for Australian patients</w:t>
      </w:r>
      <w:r w:rsidR="000D06BB" w:rsidRPr="00205340">
        <w:t xml:space="preserve">, suggest EHL </w:t>
      </w:r>
      <w:r w:rsidR="0045318E" w:rsidRPr="00205340">
        <w:t xml:space="preserve">products </w:t>
      </w:r>
      <w:r w:rsidR="000D06BB" w:rsidRPr="00205340">
        <w:t>may be superior to SHL</w:t>
      </w:r>
      <w:r w:rsidR="0045318E" w:rsidRPr="00205340">
        <w:t xml:space="preserve"> products</w:t>
      </w:r>
      <w:r w:rsidR="0089752C">
        <w:rPr>
          <w:rFonts w:ascii="ZWAdobeF" w:hAnsi="ZWAdobeF" w:cs="ZWAdobeF"/>
          <w:sz w:val="2"/>
          <w:szCs w:val="2"/>
        </w:rPr>
        <w:t>0F</w:t>
      </w:r>
      <w:r w:rsidR="008526F1" w:rsidRPr="00205340">
        <w:rPr>
          <w:rStyle w:val="FootnoteReference"/>
        </w:rPr>
        <w:footnoteReference w:id="1"/>
      </w:r>
      <w:r w:rsidR="00904014" w:rsidRPr="00205340">
        <w:rPr>
          <w:vertAlign w:val="superscript"/>
        </w:rPr>
        <w:t>,</w:t>
      </w:r>
      <w:r w:rsidR="0089752C">
        <w:rPr>
          <w:rFonts w:ascii="ZWAdobeF" w:hAnsi="ZWAdobeF" w:cs="ZWAdobeF"/>
          <w:sz w:val="2"/>
          <w:szCs w:val="2"/>
        </w:rPr>
        <w:t>1F</w:t>
      </w:r>
      <w:r w:rsidR="007E4B53" w:rsidRPr="00205340">
        <w:rPr>
          <w:rStyle w:val="FootnoteReference"/>
        </w:rPr>
        <w:footnoteReference w:id="2"/>
      </w:r>
      <w:r w:rsidR="00904014" w:rsidRPr="00205340">
        <w:rPr>
          <w:vertAlign w:val="superscript"/>
        </w:rPr>
        <w:t>,</w:t>
      </w:r>
      <w:r w:rsidR="0089752C">
        <w:rPr>
          <w:rFonts w:ascii="ZWAdobeF" w:hAnsi="ZWAdobeF" w:cs="ZWAdobeF"/>
          <w:sz w:val="2"/>
          <w:szCs w:val="2"/>
        </w:rPr>
        <w:t>2F</w:t>
      </w:r>
      <w:r w:rsidR="00205F04" w:rsidRPr="00205340">
        <w:rPr>
          <w:rStyle w:val="FootnoteReference"/>
        </w:rPr>
        <w:footnoteReference w:id="3"/>
      </w:r>
      <w:r w:rsidR="00904014" w:rsidRPr="00205340">
        <w:rPr>
          <w:vertAlign w:val="superscript"/>
        </w:rPr>
        <w:t>,</w:t>
      </w:r>
      <w:r w:rsidR="0089752C">
        <w:rPr>
          <w:rFonts w:ascii="ZWAdobeF" w:hAnsi="ZWAdobeF" w:cs="ZWAdobeF"/>
          <w:sz w:val="2"/>
          <w:szCs w:val="2"/>
        </w:rPr>
        <w:t>3F</w:t>
      </w:r>
      <w:r w:rsidR="00AB06BB" w:rsidRPr="00205340">
        <w:rPr>
          <w:rStyle w:val="FootnoteReference"/>
        </w:rPr>
        <w:footnoteReference w:id="4"/>
      </w:r>
      <w:r w:rsidR="000D06BB" w:rsidRPr="00205340">
        <w:t xml:space="preserve">. </w:t>
      </w:r>
      <w:r w:rsidR="00B33AE4" w:rsidRPr="00205340">
        <w:t>Therefore, MSAC</w:t>
      </w:r>
      <w:r w:rsidR="00B7783D" w:rsidRPr="00205340">
        <w:t xml:space="preserve"> </w:t>
      </w:r>
      <w:r w:rsidR="003148E7" w:rsidRPr="00205340">
        <w:t>considered</w:t>
      </w:r>
      <w:r w:rsidR="00B33AE4" w:rsidRPr="00205340">
        <w:t xml:space="preserve"> that by comparing marstacimab to SHL (the factor prophylaxis used by </w:t>
      </w:r>
      <w:proofErr w:type="gramStart"/>
      <w:r w:rsidR="00B33AE4" w:rsidRPr="00205340">
        <w:t>the majority of</w:t>
      </w:r>
      <w:proofErr w:type="gramEnd"/>
      <w:r w:rsidR="00B33AE4" w:rsidRPr="00205340">
        <w:t xml:space="preserve"> patients in BASIS) the incremental effectiveness of marstacimab may be over-estimated compared to the incremental effectiveness that would likely be observed in practice in Australia.</w:t>
      </w:r>
    </w:p>
    <w:p w14:paraId="2877D123" w14:textId="3B11D93A" w:rsidR="008227F0" w:rsidRPr="00205340" w:rsidRDefault="008227F0" w:rsidP="008227F0">
      <w:pPr>
        <w:spacing w:after="240"/>
      </w:pPr>
      <w:r w:rsidRPr="00205340">
        <w:t xml:space="preserve">MSAC noted </w:t>
      </w:r>
      <w:r w:rsidR="00982D86" w:rsidRPr="00205340">
        <w:t>an</w:t>
      </w:r>
      <w:r w:rsidRPr="00205340">
        <w:t xml:space="preserve"> ongoing clinical trial</w:t>
      </w:r>
      <w:r w:rsidR="00A431A0" w:rsidRPr="00205340">
        <w:t>,</w:t>
      </w:r>
      <w:r w:rsidRPr="00205340">
        <w:t xml:space="preserve"> expected to be completed in 2027</w:t>
      </w:r>
      <w:r w:rsidR="00A431A0" w:rsidRPr="00205340">
        <w:t xml:space="preserve">, </w:t>
      </w:r>
      <w:r w:rsidR="00DD07AE" w:rsidRPr="00205340">
        <w:t xml:space="preserve">that </w:t>
      </w:r>
      <w:r w:rsidR="00A431A0" w:rsidRPr="00205340">
        <w:t>is</w:t>
      </w:r>
      <w:r w:rsidRPr="00205340">
        <w:t xml:space="preserve"> </w:t>
      </w:r>
      <w:r w:rsidR="00435429" w:rsidRPr="00205340">
        <w:t xml:space="preserve">evaluating </w:t>
      </w:r>
      <w:r w:rsidR="00152D9E" w:rsidRPr="00205340">
        <w:t xml:space="preserve">the impact of </w:t>
      </w:r>
      <w:r w:rsidRPr="00205340">
        <w:t>changing therapy from emicizumab to marstacimab</w:t>
      </w:r>
      <w:r w:rsidR="00E2218C" w:rsidRPr="00205340">
        <w:t xml:space="preserve"> in patients with </w:t>
      </w:r>
      <w:r w:rsidR="00FC5502" w:rsidRPr="00205340">
        <w:t>severe HMA</w:t>
      </w:r>
      <w:r w:rsidR="002D19D2" w:rsidRPr="00205340">
        <w:t xml:space="preserve">. MSAC noted this trial </w:t>
      </w:r>
      <w:r w:rsidR="006E283B" w:rsidRPr="00205340">
        <w:t>is a</w:t>
      </w:r>
      <w:r w:rsidR="00542457" w:rsidRPr="00205340">
        <w:t>n</w:t>
      </w:r>
      <w:r w:rsidR="006E283B" w:rsidRPr="00205340">
        <w:t xml:space="preserve"> </w:t>
      </w:r>
      <w:r w:rsidR="00C028A5" w:rsidRPr="00205340">
        <w:t xml:space="preserve">open labelled, non-randomised, </w:t>
      </w:r>
      <w:r w:rsidR="006E283B" w:rsidRPr="00205340">
        <w:t>within-patient comparison</w:t>
      </w:r>
      <w:r w:rsidR="00542457" w:rsidRPr="00205340">
        <w:t xml:space="preserve"> study</w:t>
      </w:r>
      <w:r w:rsidR="006E283B" w:rsidRPr="00205340">
        <w:t xml:space="preserve"> and has a small </w:t>
      </w:r>
      <w:r w:rsidR="009A3011" w:rsidRPr="00205340">
        <w:t>number</w:t>
      </w:r>
      <w:r w:rsidR="006E283B" w:rsidRPr="00205340">
        <w:t xml:space="preserve"> of participants (10-15)</w:t>
      </w:r>
      <w:r w:rsidR="009A3011" w:rsidRPr="00205340">
        <w:t>.</w:t>
      </w:r>
      <w:r w:rsidRPr="00205340">
        <w:t xml:space="preserve"> </w:t>
      </w:r>
      <w:r w:rsidR="002F7061" w:rsidRPr="00205340">
        <w:t xml:space="preserve">Given these </w:t>
      </w:r>
      <w:r w:rsidR="0B2F92B4" w:rsidRPr="00205340">
        <w:t>characteristics</w:t>
      </w:r>
      <w:r w:rsidR="002F7061" w:rsidRPr="00205340">
        <w:t xml:space="preserve">, </w:t>
      </w:r>
      <w:r w:rsidRPr="00205340">
        <w:t xml:space="preserve">MSAC considered that this </w:t>
      </w:r>
      <w:r w:rsidR="00542457" w:rsidRPr="00205340">
        <w:t xml:space="preserve">study </w:t>
      </w:r>
      <w:r w:rsidR="00A019F6" w:rsidRPr="00205340">
        <w:t>is unlikely to have a substantial impact</w:t>
      </w:r>
      <w:r w:rsidRPr="00205340">
        <w:t xml:space="preserve"> for </w:t>
      </w:r>
      <w:r w:rsidR="00A019F6" w:rsidRPr="00205340">
        <w:t xml:space="preserve">future </w:t>
      </w:r>
      <w:r w:rsidRPr="00205340">
        <w:t>decision-making</w:t>
      </w:r>
      <w:r w:rsidR="000E526A" w:rsidRPr="00205340">
        <w:t xml:space="preserve"> relating to the population with HMA without inhibitors </w:t>
      </w:r>
      <w:r w:rsidR="006F31BC" w:rsidRPr="00205340">
        <w:t xml:space="preserve">who </w:t>
      </w:r>
      <w:r w:rsidR="000E526A" w:rsidRPr="00205340">
        <w:t xml:space="preserve">are </w:t>
      </w:r>
      <w:r w:rsidR="001B3EE3" w:rsidRPr="00205340">
        <w:t>already able to be treated with emicizumab. This trial may provide evidence of benefit for the expected small number of patients receiving emicizumab that develop neutralising anti-emicizumab antibodies.</w:t>
      </w:r>
    </w:p>
    <w:p w14:paraId="4A48EE65" w14:textId="185D1A42" w:rsidR="008227F0" w:rsidRPr="00205340" w:rsidRDefault="008227F0" w:rsidP="008227F0">
      <w:pPr>
        <w:spacing w:after="240"/>
      </w:pPr>
      <w:r w:rsidRPr="00205340">
        <w:t xml:space="preserve">MSAC </w:t>
      </w:r>
      <w:r w:rsidR="00682C7E" w:rsidRPr="00205340">
        <w:t xml:space="preserve">noted the </w:t>
      </w:r>
      <w:r w:rsidR="002A67AB" w:rsidRPr="00205340">
        <w:t>applicant developed assessment report (</w:t>
      </w:r>
      <w:r w:rsidR="00076CB3" w:rsidRPr="00205340">
        <w:t>ADAR</w:t>
      </w:r>
      <w:r w:rsidR="002A67AB" w:rsidRPr="00205340">
        <w:t>)</w:t>
      </w:r>
      <w:r w:rsidR="00076CB3" w:rsidRPr="00205340">
        <w:t xml:space="preserve"> claim</w:t>
      </w:r>
      <w:r w:rsidR="006A0A69" w:rsidRPr="00205340">
        <w:t xml:space="preserve">ed </w:t>
      </w:r>
      <w:r w:rsidR="00EF54C6" w:rsidRPr="00205340">
        <w:t>marstacimab had</w:t>
      </w:r>
      <w:r w:rsidR="00076CB3" w:rsidRPr="00205340">
        <w:t xml:space="preserve"> </w:t>
      </w:r>
      <w:r w:rsidR="00F82385" w:rsidRPr="00205340">
        <w:t xml:space="preserve">non-inferior safety </w:t>
      </w:r>
      <w:r w:rsidR="00047C84" w:rsidRPr="00205340">
        <w:t xml:space="preserve">compared to </w:t>
      </w:r>
      <w:r w:rsidRPr="00205340">
        <w:t>emicizumab</w:t>
      </w:r>
      <w:r w:rsidR="00C64D0A" w:rsidRPr="00205340">
        <w:t xml:space="preserve"> in the HMA population. </w:t>
      </w:r>
      <w:r w:rsidR="002323FA" w:rsidRPr="00205340">
        <w:t xml:space="preserve">MSAC noted the </w:t>
      </w:r>
      <w:r w:rsidR="007C0866" w:rsidRPr="00205340">
        <w:t xml:space="preserve">indirect </w:t>
      </w:r>
      <w:r w:rsidR="002323FA" w:rsidRPr="00205340">
        <w:t>comparison between HAVEN 3 and BASIS to determine safety against emicizumab did not adjust for differences between the studi</w:t>
      </w:r>
      <w:r w:rsidR="003E032F" w:rsidRPr="00205340">
        <w:t>es</w:t>
      </w:r>
      <w:r w:rsidR="00006B25" w:rsidRPr="00205340">
        <w:t xml:space="preserve">. These include heterogeneity in assessment methods, timing and reporting of safety outcomes, and </w:t>
      </w:r>
      <w:r w:rsidR="00B551A8" w:rsidRPr="00205340">
        <w:t>different median treatment exposure times.</w:t>
      </w:r>
      <w:r w:rsidR="00714898" w:rsidRPr="00205340">
        <w:t xml:space="preserve"> MSAC considered that this </w:t>
      </w:r>
      <w:r w:rsidR="00A264A0" w:rsidRPr="00205340">
        <w:t>caused significant uncertainty in the results of the safety comparison.</w:t>
      </w:r>
      <w:r w:rsidR="00B551A8" w:rsidRPr="00205340">
        <w:t xml:space="preserve"> </w:t>
      </w:r>
      <w:r w:rsidR="00EF2503" w:rsidRPr="00205340">
        <w:t xml:space="preserve">MSAC noted the comparison showed the number of serious adverse events (SAEs), treatment-related SAEs and discontinuations due to adverse events (AEs) were similar for marstacimab and emicizumab. </w:t>
      </w:r>
      <w:r w:rsidR="00300534" w:rsidRPr="00205340">
        <w:t>W</w:t>
      </w:r>
      <w:r w:rsidR="0029469D" w:rsidRPr="00205340">
        <w:t>hile MSAC noted that the evidence</w:t>
      </w:r>
      <w:r w:rsidR="00F66CB2" w:rsidRPr="00205340">
        <w:t xml:space="preserve"> did show </w:t>
      </w:r>
      <w:r w:rsidR="0047041C" w:rsidRPr="00205340">
        <w:t>safety was</w:t>
      </w:r>
      <w:r w:rsidR="00F66CB2" w:rsidRPr="00205340">
        <w:t xml:space="preserve"> likely non-inferior,</w:t>
      </w:r>
      <w:r w:rsidR="00A264A0" w:rsidRPr="00205340">
        <w:t xml:space="preserve"> due to the uncertainty in the </w:t>
      </w:r>
      <w:r w:rsidR="00983638" w:rsidRPr="00205340">
        <w:t xml:space="preserve">outcomes, </w:t>
      </w:r>
      <w:r w:rsidR="008F4D8E" w:rsidRPr="00205340">
        <w:t xml:space="preserve">MSAC </w:t>
      </w:r>
      <w:r w:rsidR="006575A0" w:rsidRPr="00205340">
        <w:t>considered the safety claim could not be supported</w:t>
      </w:r>
      <w:r w:rsidR="0029469D" w:rsidRPr="00205340">
        <w:t xml:space="preserve"> by the evidence presented</w:t>
      </w:r>
      <w:r w:rsidR="008F4D8E" w:rsidRPr="00205340">
        <w:t>.</w:t>
      </w:r>
    </w:p>
    <w:p w14:paraId="7143CA78" w14:textId="4E8EE288" w:rsidR="00A17F66" w:rsidRPr="00205340" w:rsidRDefault="008227F0" w:rsidP="008227F0">
      <w:pPr>
        <w:spacing w:after="240"/>
      </w:pPr>
      <w:r w:rsidRPr="00205340">
        <w:t xml:space="preserve">MSAC </w:t>
      </w:r>
      <w:r w:rsidR="0050747B" w:rsidRPr="00205340">
        <w:t>noted the ADAR claim</w:t>
      </w:r>
      <w:r w:rsidR="006E757E" w:rsidRPr="00205340">
        <w:t>ed</w:t>
      </w:r>
      <w:r w:rsidR="0050747B" w:rsidRPr="00205340">
        <w:t xml:space="preserve"> </w:t>
      </w:r>
      <w:r w:rsidR="006E757E" w:rsidRPr="00205340">
        <w:t xml:space="preserve">marstacimab had </w:t>
      </w:r>
      <w:r w:rsidR="0050747B" w:rsidRPr="00205340">
        <w:t>non-inferior safety</w:t>
      </w:r>
      <w:r w:rsidR="007A400F" w:rsidRPr="00205340">
        <w:t xml:space="preserve"> </w:t>
      </w:r>
      <w:r w:rsidR="006E757E" w:rsidRPr="00205340">
        <w:t>compared to</w:t>
      </w:r>
      <w:r w:rsidRPr="00205340">
        <w:t xml:space="preserve"> EHL F</w:t>
      </w:r>
      <w:r w:rsidR="00B01A38" w:rsidRPr="00205340">
        <w:t>IX</w:t>
      </w:r>
      <w:r w:rsidRPr="00205340">
        <w:t xml:space="preserve"> prophylaxis </w:t>
      </w:r>
      <w:r w:rsidR="00856ACC" w:rsidRPr="00205340">
        <w:t xml:space="preserve">in the HMB population. </w:t>
      </w:r>
      <w:r w:rsidR="00BF0A2A" w:rsidRPr="00205340">
        <w:t>MSAC noted that the analysis</w:t>
      </w:r>
      <w:r w:rsidR="00400FC6" w:rsidRPr="00205340">
        <w:t xml:space="preserve"> of the safety </w:t>
      </w:r>
      <w:r w:rsidR="00212F17" w:rsidRPr="00205340">
        <w:t xml:space="preserve">outcomes was conducted using data from a </w:t>
      </w:r>
      <w:r w:rsidR="00F51003" w:rsidRPr="00205340">
        <w:t>pooled</w:t>
      </w:r>
      <w:r w:rsidR="00212F17" w:rsidRPr="00205340">
        <w:t xml:space="preserve"> HMA and HM</w:t>
      </w:r>
      <w:r w:rsidR="003B71D8" w:rsidRPr="00205340">
        <w:t>B</w:t>
      </w:r>
      <w:r w:rsidR="00212F17" w:rsidRPr="00205340">
        <w:t xml:space="preserve"> population</w:t>
      </w:r>
      <w:r w:rsidR="006009AF" w:rsidRPr="00205340">
        <w:t xml:space="preserve">. </w:t>
      </w:r>
      <w:r w:rsidR="00BA6F3F" w:rsidRPr="00205340">
        <w:t xml:space="preserve">MSAC noted that there was a small increase of </w:t>
      </w:r>
      <w:r w:rsidR="00D209A7" w:rsidRPr="00205340">
        <w:t>adverse events</w:t>
      </w:r>
      <w:r w:rsidR="00E70A1A" w:rsidRPr="00205340">
        <w:t xml:space="preserve"> (AEs)</w:t>
      </w:r>
      <w:r w:rsidR="00D209A7" w:rsidRPr="00205340">
        <w:t xml:space="preserve"> in the marstacimab group compared to those using factor prophylaxis, however </w:t>
      </w:r>
      <w:r w:rsidR="00E660A6" w:rsidRPr="00205340">
        <w:t>the</w:t>
      </w:r>
      <w:r w:rsidR="00D209A7" w:rsidRPr="00205340">
        <w:t xml:space="preserve"> overall </w:t>
      </w:r>
      <w:r w:rsidR="00E70A1A" w:rsidRPr="00205340">
        <w:t xml:space="preserve">AEs were mild-moderate in severity. </w:t>
      </w:r>
      <w:r w:rsidRPr="00205340">
        <w:t>MSAC noted that the pre-</w:t>
      </w:r>
      <w:r w:rsidRPr="00205340">
        <w:lastRenderedPageBreak/>
        <w:t>MSAC response</w:t>
      </w:r>
      <w:r w:rsidR="00876CA2" w:rsidRPr="00205340">
        <w:t xml:space="preserve"> defended the pooling of HMA and HMB data,</w:t>
      </w:r>
      <w:r w:rsidRPr="00205340">
        <w:t xml:space="preserve"> stat</w:t>
      </w:r>
      <w:r w:rsidR="00876CA2" w:rsidRPr="00205340">
        <w:t>ing</w:t>
      </w:r>
      <w:r w:rsidRPr="00205340">
        <w:t xml:space="preserve"> that the mechanism of action is the same for HMA and HMB,</w:t>
      </w:r>
      <w:r w:rsidR="008538BD" w:rsidRPr="00205340">
        <w:t xml:space="preserve"> </w:t>
      </w:r>
      <w:r w:rsidR="008B5CB9" w:rsidRPr="00205340">
        <w:t>and that this means there is no biological basis f</w:t>
      </w:r>
      <w:r w:rsidR="00302523" w:rsidRPr="00205340">
        <w:t xml:space="preserve">or expecting differing results in the HMA and HMB populations. The applicant also </w:t>
      </w:r>
      <w:r w:rsidR="0049049E" w:rsidRPr="00205340">
        <w:t>stated</w:t>
      </w:r>
      <w:r w:rsidR="00302523" w:rsidRPr="00205340">
        <w:t xml:space="preserve"> that </w:t>
      </w:r>
      <w:r w:rsidR="002F6AE1" w:rsidRPr="00205340">
        <w:t>combining the HMA and HMB data</w:t>
      </w:r>
      <w:r w:rsidRPr="00205340">
        <w:t xml:space="preserve"> </w:t>
      </w:r>
      <w:r w:rsidR="008177AE" w:rsidRPr="00205340">
        <w:t xml:space="preserve">increases the statistical precision as it allows for a larger sample size. </w:t>
      </w:r>
      <w:r w:rsidR="00A17F66" w:rsidRPr="00205340">
        <w:t xml:space="preserve">MSAC </w:t>
      </w:r>
      <w:r w:rsidR="0039186C" w:rsidRPr="00205340">
        <w:t>noted</w:t>
      </w:r>
      <w:r w:rsidR="00A17F66" w:rsidRPr="00205340">
        <w:t xml:space="preserve"> that while the mechanism of action may be the same across the population, analysing the subgroup data from the BASIS and BASIS LTE studies showed variation between the two populations.</w:t>
      </w:r>
      <w:r w:rsidR="006C2DD6" w:rsidRPr="00205340">
        <w:t xml:space="preserve"> For example</w:t>
      </w:r>
      <w:r w:rsidR="00ED6A85" w:rsidRPr="00205340">
        <w:t xml:space="preserve">, MSAC noted </w:t>
      </w:r>
      <w:r w:rsidR="00BB53FC" w:rsidRPr="00205340">
        <w:t>that the ADAR’s forest plot comparing ABRs for treated bleeds by haemophilia type show the mean between-treatment difference for the HMA population was -3.91 (95% CI: -7.10, -0.73), which maintains a noninferiority conclusion for marstacimab versus factor prophylaxis based on treated ABR. However, MSAC noted that the upper limit of the 95% CI for the treated ABR in the HMB population does not permit a conclusion of noninferiority based on a noninferiority margin of 2.5 treated bleeds/year (mean treated ABR difference 1.35 [95% CI: -1.44, 4.13])</w:t>
      </w:r>
      <w:r w:rsidR="001B3B7E" w:rsidRPr="00205340">
        <w:t xml:space="preserve"> as patients could have an additional 4.13 treat</w:t>
      </w:r>
      <w:r w:rsidR="0014378C" w:rsidRPr="00205340">
        <w:t>ed bleeds/year</w:t>
      </w:r>
      <w:r w:rsidR="00BB53FC" w:rsidRPr="00205340">
        <w:t>.</w:t>
      </w:r>
      <w:r w:rsidR="00A17F66" w:rsidRPr="00205340">
        <w:t xml:space="preserve"> MSAC </w:t>
      </w:r>
      <w:r w:rsidR="0039186C" w:rsidRPr="00205340">
        <w:t xml:space="preserve">noted that the population </w:t>
      </w:r>
      <w:r w:rsidR="00B83E71" w:rsidRPr="00205340">
        <w:t xml:space="preserve">for HMB is </w:t>
      </w:r>
      <w:r w:rsidR="0047055D" w:rsidRPr="00205340">
        <w:t>small and</w:t>
      </w:r>
      <w:r w:rsidR="00182FBF" w:rsidRPr="00205340">
        <w:t xml:space="preserve"> </w:t>
      </w:r>
      <w:r w:rsidR="0047055D" w:rsidRPr="00205340">
        <w:t xml:space="preserve">acknowledged the difficulty in </w:t>
      </w:r>
      <w:r w:rsidR="553828E3" w:rsidRPr="00205340">
        <w:t>interpreting the analyses from</w:t>
      </w:r>
      <w:r w:rsidR="0047055D" w:rsidRPr="00205340">
        <w:t xml:space="preserve"> a small population.</w:t>
      </w:r>
      <w:r w:rsidR="00B83E71" w:rsidRPr="00205340">
        <w:t xml:space="preserve"> </w:t>
      </w:r>
      <w:r w:rsidR="0047055D" w:rsidRPr="00205340">
        <w:t>MSAC</w:t>
      </w:r>
      <w:r w:rsidR="00B83E71" w:rsidRPr="00205340">
        <w:t xml:space="preserve"> considered that </w:t>
      </w:r>
      <w:r w:rsidR="00356DEF" w:rsidRPr="00205340">
        <w:t xml:space="preserve">whilst the BASIS trial was not powered for analysis by haemophilia type, presenting the results by haemophilia </w:t>
      </w:r>
      <w:r w:rsidR="00EE0616" w:rsidRPr="00205340">
        <w:t xml:space="preserve">and treatment </w:t>
      </w:r>
      <w:r w:rsidR="00356DEF" w:rsidRPr="00205340">
        <w:t>type will allow MSAC to determine whether any observed differences b</w:t>
      </w:r>
      <w:r w:rsidR="00A14D13" w:rsidRPr="00205340">
        <w:t>etween</w:t>
      </w:r>
      <w:r w:rsidR="00356DEF" w:rsidRPr="00205340">
        <w:t xml:space="preserve"> marstacimab and FIX are likely to be clinically important</w:t>
      </w:r>
      <w:r w:rsidR="00B01A38" w:rsidRPr="00205340">
        <w:t>.</w:t>
      </w:r>
      <w:r w:rsidR="000853AD" w:rsidRPr="00205340">
        <w:t xml:space="preserve"> </w:t>
      </w:r>
      <w:r w:rsidR="0067350B" w:rsidRPr="00205340">
        <w:t xml:space="preserve">MSAC noted the </w:t>
      </w:r>
      <w:r w:rsidR="00E85CA0" w:rsidRPr="00205340">
        <w:t xml:space="preserve">applicant’s </w:t>
      </w:r>
      <w:r w:rsidR="0067350B" w:rsidRPr="00205340">
        <w:t xml:space="preserve">pre-MSAC response </w:t>
      </w:r>
      <w:r w:rsidR="00C73B9F" w:rsidRPr="00205340">
        <w:t xml:space="preserve">claimed </w:t>
      </w:r>
      <w:r w:rsidR="0067350B" w:rsidRPr="00205340">
        <w:t xml:space="preserve">PASC </w:t>
      </w:r>
      <w:r w:rsidR="008E52D4" w:rsidRPr="00205340">
        <w:t xml:space="preserve">had </w:t>
      </w:r>
      <w:r w:rsidR="0067350B" w:rsidRPr="00205340">
        <w:t>advi</w:t>
      </w:r>
      <w:r w:rsidR="008E52D4" w:rsidRPr="00205340">
        <w:t>s</w:t>
      </w:r>
      <w:r w:rsidR="0067350B" w:rsidRPr="00205340">
        <w:t>e</w:t>
      </w:r>
      <w:r w:rsidR="008E52D4" w:rsidRPr="00205340">
        <w:t>d</w:t>
      </w:r>
      <w:r w:rsidR="0067350B" w:rsidRPr="00205340">
        <w:t xml:space="preserve"> </w:t>
      </w:r>
      <w:proofErr w:type="gramStart"/>
      <w:r w:rsidR="0067350B" w:rsidRPr="00205340">
        <w:t>to</w:t>
      </w:r>
      <w:r w:rsidR="005A48D3" w:rsidRPr="00205340">
        <w:t xml:space="preserve"> include</w:t>
      </w:r>
      <w:proofErr w:type="gramEnd"/>
      <w:r w:rsidR="0067350B" w:rsidRPr="00205340">
        <w:t xml:space="preserve"> </w:t>
      </w:r>
      <w:r w:rsidR="004E0137" w:rsidRPr="00205340">
        <w:t xml:space="preserve">patients with </w:t>
      </w:r>
      <w:r w:rsidR="0096206D" w:rsidRPr="00205340">
        <w:t xml:space="preserve">HMB with and without inhibitors in MSAC application 1805. </w:t>
      </w:r>
      <w:r w:rsidR="008C6C63" w:rsidRPr="00205340">
        <w:t xml:space="preserve">However, MSAC agreed with ESC that the applicant had misinterpreted PASC’s advice to expand the requested population for concizumab (application 1805) to include patients with HMB without inhibitors as well as patients with HMB with inhibitors as being advice to present a combined clinical evaluation across these patient populations. </w:t>
      </w:r>
    </w:p>
    <w:p w14:paraId="3526C2A3" w14:textId="1C80E1ED" w:rsidR="00A4137F" w:rsidRPr="00205340" w:rsidRDefault="008227F0" w:rsidP="008227F0">
      <w:pPr>
        <w:spacing w:after="240"/>
      </w:pPr>
      <w:r w:rsidRPr="00205340">
        <w:t xml:space="preserve">MSAC </w:t>
      </w:r>
      <w:r w:rsidR="00084009" w:rsidRPr="00205340">
        <w:t>note</w:t>
      </w:r>
      <w:r w:rsidR="004B0CC4" w:rsidRPr="00205340">
        <w:t>d</w:t>
      </w:r>
      <w:r w:rsidR="00084009" w:rsidRPr="00205340">
        <w:t xml:space="preserve"> the ADAR claim</w:t>
      </w:r>
      <w:r w:rsidR="00C0179F" w:rsidRPr="00205340">
        <w:t>ed marstacimab had</w:t>
      </w:r>
      <w:r w:rsidR="00084009" w:rsidRPr="00205340">
        <w:t xml:space="preserve"> non-inferior effectiveness </w:t>
      </w:r>
      <w:r w:rsidR="00C0179F" w:rsidRPr="00205340">
        <w:t>compared to</w:t>
      </w:r>
      <w:r w:rsidR="009E15BA" w:rsidRPr="00205340">
        <w:t xml:space="preserve"> emicizumab</w:t>
      </w:r>
      <w:r w:rsidR="004B0CC4" w:rsidRPr="00205340">
        <w:t xml:space="preserve"> in patients with HMA</w:t>
      </w:r>
      <w:r w:rsidR="009E15BA" w:rsidRPr="00205340">
        <w:t xml:space="preserve">. </w:t>
      </w:r>
      <w:r w:rsidR="008F43A7" w:rsidRPr="00205340">
        <w:t>MSAC noted</w:t>
      </w:r>
      <w:r w:rsidR="009A54B2" w:rsidRPr="00205340">
        <w:t xml:space="preserve"> an indirect treatment comparison</w:t>
      </w:r>
      <w:r w:rsidR="008602C5" w:rsidRPr="00205340">
        <w:t xml:space="preserve"> (ITC)</w:t>
      </w:r>
      <w:r w:rsidR="009A54B2" w:rsidRPr="00205340">
        <w:t xml:space="preserve"> was used to compare marstacimab (from BASIS) with emicizumab (from HAVEN 3). </w:t>
      </w:r>
      <w:r w:rsidR="00091211" w:rsidRPr="00205340">
        <w:t xml:space="preserve">MSAC noted the comparison did not use a common comparator (i.e. was unanchored) and attempted to adjust for confounders across the studies, including race/ethnicity. </w:t>
      </w:r>
      <w:r w:rsidR="009A54B2" w:rsidRPr="00205340">
        <w:t xml:space="preserve">MSAC noted </w:t>
      </w:r>
      <w:r w:rsidR="008B3DC8" w:rsidRPr="00205340">
        <w:t>that the</w:t>
      </w:r>
      <w:r w:rsidR="0047197B" w:rsidRPr="00205340">
        <w:t>re</w:t>
      </w:r>
      <w:r w:rsidR="008B3DC8" w:rsidRPr="00205340">
        <w:t xml:space="preserve"> were significant differences</w:t>
      </w:r>
      <w:r w:rsidR="00DA7CE4" w:rsidRPr="00205340">
        <w:t xml:space="preserve"> </w:t>
      </w:r>
      <w:r w:rsidR="008B3DC8" w:rsidRPr="00205340">
        <w:t xml:space="preserve">between the studies </w:t>
      </w:r>
      <w:r w:rsidR="0047197B" w:rsidRPr="00205340">
        <w:t xml:space="preserve">(baselines differences, small sample size, ABR measure, geographical and temporal differences) </w:t>
      </w:r>
      <w:r w:rsidR="008B3DC8" w:rsidRPr="00205340">
        <w:t xml:space="preserve">which </w:t>
      </w:r>
      <w:r w:rsidR="00DB2EC5" w:rsidRPr="00205340">
        <w:t xml:space="preserve">contributed to uncertainty </w:t>
      </w:r>
      <w:r w:rsidR="000A5E5C" w:rsidRPr="00205340">
        <w:t xml:space="preserve">in the </w:t>
      </w:r>
      <w:r w:rsidR="00A4137F" w:rsidRPr="00205340">
        <w:t>comparison’s</w:t>
      </w:r>
      <w:r w:rsidR="000A5E5C" w:rsidRPr="00205340">
        <w:t xml:space="preserve"> findings.</w:t>
      </w:r>
      <w:r w:rsidR="009A54B2" w:rsidRPr="00205340">
        <w:t xml:space="preserve"> </w:t>
      </w:r>
      <w:r w:rsidR="004D76BE" w:rsidRPr="00205340">
        <w:t xml:space="preserve">MSAC noted the </w:t>
      </w:r>
      <w:r w:rsidR="003276CA" w:rsidRPr="00205340">
        <w:t xml:space="preserve">applicant’s </w:t>
      </w:r>
      <w:r w:rsidR="004D76BE" w:rsidRPr="00205340">
        <w:t xml:space="preserve">pre-MSAC response </w:t>
      </w:r>
      <w:r w:rsidR="001B64DB" w:rsidRPr="00205340">
        <w:t xml:space="preserve">acknowledged that there were </w:t>
      </w:r>
      <w:r w:rsidR="006A1D6E" w:rsidRPr="00205340">
        <w:t>no head-to-head trials between marstacimab and emicizumab</w:t>
      </w:r>
      <w:r w:rsidR="008602C5" w:rsidRPr="00205340">
        <w:t>, however</w:t>
      </w:r>
      <w:r w:rsidR="00C543D5" w:rsidRPr="00205340">
        <w:t>, claimed that</w:t>
      </w:r>
      <w:r w:rsidR="008602C5" w:rsidRPr="00205340">
        <w:t xml:space="preserve"> the ITC</w:t>
      </w:r>
      <w:r w:rsidR="00BE57B8" w:rsidRPr="00205340">
        <w:t xml:space="preserve"> </w:t>
      </w:r>
      <w:r w:rsidR="00C543D5" w:rsidRPr="00205340">
        <w:t>was an appropriate but</w:t>
      </w:r>
      <w:r w:rsidR="00BE57B8" w:rsidRPr="00205340">
        <w:t xml:space="preserve"> cautious interpretation of the results</w:t>
      </w:r>
      <w:r w:rsidR="00C543D5" w:rsidRPr="00205340">
        <w:t xml:space="preserve">. </w:t>
      </w:r>
      <w:r w:rsidR="000C4E70" w:rsidRPr="00205340">
        <w:t xml:space="preserve">MSAC considered that, </w:t>
      </w:r>
      <w:r w:rsidR="00BB0A80" w:rsidRPr="00205340">
        <w:t>although</w:t>
      </w:r>
      <w:r w:rsidR="000C4E70" w:rsidRPr="00205340">
        <w:t xml:space="preserve"> the </w:t>
      </w:r>
      <w:r w:rsidR="00694E56" w:rsidRPr="00205340">
        <w:t xml:space="preserve">reported </w:t>
      </w:r>
      <w:r w:rsidR="00BB0A80" w:rsidRPr="00205340">
        <w:t xml:space="preserve">results of the </w:t>
      </w:r>
      <w:r w:rsidR="000C4E70" w:rsidRPr="00205340">
        <w:t>ITC</w:t>
      </w:r>
      <w:r w:rsidR="008176A3" w:rsidRPr="00205340">
        <w:t xml:space="preserve"> </w:t>
      </w:r>
      <w:r w:rsidR="00BB0A80" w:rsidRPr="00205340">
        <w:t xml:space="preserve">appeared to </w:t>
      </w:r>
      <w:r w:rsidR="008176A3" w:rsidRPr="00205340">
        <w:t xml:space="preserve">support the </w:t>
      </w:r>
      <w:r w:rsidR="000439F7" w:rsidRPr="00205340">
        <w:t xml:space="preserve">non-inferior </w:t>
      </w:r>
      <w:r w:rsidR="008176A3" w:rsidRPr="00205340">
        <w:t>effectiveness claim</w:t>
      </w:r>
      <w:r w:rsidR="000315FA" w:rsidRPr="00205340">
        <w:t xml:space="preserve"> for HMA</w:t>
      </w:r>
      <w:r w:rsidR="008176A3" w:rsidRPr="00205340">
        <w:t>,</w:t>
      </w:r>
      <w:r w:rsidR="000C4E70" w:rsidRPr="00205340">
        <w:t xml:space="preserve"> </w:t>
      </w:r>
      <w:r w:rsidR="00C61F4A" w:rsidRPr="00205340">
        <w:t>this</w:t>
      </w:r>
      <w:r w:rsidR="007E6D50" w:rsidRPr="00205340">
        <w:t xml:space="preserve"> was</w:t>
      </w:r>
      <w:r w:rsidR="000C4E70" w:rsidRPr="00205340">
        <w:t xml:space="preserve"> </w:t>
      </w:r>
      <w:r w:rsidR="001C1329" w:rsidRPr="00205340">
        <w:t xml:space="preserve">highly uncertain and </w:t>
      </w:r>
      <w:r w:rsidR="000C4E70" w:rsidRPr="00205340">
        <w:t>ultimately un</w:t>
      </w:r>
      <w:r w:rsidR="008176A3" w:rsidRPr="00205340">
        <w:t>substantiated</w:t>
      </w:r>
      <w:r w:rsidR="000C4E70" w:rsidRPr="00205340">
        <w:t xml:space="preserve"> due to the significant limitations in the study and comparison.</w:t>
      </w:r>
    </w:p>
    <w:p w14:paraId="5D07225A" w14:textId="7DE8B5A2" w:rsidR="00F9354A" w:rsidRPr="00205340" w:rsidRDefault="004B0CC4" w:rsidP="008227F0">
      <w:pPr>
        <w:spacing w:after="240"/>
      </w:pPr>
      <w:r w:rsidRPr="00205340">
        <w:t>MSAC noted the ADAR claim</w:t>
      </w:r>
      <w:r w:rsidR="00A0513F" w:rsidRPr="00205340">
        <w:t>ed marstacimab had</w:t>
      </w:r>
      <w:r w:rsidR="008227F0" w:rsidRPr="00205340">
        <w:t xml:space="preserve"> superior effectiveness </w:t>
      </w:r>
      <w:r w:rsidR="00A0513F" w:rsidRPr="00205340">
        <w:t xml:space="preserve">compared to </w:t>
      </w:r>
      <w:r w:rsidR="008227F0" w:rsidRPr="00205340">
        <w:t>factor prophylaxis</w:t>
      </w:r>
      <w:r w:rsidR="007E7CF3" w:rsidRPr="00205340">
        <w:t>.</w:t>
      </w:r>
      <w:r w:rsidR="00F9354A" w:rsidRPr="00205340">
        <w:t xml:space="preserve"> MSAC noted</w:t>
      </w:r>
      <w:r w:rsidR="008227F0" w:rsidRPr="00205340">
        <w:t xml:space="preserve"> in the pooled HMA and HMB population</w:t>
      </w:r>
      <w:r w:rsidR="00B04A0E" w:rsidRPr="00205340">
        <w:t xml:space="preserve"> the mean ABR was 7.85 (95% CI: 5.09, 10.61) for factor prophylaxis and 5.08 (95% CI: 3.40, 6.77) for marstacimab. MSAC noted </w:t>
      </w:r>
      <w:r w:rsidR="00BF3715" w:rsidRPr="00205340">
        <w:t xml:space="preserve">a key concern from ESC was whether </w:t>
      </w:r>
      <w:r w:rsidR="00D1638F" w:rsidRPr="00205340">
        <w:t>using</w:t>
      </w:r>
      <w:r w:rsidR="00DD5330" w:rsidRPr="00205340">
        <w:t xml:space="preserve"> mean ABR was the appropriate measure, given the disproportionate distribution of patients across each of the bleed categories</w:t>
      </w:r>
      <w:r w:rsidR="003F4070" w:rsidRPr="00205340">
        <w:t xml:space="preserve">. </w:t>
      </w:r>
      <w:r w:rsidR="00EA5B99" w:rsidRPr="00205340">
        <w:t xml:space="preserve">MSAC noted the separate </w:t>
      </w:r>
      <w:r w:rsidR="00AD4B2F" w:rsidRPr="00205340">
        <w:t>analysis of effectiveness outcomes by haemophilia type</w:t>
      </w:r>
      <w:r w:rsidR="000F5A61" w:rsidRPr="00205340">
        <w:t xml:space="preserve">. MSAC </w:t>
      </w:r>
      <w:r w:rsidR="002E6154" w:rsidRPr="00205340">
        <w:t>noted</w:t>
      </w:r>
      <w:r w:rsidR="00C93C14" w:rsidRPr="00205340">
        <w:t xml:space="preserve"> the res</w:t>
      </w:r>
      <w:r w:rsidR="002A4E36" w:rsidRPr="00205340">
        <w:t xml:space="preserve">ults presented in the ADAR </w:t>
      </w:r>
      <w:r w:rsidR="005C4760" w:rsidRPr="00205340">
        <w:t>indicated marstacimab had</w:t>
      </w:r>
      <w:r w:rsidR="002A4E36" w:rsidRPr="00205340">
        <w:t xml:space="preserve"> superior effectiveness over factor </w:t>
      </w:r>
      <w:r w:rsidR="00604FA3" w:rsidRPr="00205340">
        <w:t>prophylaxis in the HMA population,</w:t>
      </w:r>
      <w:r w:rsidR="001006D4" w:rsidRPr="00205340">
        <w:t xml:space="preserve"> </w:t>
      </w:r>
      <w:r w:rsidR="0036320B" w:rsidRPr="00205340">
        <w:t xml:space="preserve">but that </w:t>
      </w:r>
      <w:r w:rsidR="00B55CF2" w:rsidRPr="00205340">
        <w:t xml:space="preserve">superior effectiveness </w:t>
      </w:r>
      <w:r w:rsidR="0036320B" w:rsidRPr="00205340">
        <w:t xml:space="preserve">of marstacimab </w:t>
      </w:r>
      <w:r w:rsidR="00B55CF2" w:rsidRPr="00205340">
        <w:t xml:space="preserve">over factor prophylaxis in the HMB population was not </w:t>
      </w:r>
      <w:r w:rsidR="0095326C" w:rsidRPr="00205340">
        <w:t xml:space="preserve">supported. </w:t>
      </w:r>
      <w:r w:rsidR="005730A1" w:rsidRPr="00205340">
        <w:t>However,</w:t>
      </w:r>
      <w:r w:rsidR="0095326C" w:rsidRPr="00205340">
        <w:t xml:space="preserve"> MSAC </w:t>
      </w:r>
      <w:r w:rsidR="00CB188F" w:rsidRPr="00205340">
        <w:t xml:space="preserve">reiterated </w:t>
      </w:r>
      <w:r w:rsidR="0095326C" w:rsidRPr="00205340">
        <w:t>that the applicability</w:t>
      </w:r>
      <w:r w:rsidR="00FF327D" w:rsidRPr="00205340">
        <w:t xml:space="preserve"> issues</w:t>
      </w:r>
      <w:r w:rsidR="0095326C" w:rsidRPr="00205340">
        <w:t xml:space="preserve"> </w:t>
      </w:r>
      <w:r w:rsidR="00BE5A89" w:rsidRPr="00205340">
        <w:t>of the</w:t>
      </w:r>
      <w:r w:rsidR="00ED284B" w:rsidRPr="00205340">
        <w:t xml:space="preserve"> BASIS</w:t>
      </w:r>
      <w:r w:rsidR="00BE5A89" w:rsidRPr="00205340">
        <w:t xml:space="preserve"> study to the </w:t>
      </w:r>
      <w:r w:rsidR="00017B83" w:rsidRPr="00205340">
        <w:t>Australian population</w:t>
      </w:r>
      <w:r w:rsidR="00ED284B" w:rsidRPr="00205340">
        <w:t xml:space="preserve">, </w:t>
      </w:r>
      <w:r w:rsidR="00070DE7" w:rsidRPr="00205340">
        <w:t>created</w:t>
      </w:r>
      <w:r w:rsidR="005A425D" w:rsidRPr="00205340">
        <w:t xml:space="preserve"> significant uncertainty in the results</w:t>
      </w:r>
      <w:r w:rsidR="00017B83" w:rsidRPr="00205340">
        <w:t xml:space="preserve"> and </w:t>
      </w:r>
      <w:r w:rsidR="00CD2652" w:rsidRPr="00205340">
        <w:t xml:space="preserve">likely overestimate the </w:t>
      </w:r>
      <w:r w:rsidR="004E5FB2" w:rsidRPr="00205340">
        <w:t xml:space="preserve">incremental effectiveness of marstacimab. As such, MSAC concluded that </w:t>
      </w:r>
      <w:r w:rsidR="003D1859" w:rsidRPr="00205340">
        <w:t>the</w:t>
      </w:r>
      <w:r w:rsidR="00D23C5D" w:rsidRPr="00205340">
        <w:t xml:space="preserve"> claim t</w:t>
      </w:r>
      <w:r w:rsidR="00902846" w:rsidRPr="00205340">
        <w:t>hat marstacimab had</w:t>
      </w:r>
      <w:r w:rsidR="00870E3F" w:rsidRPr="00205340">
        <w:t xml:space="preserve"> superior effectiveness </w:t>
      </w:r>
      <w:r w:rsidR="00902846" w:rsidRPr="00205340">
        <w:t xml:space="preserve">compared to factor prophylaxis </w:t>
      </w:r>
      <w:r w:rsidR="00870E3F" w:rsidRPr="00205340">
        <w:t xml:space="preserve">in the HMA population could not be substantiated. </w:t>
      </w:r>
    </w:p>
    <w:p w14:paraId="07CB1A12" w14:textId="6134EA4F" w:rsidR="002A67AB" w:rsidRPr="00205340" w:rsidRDefault="00CE4A1E" w:rsidP="008227F0">
      <w:pPr>
        <w:spacing w:after="240"/>
      </w:pPr>
      <w:r w:rsidRPr="00205340">
        <w:lastRenderedPageBreak/>
        <w:t xml:space="preserve">MSAC noted that the ADAR had not </w:t>
      </w:r>
      <w:r w:rsidR="003035B8" w:rsidRPr="00205340">
        <w:t xml:space="preserve">included comparison against near market comparators </w:t>
      </w:r>
      <w:r w:rsidR="00B02FEB" w:rsidRPr="00205340">
        <w:t xml:space="preserve">that had recently been considered </w:t>
      </w:r>
      <w:r w:rsidR="009927E1" w:rsidRPr="00205340">
        <w:t xml:space="preserve">and supported </w:t>
      </w:r>
      <w:r w:rsidR="00B02FEB" w:rsidRPr="00205340">
        <w:t>by MSAC (etranacogene dezaparvovec [ED]</w:t>
      </w:r>
      <w:r w:rsidR="0089752C">
        <w:rPr>
          <w:rFonts w:ascii="ZWAdobeF" w:hAnsi="ZWAdobeF" w:cs="ZWAdobeF"/>
          <w:sz w:val="2"/>
          <w:szCs w:val="2"/>
        </w:rPr>
        <w:t>4F</w:t>
      </w:r>
      <w:r w:rsidR="004E14A6" w:rsidRPr="00205340">
        <w:rPr>
          <w:rStyle w:val="FootnoteReference"/>
        </w:rPr>
        <w:footnoteReference w:id="5"/>
      </w:r>
      <w:r w:rsidR="00B02FEB" w:rsidRPr="00205340">
        <w:t xml:space="preserve">) or were </w:t>
      </w:r>
      <w:r w:rsidR="00EA3A49" w:rsidRPr="00205340">
        <w:t xml:space="preserve">also currently being </w:t>
      </w:r>
      <w:r w:rsidR="001E5111" w:rsidRPr="00205340">
        <w:t xml:space="preserve">considered by </w:t>
      </w:r>
      <w:r w:rsidR="00EA3A49" w:rsidRPr="00205340">
        <w:t>MSAC (concizumab</w:t>
      </w:r>
      <w:r w:rsidR="0089752C">
        <w:rPr>
          <w:rFonts w:ascii="ZWAdobeF" w:hAnsi="ZWAdobeF" w:cs="ZWAdobeF"/>
          <w:sz w:val="2"/>
          <w:szCs w:val="2"/>
        </w:rPr>
        <w:t>5F</w:t>
      </w:r>
      <w:r w:rsidR="000D6759" w:rsidRPr="00205340">
        <w:rPr>
          <w:rStyle w:val="FootnoteReference"/>
        </w:rPr>
        <w:footnoteReference w:id="6"/>
      </w:r>
      <w:r w:rsidR="00EA3A49" w:rsidRPr="00205340">
        <w:t>).</w:t>
      </w:r>
      <w:r w:rsidR="003035B8" w:rsidRPr="00205340">
        <w:t xml:space="preserve"> </w:t>
      </w:r>
      <w:r w:rsidR="00F6789B" w:rsidRPr="00205340">
        <w:t>MSAC noted</w:t>
      </w:r>
      <w:r w:rsidR="00AB0797" w:rsidRPr="00205340">
        <w:t xml:space="preserve"> the commentary presented</w:t>
      </w:r>
      <w:r w:rsidR="00F6789B" w:rsidRPr="00205340">
        <w:t xml:space="preserve"> a preliminary assessment</w:t>
      </w:r>
      <w:r w:rsidR="0069274E" w:rsidRPr="00205340">
        <w:t>,</w:t>
      </w:r>
      <w:r w:rsidR="00F6789B" w:rsidRPr="00205340">
        <w:t xml:space="preserve"> </w:t>
      </w:r>
      <w:r w:rsidR="0069274E" w:rsidRPr="00205340">
        <w:t xml:space="preserve">which compared </w:t>
      </w:r>
      <w:r w:rsidR="00F6789B" w:rsidRPr="00205340">
        <w:t>marstacimab with ED</w:t>
      </w:r>
      <w:r w:rsidR="00C40790" w:rsidRPr="00205340">
        <w:t xml:space="preserve"> </w:t>
      </w:r>
      <w:r w:rsidR="00C9163F" w:rsidRPr="00205340">
        <w:t>(</w:t>
      </w:r>
      <w:r w:rsidR="003F731B" w:rsidRPr="00205340">
        <w:t xml:space="preserve">MSAC </w:t>
      </w:r>
      <w:r w:rsidR="00614D5A" w:rsidRPr="00205340">
        <w:t>a</w:t>
      </w:r>
      <w:r w:rsidR="003F731B" w:rsidRPr="00205340">
        <w:t>pplication 1728.1)</w:t>
      </w:r>
      <w:r w:rsidR="00F6789B" w:rsidRPr="00205340">
        <w:t xml:space="preserve">. </w:t>
      </w:r>
      <w:r w:rsidR="00F440C9" w:rsidRPr="00205340">
        <w:t xml:space="preserve">MSAC noted that </w:t>
      </w:r>
      <w:r w:rsidR="001E3E16" w:rsidRPr="00205340">
        <w:t>following infusion of ED, 63% of participants reported no bleeding episodes in months 7 to 18, and 94% of participants were able to cease regular FIX prophylaxis</w:t>
      </w:r>
      <w:r w:rsidR="00D933AE" w:rsidRPr="00205340">
        <w:t>. MSAC noted that</w:t>
      </w:r>
      <w:r w:rsidR="001E3E16" w:rsidRPr="00205340">
        <w:t xml:space="preserve"> this corresponds to a lower adjusted </w:t>
      </w:r>
      <w:r w:rsidR="00EF1A8F" w:rsidRPr="00205340">
        <w:t>annualised bleeding rate (</w:t>
      </w:r>
      <w:r w:rsidR="001E3E16" w:rsidRPr="00205340">
        <w:t>ABR</w:t>
      </w:r>
      <w:r w:rsidR="00EF1A8F" w:rsidRPr="00205340">
        <w:t>)</w:t>
      </w:r>
      <w:r w:rsidR="001E3E16" w:rsidRPr="00205340">
        <w:t xml:space="preserve"> (total bleeds) than the rate of treated bleeds reported in BASIS for marstacimab.</w:t>
      </w:r>
      <w:r w:rsidR="00805245" w:rsidRPr="00205340">
        <w:t xml:space="preserve"> MSAC considered that the results suggeste</w:t>
      </w:r>
      <w:r w:rsidR="006A3FA2" w:rsidRPr="00205340">
        <w:t>d marstacimab may be inferior to ED.</w:t>
      </w:r>
      <w:r w:rsidR="001E3E16" w:rsidRPr="00205340">
        <w:t xml:space="preserve"> </w:t>
      </w:r>
      <w:r w:rsidR="00F6789B" w:rsidRPr="00205340">
        <w:t xml:space="preserve">However, MSAC </w:t>
      </w:r>
      <w:r w:rsidR="00D933AE" w:rsidRPr="00205340">
        <w:t>agreed with ESC that</w:t>
      </w:r>
      <w:r w:rsidR="00F6789B" w:rsidRPr="00205340">
        <w:t xml:space="preserve"> these data </w:t>
      </w:r>
      <w:r w:rsidR="00D933AE" w:rsidRPr="00205340">
        <w:t>are</w:t>
      </w:r>
      <w:r w:rsidR="00F6789B" w:rsidRPr="00205340">
        <w:t xml:space="preserve"> highly uncertain given the naive comparison of </w:t>
      </w:r>
      <w:r w:rsidR="00805245" w:rsidRPr="00205340">
        <w:t>two</w:t>
      </w:r>
      <w:r w:rsidR="00F6789B" w:rsidRPr="00205340">
        <w:t xml:space="preserve"> different outcome measures (ABR in the HOPE-B trial compared with treated bleeds in the BASIS trial).</w:t>
      </w:r>
      <w:r w:rsidR="00EF1A8F" w:rsidRPr="00205340">
        <w:t xml:space="preserve"> </w:t>
      </w:r>
      <w:r w:rsidR="002A67AB" w:rsidRPr="00205340">
        <w:t>MSAC agreed with PASC advice that concizumab and ED</w:t>
      </w:r>
      <w:r w:rsidR="007B16BD" w:rsidRPr="00205340">
        <w:t xml:space="preserve"> </w:t>
      </w:r>
      <w:r w:rsidR="002A67AB" w:rsidRPr="00205340">
        <w:t>should</w:t>
      </w:r>
      <w:r w:rsidR="00FF327D" w:rsidRPr="00205340">
        <w:t xml:space="preserve"> have</w:t>
      </w:r>
      <w:r w:rsidR="002A67AB" w:rsidRPr="00205340">
        <w:t xml:space="preserve"> be</w:t>
      </w:r>
      <w:r w:rsidR="00FF327D" w:rsidRPr="00205340">
        <w:t>en</w:t>
      </w:r>
      <w:r w:rsidR="002A67AB" w:rsidRPr="00205340">
        <w:t xml:space="preserve"> included as near-market comparators for marstacimab</w:t>
      </w:r>
      <w:r w:rsidR="002D74F0" w:rsidRPr="00205340">
        <w:t>, noting both concizumab and E</w:t>
      </w:r>
      <w:r w:rsidR="00422604" w:rsidRPr="00205340">
        <w:t>D were for treatment of patients with HMB with and without inhibitors</w:t>
      </w:r>
      <w:r w:rsidR="002A67AB" w:rsidRPr="00205340">
        <w:t>. MSAC noted in the pre-MSAC response, that while the applicant acknowledged ED as a relevant near market comparator, they did not agree that it was an appropriate economic comparator for marstacimab. The applicant also stated that it was not public information</w:t>
      </w:r>
      <w:r w:rsidR="00C66473" w:rsidRPr="00205340">
        <w:t xml:space="preserve"> (at the time of ADAR development for MSAC 1806)</w:t>
      </w:r>
      <w:r w:rsidR="002A67AB" w:rsidRPr="00205340">
        <w:t xml:space="preserve"> that the population of MSAC Application 1805, for concizumab, include the non-inhibitor HMB population. MSAC noted the </w:t>
      </w:r>
      <w:r w:rsidR="00E41E2F" w:rsidRPr="00205340">
        <w:t xml:space="preserve">published </w:t>
      </w:r>
      <w:r w:rsidR="002A67AB" w:rsidRPr="00205340">
        <w:t xml:space="preserve">PICO confirmation for MSAC Application 1805 </w:t>
      </w:r>
      <w:r w:rsidR="0041667D" w:rsidRPr="00205340">
        <w:t xml:space="preserve">captured PASC advice </w:t>
      </w:r>
      <w:r w:rsidR="002A67AB" w:rsidRPr="00205340">
        <w:t xml:space="preserve">that </w:t>
      </w:r>
      <w:r w:rsidR="0041667D" w:rsidRPr="00205340">
        <w:t xml:space="preserve">MSAC </w:t>
      </w:r>
      <w:r w:rsidR="002A67AB" w:rsidRPr="00205340">
        <w:t xml:space="preserve">application </w:t>
      </w:r>
      <w:r w:rsidR="0041667D" w:rsidRPr="00205340">
        <w:t xml:space="preserve">1805 </w:t>
      </w:r>
      <w:r w:rsidR="002A67AB" w:rsidRPr="00205340">
        <w:t xml:space="preserve">should </w:t>
      </w:r>
      <w:r w:rsidR="00A85A8D" w:rsidRPr="00205340">
        <w:t xml:space="preserve">be expanded </w:t>
      </w:r>
      <w:r w:rsidR="002A67AB" w:rsidRPr="00205340">
        <w:t xml:space="preserve">to include </w:t>
      </w:r>
      <w:r w:rsidR="00E24EF6" w:rsidRPr="00205340">
        <w:t xml:space="preserve">patients with HMB </w:t>
      </w:r>
      <w:r w:rsidR="002A67AB" w:rsidRPr="00205340">
        <w:t>with and without inhibitors. MSAC noted that</w:t>
      </w:r>
      <w:r w:rsidR="003C43FD" w:rsidRPr="00205340">
        <w:t>,</w:t>
      </w:r>
      <w:r w:rsidR="002A67AB" w:rsidRPr="00205340">
        <w:t xml:space="preserve"> </w:t>
      </w:r>
      <w:r w:rsidR="00B9369E" w:rsidRPr="00205340">
        <w:t xml:space="preserve">while MSAC had supported </w:t>
      </w:r>
      <w:r w:rsidR="002A67AB" w:rsidRPr="00205340">
        <w:t xml:space="preserve">ED and </w:t>
      </w:r>
      <w:r w:rsidR="00B9369E" w:rsidRPr="00205340">
        <w:t xml:space="preserve">was currently considering </w:t>
      </w:r>
      <w:r w:rsidR="002A67AB" w:rsidRPr="00205340">
        <w:t>concizumab</w:t>
      </w:r>
      <w:r w:rsidR="003C43FD" w:rsidRPr="00205340">
        <w:t>,</w:t>
      </w:r>
      <w:r w:rsidR="002A67AB" w:rsidRPr="00205340">
        <w:t xml:space="preserve"> </w:t>
      </w:r>
      <w:r w:rsidR="004701CF" w:rsidRPr="00205340">
        <w:t xml:space="preserve">both therapies </w:t>
      </w:r>
      <w:r w:rsidR="00815B67" w:rsidRPr="00205340">
        <w:t>are</w:t>
      </w:r>
      <w:r w:rsidR="002A67AB" w:rsidRPr="00205340">
        <w:t xml:space="preserve"> not yet publicly </w:t>
      </w:r>
      <w:r w:rsidR="00815B67" w:rsidRPr="00205340">
        <w:t>funded</w:t>
      </w:r>
      <w:r w:rsidR="002A67AB" w:rsidRPr="00205340">
        <w:t xml:space="preserve"> within Australia</w:t>
      </w:r>
      <w:r w:rsidR="004701CF" w:rsidRPr="00205340">
        <w:t>. H</w:t>
      </w:r>
      <w:r w:rsidR="002A67AB" w:rsidRPr="00205340">
        <w:t xml:space="preserve">owever, MSAC considered that a comparative assessment </w:t>
      </w:r>
      <w:r w:rsidR="00EF1A8F" w:rsidRPr="00205340">
        <w:t xml:space="preserve">of </w:t>
      </w:r>
      <w:r w:rsidR="002A67AB" w:rsidRPr="00205340">
        <w:t>effectiveness and safety of ED and concizumab (compared to marstacimab) should be included in any future submission.</w:t>
      </w:r>
    </w:p>
    <w:p w14:paraId="739CE2AA" w14:textId="7DB7D088" w:rsidR="00A74154" w:rsidRPr="00205340" w:rsidRDefault="0061152F" w:rsidP="008227F0">
      <w:pPr>
        <w:spacing w:after="240"/>
      </w:pPr>
      <w:r w:rsidRPr="00205340">
        <w:t>MSAC noted</w:t>
      </w:r>
      <w:r w:rsidR="00781E37" w:rsidRPr="00205340">
        <w:t xml:space="preserve"> that for the economic evaluations, the ADAR presented a cost minimisation approach (CMA) for patients with HMA against emicizumab, and a cost-utility analysis (CUA) for a pooled HMA and HMB population with factor prophylaxis as the comparator.</w:t>
      </w:r>
      <w:r w:rsidR="007C1D94" w:rsidRPr="00205340">
        <w:t xml:space="preserve"> MSAC </w:t>
      </w:r>
      <w:r w:rsidR="00632F8D" w:rsidRPr="00205340">
        <w:t xml:space="preserve">noted that the </w:t>
      </w:r>
      <w:r w:rsidR="00242D5C" w:rsidRPr="00205340">
        <w:t xml:space="preserve">commentary </w:t>
      </w:r>
      <w:r w:rsidR="008B3A34" w:rsidRPr="00205340">
        <w:t xml:space="preserve">also presented a CMA for the HMB population against EHL FIX. </w:t>
      </w:r>
      <w:r w:rsidR="00DF42D7" w:rsidRPr="00205340">
        <w:t xml:space="preserve">MSAC noted </w:t>
      </w:r>
      <w:r w:rsidR="00EC1ADA" w:rsidRPr="00205340">
        <w:t>that a range of al</w:t>
      </w:r>
      <w:r w:rsidR="00EE004D" w:rsidRPr="00205340">
        <w:t xml:space="preserve">ternative treatments exist for </w:t>
      </w:r>
      <w:r w:rsidR="00E87E2B" w:rsidRPr="00205340">
        <w:t>h</w:t>
      </w:r>
      <w:r w:rsidR="001D0D72" w:rsidRPr="00205340">
        <w:t>aemophilia and</w:t>
      </w:r>
      <w:r w:rsidR="00D80457" w:rsidRPr="00205340">
        <w:t xml:space="preserve"> agreed with ESC’s recommendation</w:t>
      </w:r>
      <w:r w:rsidR="00B5096F" w:rsidRPr="00205340">
        <w:t xml:space="preserve">s </w:t>
      </w:r>
      <w:r w:rsidR="005C4E76" w:rsidRPr="00205340">
        <w:t xml:space="preserve">for </w:t>
      </w:r>
      <w:r w:rsidR="0087592E" w:rsidRPr="00205340">
        <w:t xml:space="preserve">a conservative approach </w:t>
      </w:r>
      <w:r w:rsidR="004B79DD" w:rsidRPr="00205340">
        <w:t xml:space="preserve">to </w:t>
      </w:r>
      <w:r w:rsidR="0087592E" w:rsidRPr="00205340">
        <w:t>pricing</w:t>
      </w:r>
      <w:r w:rsidR="008A07A7" w:rsidRPr="00205340">
        <w:t xml:space="preserve"> of marstacimab</w:t>
      </w:r>
      <w:r w:rsidR="003E6611" w:rsidRPr="00205340">
        <w:t>,</w:t>
      </w:r>
      <w:r w:rsidR="0087592E" w:rsidRPr="00205340">
        <w:t xml:space="preserve"> </w:t>
      </w:r>
      <w:r w:rsidR="005C4E76" w:rsidRPr="00205340">
        <w:t>and</w:t>
      </w:r>
      <w:r w:rsidR="00301E3D" w:rsidRPr="00205340">
        <w:t xml:space="preserve"> </w:t>
      </w:r>
      <w:r w:rsidR="003E6611" w:rsidRPr="00205340">
        <w:t xml:space="preserve">that </w:t>
      </w:r>
      <w:r w:rsidR="00301E3D" w:rsidRPr="00205340">
        <w:rPr>
          <w:rFonts w:eastAsia="Franklin Gothic Book" w:cs="Franklin Gothic Book"/>
          <w:color w:val="000000" w:themeColor="text1"/>
        </w:rPr>
        <w:t xml:space="preserve">uncertainty in clinical benefit </w:t>
      </w:r>
      <w:r w:rsidR="009C70A4" w:rsidRPr="00205340">
        <w:rPr>
          <w:rFonts w:eastAsia="Franklin Gothic Book" w:cs="Franklin Gothic Book"/>
          <w:color w:val="000000" w:themeColor="text1"/>
        </w:rPr>
        <w:t xml:space="preserve">should </w:t>
      </w:r>
      <w:r w:rsidR="00301E3D" w:rsidRPr="00205340">
        <w:rPr>
          <w:rFonts w:eastAsia="Franklin Gothic Book" w:cs="Franklin Gothic Book"/>
          <w:color w:val="000000" w:themeColor="text1"/>
        </w:rPr>
        <w:t>be reflected through a lower acceptable cost-neutral price</w:t>
      </w:r>
      <w:r w:rsidR="003E6611" w:rsidRPr="00205340">
        <w:rPr>
          <w:rFonts w:eastAsia="Franklin Gothic Book" w:cs="Franklin Gothic Book"/>
          <w:color w:val="000000" w:themeColor="text1"/>
        </w:rPr>
        <w:t>.</w:t>
      </w:r>
    </w:p>
    <w:p w14:paraId="47B64E28" w14:textId="1B8666FE" w:rsidR="00A74154" w:rsidRPr="00205340" w:rsidRDefault="00CD7A20" w:rsidP="008227F0">
      <w:pPr>
        <w:spacing w:after="240"/>
      </w:pPr>
      <w:r w:rsidRPr="00205340">
        <w:t>Regarding</w:t>
      </w:r>
      <w:r w:rsidR="00B473D1" w:rsidRPr="00205340">
        <w:t xml:space="preserve"> </w:t>
      </w:r>
      <w:r w:rsidR="00C83A55" w:rsidRPr="00205340">
        <w:t>the ADAR’s CMA for patients with HMA against emicizumab</w:t>
      </w:r>
      <w:r w:rsidR="007A5583" w:rsidRPr="00205340">
        <w:t>,</w:t>
      </w:r>
      <w:r w:rsidR="00C83A55" w:rsidRPr="00205340">
        <w:t xml:space="preserve"> MSAC </w:t>
      </w:r>
      <w:r w:rsidR="00877AC2" w:rsidRPr="00205340">
        <w:t>noted ESC requested</w:t>
      </w:r>
      <w:r w:rsidR="00B7472B" w:rsidRPr="00205340">
        <w:t xml:space="preserve"> the model </w:t>
      </w:r>
      <w:r w:rsidR="00FD7BCB" w:rsidRPr="00205340">
        <w:t>inputs be</w:t>
      </w:r>
      <w:r w:rsidR="00B7472B" w:rsidRPr="00205340">
        <w:t xml:space="preserve"> respecified </w:t>
      </w:r>
      <w:r w:rsidR="00D621F1" w:rsidRPr="00205340">
        <w:t>to address</w:t>
      </w:r>
      <w:r w:rsidR="00823937" w:rsidRPr="00205340">
        <w:t xml:space="preserve"> inputs used in the ADAR</w:t>
      </w:r>
      <w:r w:rsidR="00C74C6C" w:rsidRPr="00205340">
        <w:t xml:space="preserve"> which</w:t>
      </w:r>
      <w:r w:rsidR="00823937" w:rsidRPr="00205340">
        <w:t xml:space="preserve"> favoured marstacimab over emicizumab</w:t>
      </w:r>
      <w:r w:rsidR="00C74C6C" w:rsidRPr="00205340">
        <w:t xml:space="preserve">. MSAC noted the </w:t>
      </w:r>
      <w:r w:rsidR="007A5583" w:rsidRPr="00205340">
        <w:t xml:space="preserve">post-ESC </w:t>
      </w:r>
      <w:r w:rsidR="00C74C6C" w:rsidRPr="00205340">
        <w:t xml:space="preserve">respecified model included </w:t>
      </w:r>
      <w:r w:rsidR="000F2054" w:rsidRPr="00205340">
        <w:t xml:space="preserve">the in-confidence emicizumab price. </w:t>
      </w:r>
      <w:r w:rsidR="00294D97" w:rsidRPr="00205340">
        <w:t>Using the respecified model inputs</w:t>
      </w:r>
      <w:r w:rsidR="002F457B" w:rsidRPr="00205340">
        <w:t>, MSAC noted</w:t>
      </w:r>
      <w:r w:rsidR="00AE085B" w:rsidRPr="00205340">
        <w:t xml:space="preserve"> for marstacimab to remain cost-neutral with emicizumab over two years, the price per unit (pen) of marstacimab would </w:t>
      </w:r>
      <w:r w:rsidR="009231BB" w:rsidRPr="00205340">
        <w:t xml:space="preserve">need to </w:t>
      </w:r>
      <w:r w:rsidR="00AE085B" w:rsidRPr="00205340">
        <w:t>be $</w:t>
      </w:r>
      <w:r w:rsidR="001C4822" w:rsidRPr="00205340">
        <w:rPr>
          <w:b/>
          <w:bCs/>
        </w:rPr>
        <w:t>redacted</w:t>
      </w:r>
      <w:r w:rsidR="00AE085B" w:rsidRPr="00205340">
        <w:t xml:space="preserve">, which represents a </w:t>
      </w:r>
      <w:r w:rsidR="001C4822" w:rsidRPr="00205340">
        <w:rPr>
          <w:b/>
          <w:bCs/>
        </w:rPr>
        <w:t>redacted</w:t>
      </w:r>
      <w:r w:rsidR="00AE085B" w:rsidRPr="00205340">
        <w:t xml:space="preserve">% price reduction from the requested price of </w:t>
      </w:r>
      <w:r w:rsidR="00AE085B" w:rsidRPr="0029171F">
        <w:t>$</w:t>
      </w:r>
      <w:r w:rsidR="00511AAA" w:rsidRPr="0029171F">
        <w:rPr>
          <w:b/>
          <w:bCs/>
        </w:rPr>
        <w:t>redacted</w:t>
      </w:r>
      <w:r w:rsidR="00AE085B" w:rsidRPr="0029171F">
        <w:t>.</w:t>
      </w:r>
      <w:r w:rsidR="00AE085B" w:rsidRPr="00205340">
        <w:t xml:space="preserve"> </w:t>
      </w:r>
    </w:p>
    <w:p w14:paraId="64179FDE" w14:textId="3BFB29FC" w:rsidR="008E1AB2" w:rsidRPr="00205340" w:rsidRDefault="004D1052" w:rsidP="008227F0">
      <w:pPr>
        <w:spacing w:after="240"/>
      </w:pPr>
      <w:r w:rsidRPr="00205340">
        <w:t>Regarding the</w:t>
      </w:r>
      <w:r w:rsidR="00C549C9" w:rsidRPr="00205340">
        <w:t xml:space="preserve"> commentary</w:t>
      </w:r>
      <w:r w:rsidR="001C1BFB" w:rsidRPr="00205340">
        <w:t>’s CMA for the HMB population against EHL FIX</w:t>
      </w:r>
      <w:r w:rsidRPr="00205340">
        <w:t xml:space="preserve">, </w:t>
      </w:r>
      <w:r w:rsidR="009365B1" w:rsidRPr="00205340">
        <w:t xml:space="preserve">MSAC noted that ESC had </w:t>
      </w:r>
      <w:r w:rsidR="00F6401E" w:rsidRPr="00205340">
        <w:t xml:space="preserve">also </w:t>
      </w:r>
      <w:r w:rsidR="009365B1" w:rsidRPr="00205340">
        <w:t xml:space="preserve">requested the model inputs be respecified to align with </w:t>
      </w:r>
      <w:r w:rsidR="00F67011" w:rsidRPr="00205340">
        <w:t>the CMA for HMA and to align with previous MSAC advice</w:t>
      </w:r>
      <w:r w:rsidR="003D02B1" w:rsidRPr="00205340">
        <w:t xml:space="preserve"> for the effective price of EHL FIX.</w:t>
      </w:r>
      <w:r w:rsidR="00DA012F" w:rsidRPr="00205340">
        <w:t xml:space="preserve"> Using the </w:t>
      </w:r>
      <w:r w:rsidR="002823D2" w:rsidRPr="00205340">
        <w:t xml:space="preserve">post-ESC </w:t>
      </w:r>
      <w:r w:rsidR="00DA012F" w:rsidRPr="00205340">
        <w:t>respecified model, MSAC noted</w:t>
      </w:r>
      <w:r w:rsidR="001C1BFB" w:rsidRPr="00205340">
        <w:t xml:space="preserve"> </w:t>
      </w:r>
      <w:r w:rsidR="000C0494" w:rsidRPr="00205340">
        <w:t xml:space="preserve">for marstacimab to remain cost-neutral with EHLFIX over two years, the price </w:t>
      </w:r>
      <w:r w:rsidR="000C0494" w:rsidRPr="00205340">
        <w:lastRenderedPageBreak/>
        <w:t xml:space="preserve">per unit (pen) of marstacimab would </w:t>
      </w:r>
      <w:r w:rsidR="009231BB" w:rsidRPr="00205340">
        <w:t xml:space="preserve">need to </w:t>
      </w:r>
      <w:r w:rsidR="000C0494" w:rsidRPr="00205340">
        <w:t>be $</w:t>
      </w:r>
      <w:r w:rsidR="001C4822" w:rsidRPr="00205340">
        <w:rPr>
          <w:b/>
          <w:bCs/>
        </w:rPr>
        <w:t>redacted</w:t>
      </w:r>
      <w:r w:rsidR="000C0494" w:rsidRPr="00205340">
        <w:t xml:space="preserve">, which represents a </w:t>
      </w:r>
      <w:r w:rsidR="001C4822" w:rsidRPr="00205340">
        <w:rPr>
          <w:b/>
          <w:bCs/>
        </w:rPr>
        <w:t>redacted</w:t>
      </w:r>
      <w:r w:rsidR="000C0494" w:rsidRPr="00205340">
        <w:t xml:space="preserve">% price reduction from the requested price of </w:t>
      </w:r>
      <w:r w:rsidR="000C0494" w:rsidRPr="0029171F">
        <w:t>$</w:t>
      </w:r>
      <w:r w:rsidR="000E2985" w:rsidRPr="0029171F">
        <w:rPr>
          <w:b/>
          <w:bCs/>
        </w:rPr>
        <w:t>redacted</w:t>
      </w:r>
      <w:r w:rsidR="000C0494" w:rsidRPr="0029171F">
        <w:t>.</w:t>
      </w:r>
      <w:r w:rsidR="004F504F" w:rsidRPr="00205340">
        <w:t xml:space="preserve"> </w:t>
      </w:r>
    </w:p>
    <w:p w14:paraId="3A7B4DDD" w14:textId="7D43B3B8" w:rsidR="00A74154" w:rsidRPr="00205340" w:rsidRDefault="005A5320" w:rsidP="0091152C">
      <w:pPr>
        <w:spacing w:after="240"/>
      </w:pPr>
      <w:r w:rsidRPr="00205340">
        <w:t>MSAC noted the</w:t>
      </w:r>
      <w:r w:rsidR="00EC1D8B" w:rsidRPr="00205340">
        <w:t xml:space="preserve"> applicant’s</w:t>
      </w:r>
      <w:r w:rsidRPr="00205340">
        <w:t xml:space="preserve"> pre-MSAC response did not agree with the re</w:t>
      </w:r>
      <w:r w:rsidR="56958401" w:rsidRPr="00205340">
        <w:t>-</w:t>
      </w:r>
      <w:r w:rsidRPr="00205340">
        <w:t xml:space="preserve">specified input around dose escalation (13.9% suggested by ESC). The applicant stated that the analyses should be consistent with that observed in the BASIS study. The applicant stated that this would be 4.7% in year 1, and 12.3% in Year 2, derived from the average dose administered in the BASIS LTE study. </w:t>
      </w:r>
      <w:r w:rsidR="00EC1D8B" w:rsidRPr="00205340">
        <w:t>T</w:t>
      </w:r>
      <w:r w:rsidR="006E5C9C" w:rsidRPr="00205340">
        <w:t xml:space="preserve">he applicant </w:t>
      </w:r>
      <w:r w:rsidR="00EC1D8B" w:rsidRPr="00205340">
        <w:t xml:space="preserve">also </w:t>
      </w:r>
      <w:r w:rsidR="00A911B0" w:rsidRPr="00205340">
        <w:t xml:space="preserve">disagreed with the respecified </w:t>
      </w:r>
      <w:r w:rsidR="000D6B4E" w:rsidRPr="00205340">
        <w:t xml:space="preserve">input for the average dose of EHL FIX. The applicant argued that </w:t>
      </w:r>
      <w:r w:rsidR="00700106" w:rsidRPr="00205340">
        <w:t>average dose of EHL FIX should be based on ABDR data reflecting actual utilisation in the Australian setting in the population of interest.</w:t>
      </w:r>
      <w:r w:rsidR="00E30987" w:rsidRPr="00205340">
        <w:t xml:space="preserve"> </w:t>
      </w:r>
      <w:r w:rsidR="00665804" w:rsidRPr="00205340">
        <w:t xml:space="preserve">However, MSAC </w:t>
      </w:r>
      <w:r w:rsidR="00E3166A" w:rsidRPr="00205340">
        <w:t xml:space="preserve">noted </w:t>
      </w:r>
      <w:r w:rsidR="00783D32" w:rsidRPr="00205340">
        <w:t>a major limitation of th</w:t>
      </w:r>
      <w:r w:rsidR="00A60A70" w:rsidRPr="00205340">
        <w:t>e ABDR</w:t>
      </w:r>
      <w:r w:rsidR="00783D32" w:rsidRPr="00205340">
        <w:t xml:space="preserve"> data is that it is not specific to a particular FIX product. MSAC agreed with ESC’s </w:t>
      </w:r>
      <w:r w:rsidR="00941A37" w:rsidRPr="00205340">
        <w:t xml:space="preserve">advice that </w:t>
      </w:r>
      <w:r w:rsidR="00BF0573" w:rsidRPr="00205340">
        <w:t>the average dose should align</w:t>
      </w:r>
      <w:r w:rsidR="003002E2" w:rsidRPr="00205340">
        <w:t xml:space="preserve"> with the TGA recommended PI dose for the relevant EHL FIX product. </w:t>
      </w:r>
      <w:r w:rsidR="0091152C" w:rsidRPr="00205340">
        <w:t>In addition,</w:t>
      </w:r>
      <w:r w:rsidR="002A0B51" w:rsidRPr="00205340">
        <w:t xml:space="preserve"> the applicant disagreed</w:t>
      </w:r>
      <w:r w:rsidR="00D54F61" w:rsidRPr="00205340">
        <w:t xml:space="preserve"> with </w:t>
      </w:r>
      <w:r w:rsidR="00094407" w:rsidRPr="00205340">
        <w:t>ESC’s advice to</w:t>
      </w:r>
      <w:r w:rsidR="00CC71D6" w:rsidRPr="00205340">
        <w:t xml:space="preserve"> derive the nurse administration cost from the National Efficient Price Determination </w:t>
      </w:r>
      <w:r w:rsidR="0050052E" w:rsidRPr="00205340">
        <w:t>(NEPD)</w:t>
      </w:r>
      <w:r w:rsidR="00CC71D6" w:rsidRPr="00205340">
        <w:t xml:space="preserve"> 2025-26. </w:t>
      </w:r>
      <w:r w:rsidR="009B3CE9" w:rsidRPr="00205340">
        <w:t xml:space="preserve">The applicant stated the </w:t>
      </w:r>
      <w:r w:rsidR="002870B4" w:rsidRPr="00205340">
        <w:t xml:space="preserve">PBAC </w:t>
      </w:r>
      <w:r w:rsidR="009B3CE9" w:rsidRPr="00205340">
        <w:t>Manual of Resource Items and their Associated Unit Costs for costing non-admitted services</w:t>
      </w:r>
      <w:r w:rsidR="00983666" w:rsidRPr="00205340">
        <w:t xml:space="preserve">, </w:t>
      </w:r>
      <w:r w:rsidR="006C37ED" w:rsidRPr="00205340">
        <w:t>provides guidance to use</w:t>
      </w:r>
      <w:r w:rsidR="009B3CE9" w:rsidRPr="00205340">
        <w:t xml:space="preserve"> National Hospital Cost Data Collection (NHCDC).</w:t>
      </w:r>
      <w:r w:rsidR="00983666" w:rsidRPr="00205340">
        <w:t xml:space="preserve"> However, MSAC reiterated ESC advice </w:t>
      </w:r>
      <w:r w:rsidR="007D478A">
        <w:t xml:space="preserve">that in the context of the current consideration it would be more appropriate </w:t>
      </w:r>
      <w:r w:rsidR="0050052E" w:rsidRPr="00205340">
        <w:t xml:space="preserve">to </w:t>
      </w:r>
      <w:r w:rsidR="00226435">
        <w:t>use the agreed NHCDC Tier 2 service code but apply the weighted pri</w:t>
      </w:r>
      <w:r w:rsidR="00D00778">
        <w:t>ce</w:t>
      </w:r>
      <w:r w:rsidR="0050052E" w:rsidRPr="00205340">
        <w:t xml:space="preserve"> from the NEPD</w:t>
      </w:r>
      <w:r w:rsidR="00341A09" w:rsidRPr="00205340">
        <w:t xml:space="preserve"> </w:t>
      </w:r>
      <w:r w:rsidR="00D00778">
        <w:t>as this</w:t>
      </w:r>
      <w:r w:rsidR="00341A09" w:rsidRPr="00205340">
        <w:t xml:space="preserve"> represents</w:t>
      </w:r>
      <w:r w:rsidR="00E2231F" w:rsidRPr="00205340">
        <w:t xml:space="preserve"> the national benchmark</w:t>
      </w:r>
      <w:r w:rsidR="00341A09" w:rsidRPr="00205340">
        <w:t xml:space="preserve"> </w:t>
      </w:r>
      <w:r w:rsidR="00BD1167" w:rsidRPr="00205340">
        <w:t xml:space="preserve">of </w:t>
      </w:r>
      <w:r w:rsidR="00907A05" w:rsidRPr="00205340">
        <w:t>efficient costs</w:t>
      </w:r>
      <w:r w:rsidR="00D00778">
        <w:t xml:space="preserve"> and is a more recent source (2025-2026) than the NHCDC weights (2022-2023)</w:t>
      </w:r>
      <w:r w:rsidR="00BD1167" w:rsidRPr="00205340">
        <w:t>.</w:t>
      </w:r>
    </w:p>
    <w:p w14:paraId="2AE9A8D2" w14:textId="2DF774FA" w:rsidR="00D627B4" w:rsidRPr="00205340" w:rsidRDefault="00CF6E13" w:rsidP="008227F0">
      <w:pPr>
        <w:spacing w:after="240"/>
      </w:pPr>
      <w:r w:rsidRPr="00205340">
        <w:t xml:space="preserve">MSAC noted that </w:t>
      </w:r>
      <w:r w:rsidR="00F254A9" w:rsidRPr="00205340">
        <w:t xml:space="preserve">the </w:t>
      </w:r>
      <w:r w:rsidR="00042A17" w:rsidRPr="00205340">
        <w:t>CUA</w:t>
      </w:r>
      <w:r w:rsidRPr="00205340">
        <w:t xml:space="preserve"> for marstacimab versus factor prophylaxis for the pooled HMA and HMB population resulted in a</w:t>
      </w:r>
      <w:r w:rsidR="004E48C7" w:rsidRPr="00205340">
        <w:t>n</w:t>
      </w:r>
      <w:r w:rsidRPr="00205340">
        <w:t xml:space="preserve"> incremental cost</w:t>
      </w:r>
      <w:r w:rsidR="00E103F8" w:rsidRPr="00205340">
        <w:t xml:space="preserve"> effectiveness ratio (ICER)</w:t>
      </w:r>
      <w:r w:rsidRPr="00205340">
        <w:t xml:space="preserve"> of </w:t>
      </w:r>
      <w:r w:rsidRPr="00E541B1">
        <w:t>$</w:t>
      </w:r>
      <w:r w:rsidR="00E33EAC">
        <w:rPr>
          <w:b/>
          <w:bCs/>
        </w:rPr>
        <w:t>redacted</w:t>
      </w:r>
      <w:r w:rsidRPr="00205340">
        <w:t xml:space="preserve"> per additional quality-adjusted life year (QALY) gained over a lifetime. </w:t>
      </w:r>
      <w:r w:rsidR="00466537" w:rsidRPr="00205340">
        <w:t>MSAC noted the</w:t>
      </w:r>
      <w:r w:rsidR="00345817" w:rsidRPr="00205340">
        <w:t xml:space="preserve"> applicant’s</w:t>
      </w:r>
      <w:r w:rsidR="00466537" w:rsidRPr="00205340">
        <w:t xml:space="preserve"> pre-MSAC response </w:t>
      </w:r>
      <w:r w:rsidR="00042A17" w:rsidRPr="00205340">
        <w:t>defended the use of a CUA</w:t>
      </w:r>
      <w:r w:rsidR="002D37BE" w:rsidRPr="00205340">
        <w:t xml:space="preserve"> and reiterated their</w:t>
      </w:r>
      <w:r w:rsidR="00BC26A7" w:rsidRPr="00205340">
        <w:t xml:space="preserve"> view that </w:t>
      </w:r>
      <w:r w:rsidR="005F256F" w:rsidRPr="00205340">
        <w:t>the mechanism of action is the same across both populations a</w:t>
      </w:r>
      <w:r w:rsidR="00B40E11" w:rsidRPr="00205340">
        <w:t>nd the combination of HMA and HMB populations in the result is</w:t>
      </w:r>
      <w:r w:rsidR="00A5616A" w:rsidRPr="00205340">
        <w:t xml:space="preserve"> appropriate. </w:t>
      </w:r>
      <w:r w:rsidR="00186A86" w:rsidRPr="00205340">
        <w:t xml:space="preserve">MSAC </w:t>
      </w:r>
      <w:r w:rsidR="00BE0CBE" w:rsidRPr="00205340">
        <w:t>appreciated that</w:t>
      </w:r>
      <w:r w:rsidR="00925EDE" w:rsidRPr="00205340">
        <w:t xml:space="preserve"> </w:t>
      </w:r>
      <w:r w:rsidR="00FB4BC3" w:rsidRPr="00205340">
        <w:t xml:space="preserve">HMB is a rare disease and sample size is likely to be limited. </w:t>
      </w:r>
      <w:r w:rsidR="00631143" w:rsidRPr="00205340">
        <w:t>However,</w:t>
      </w:r>
      <w:r w:rsidR="00B84B8F" w:rsidRPr="00205340">
        <w:t xml:space="preserve"> MSAC </w:t>
      </w:r>
      <w:r w:rsidR="00F66976" w:rsidRPr="00205340">
        <w:t>agreed with</w:t>
      </w:r>
      <w:r w:rsidR="00B84B8F" w:rsidRPr="00205340">
        <w:t xml:space="preserve"> PASC advice that the economic evaluations for the HMA and HMB populations would need to be separated given that each population has different primary comparators, and that if superiority cannot be demonstrated for the comparison of marstacimab versus EHL FIX prophylaxis, then a CMA would be the most appropriate economic evaluation for the HMB population. Therefore, </w:t>
      </w:r>
      <w:r w:rsidR="00D627B4" w:rsidRPr="00205340">
        <w:t xml:space="preserve">MSAC </w:t>
      </w:r>
      <w:r w:rsidR="00B84B8F" w:rsidRPr="00205340">
        <w:t xml:space="preserve">agreed with ESC and </w:t>
      </w:r>
      <w:r w:rsidR="00D627B4" w:rsidRPr="00205340">
        <w:t>considered that a CUA was not appropriate, as superiority of marstacimab versus FIX prophylaxis in the HMB population had not been established. MSAC also considered that the main comparator for the HMA population is emicizumab, not FVIII prophylaxis.</w:t>
      </w:r>
    </w:p>
    <w:p w14:paraId="44800123" w14:textId="5A07B7CF" w:rsidR="00B1687A" w:rsidRPr="00205340" w:rsidRDefault="00805585" w:rsidP="008227F0">
      <w:pPr>
        <w:spacing w:after="240"/>
      </w:pPr>
      <w:r w:rsidRPr="00205340">
        <w:t xml:space="preserve">After review, MSAC concluded that the economic evaluations for marstacimab could not be used to establish the cost-effectiveness of marstacimab due to the significant uncertainty in the evidence base of the application. </w:t>
      </w:r>
      <w:r w:rsidR="003F5442" w:rsidRPr="00205340">
        <w:t xml:space="preserve">MSAC </w:t>
      </w:r>
      <w:r w:rsidRPr="00205340">
        <w:t xml:space="preserve">also </w:t>
      </w:r>
      <w:r w:rsidR="003F5442" w:rsidRPr="00205340">
        <w:t xml:space="preserve">noted the lack of established cost-effectiveness for currently funded </w:t>
      </w:r>
      <w:r w:rsidR="00254BED" w:rsidRPr="00205340">
        <w:t xml:space="preserve">haemophilia </w:t>
      </w:r>
      <w:r w:rsidR="003F5442" w:rsidRPr="00205340">
        <w:t xml:space="preserve">therapies, including </w:t>
      </w:r>
      <w:r w:rsidR="008C1569" w:rsidRPr="00205340">
        <w:t>bypassing agents</w:t>
      </w:r>
      <w:r w:rsidR="00953013" w:rsidRPr="00205340">
        <w:t xml:space="preserve"> and </w:t>
      </w:r>
      <w:r w:rsidR="003F5442" w:rsidRPr="00205340">
        <w:t xml:space="preserve">factor prophylaxis. MSAC noted that this issue has been previously noted in MSAC application 1510.1 (see the </w:t>
      </w:r>
      <w:hyperlink r:id="rId9">
        <w:r w:rsidR="003F5442" w:rsidRPr="00205340">
          <w:rPr>
            <w:rStyle w:val="Hyperlink"/>
          </w:rPr>
          <w:t>public summary document</w:t>
        </w:r>
      </w:hyperlink>
      <w:r w:rsidR="003F5442" w:rsidRPr="00205340">
        <w:t xml:space="preserve">, p. 4) and continues to limit the assessment of cost-effectiveness of new haemophilia treatments. MSAC further noted the requirement to establish the cost-effectiveness of a comparator is clearly stated in the </w:t>
      </w:r>
      <w:hyperlink r:id="rId10" w:history="1">
        <w:r w:rsidR="003F5442" w:rsidRPr="00205340">
          <w:rPr>
            <w:rStyle w:val="Hyperlink"/>
          </w:rPr>
          <w:t>MSAC Guidelines 2021</w:t>
        </w:r>
      </w:hyperlink>
      <w:r w:rsidR="003F5442" w:rsidRPr="00205340">
        <w:t xml:space="preserve"> (TG 2.3). </w:t>
      </w:r>
      <w:r w:rsidR="00B1687A" w:rsidRPr="00205340">
        <w:t>MSAC noted the</w:t>
      </w:r>
      <w:r w:rsidR="007D0728" w:rsidRPr="00205340">
        <w:t xml:space="preserve"> post-ESC</w:t>
      </w:r>
      <w:r w:rsidR="00B1687A" w:rsidRPr="00205340">
        <w:t xml:space="preserve"> respecified financial analysis was performed </w:t>
      </w:r>
      <w:r w:rsidR="00C1273B" w:rsidRPr="00205340">
        <w:t xml:space="preserve">using the respecified inputs from the </w:t>
      </w:r>
      <w:r w:rsidR="006A7D8E" w:rsidRPr="00205340">
        <w:t>economic evaluation</w:t>
      </w:r>
      <w:r w:rsidR="00171BE1" w:rsidRPr="00205340">
        <w:t>, including the resultant cost-neutral prices for marstacimab</w:t>
      </w:r>
      <w:r w:rsidR="00B1687A" w:rsidRPr="00205340">
        <w:t xml:space="preserve">. </w:t>
      </w:r>
      <w:r w:rsidR="006B273C" w:rsidRPr="00205340">
        <w:t>T</w:t>
      </w:r>
      <w:r w:rsidR="00B1687A" w:rsidRPr="00205340">
        <w:t xml:space="preserve">he </w:t>
      </w:r>
      <w:r w:rsidR="006D2C59" w:rsidRPr="00205340">
        <w:t xml:space="preserve">in-confidence </w:t>
      </w:r>
      <w:r w:rsidR="00B1687A" w:rsidRPr="00205340">
        <w:t xml:space="preserve">effective prices for </w:t>
      </w:r>
      <w:r w:rsidR="008D36CC" w:rsidRPr="00205340">
        <w:t>emicizumab</w:t>
      </w:r>
      <w:r w:rsidR="00C7552D" w:rsidRPr="00205340">
        <w:t>, EHL FVIII and EHL FIX</w:t>
      </w:r>
      <w:r w:rsidR="006B273C" w:rsidRPr="00205340">
        <w:t xml:space="preserve"> were also used</w:t>
      </w:r>
      <w:r w:rsidR="00C7552D" w:rsidRPr="00205340">
        <w:t>.</w:t>
      </w:r>
      <w:r w:rsidR="00FF1FD9" w:rsidRPr="00205340">
        <w:t xml:space="preserve"> </w:t>
      </w:r>
      <w:r w:rsidR="003D1929" w:rsidRPr="00205340">
        <w:t>MSAC noted the respecified</w:t>
      </w:r>
      <w:r w:rsidR="00B1687A" w:rsidRPr="00205340">
        <w:t xml:space="preserve"> </w:t>
      </w:r>
      <w:r w:rsidR="006F1B71" w:rsidRPr="00205340">
        <w:t xml:space="preserve">financial </w:t>
      </w:r>
      <w:r w:rsidR="00B1687A" w:rsidRPr="00205340">
        <w:t>analyses</w:t>
      </w:r>
      <w:r w:rsidR="0066717A" w:rsidRPr="00205340">
        <w:t xml:space="preserve"> showed that if marstacimab </w:t>
      </w:r>
      <w:r w:rsidR="00FF1FD9" w:rsidRPr="00205340">
        <w:t>was</w:t>
      </w:r>
      <w:r w:rsidR="0066717A" w:rsidRPr="00205340">
        <w:t xml:space="preserve"> listed for </w:t>
      </w:r>
      <w:r w:rsidR="004345CF" w:rsidRPr="00205340">
        <w:t>HMA and HMB</w:t>
      </w:r>
      <w:r w:rsidR="00FF1FD9" w:rsidRPr="00205340">
        <w:t>,</w:t>
      </w:r>
      <w:r w:rsidR="004345CF" w:rsidRPr="00205340">
        <w:t xml:space="preserve"> the</w:t>
      </w:r>
      <w:r w:rsidR="00B1687A" w:rsidRPr="00205340">
        <w:t xml:space="preserve"> </w:t>
      </w:r>
      <w:r w:rsidR="007F7F6F" w:rsidRPr="00205340">
        <w:t xml:space="preserve">net impact to the </w:t>
      </w:r>
      <w:r w:rsidR="0066717A" w:rsidRPr="00205340">
        <w:t>health care system</w:t>
      </w:r>
      <w:r w:rsidR="00B1687A" w:rsidRPr="00205340">
        <w:t xml:space="preserve"> </w:t>
      </w:r>
      <w:r w:rsidR="004345CF" w:rsidRPr="00205340">
        <w:t>would be $</w:t>
      </w:r>
      <w:r w:rsidR="001C4822" w:rsidRPr="00205340">
        <w:rPr>
          <w:b/>
          <w:bCs/>
        </w:rPr>
        <w:t>redacted</w:t>
      </w:r>
      <w:r w:rsidR="004345CF" w:rsidRPr="00205340">
        <w:t xml:space="preserve"> in year 1</w:t>
      </w:r>
      <w:r w:rsidR="002747DE" w:rsidRPr="00205340">
        <w:t>. This would increase to a peak of $</w:t>
      </w:r>
      <w:r w:rsidR="001C4822" w:rsidRPr="00205340">
        <w:rPr>
          <w:b/>
          <w:bCs/>
        </w:rPr>
        <w:t>redacted</w:t>
      </w:r>
      <w:r w:rsidR="002747DE" w:rsidRPr="00205340">
        <w:t xml:space="preserve"> in year 3, before decreasing to -$</w:t>
      </w:r>
      <w:r w:rsidR="001C4822" w:rsidRPr="00205340">
        <w:rPr>
          <w:b/>
          <w:bCs/>
        </w:rPr>
        <w:t>redacted</w:t>
      </w:r>
      <w:r w:rsidR="001C4822" w:rsidRPr="00205340" w:rsidDel="001C4822">
        <w:t xml:space="preserve"> </w:t>
      </w:r>
      <w:r w:rsidR="002747DE" w:rsidRPr="00205340">
        <w:t xml:space="preserve">in </w:t>
      </w:r>
      <w:r w:rsidR="0064361C" w:rsidRPr="00205340">
        <w:t>year 6. MSAC noted this resulted in a</w:t>
      </w:r>
      <w:r w:rsidR="00B1687A" w:rsidRPr="00205340">
        <w:t xml:space="preserve"> revised weighted average price of marstacimab </w:t>
      </w:r>
      <w:r w:rsidR="0064361C" w:rsidRPr="00205340">
        <w:t>(</w:t>
      </w:r>
      <w:r w:rsidR="00B1687A" w:rsidRPr="00205340">
        <w:t>for both HMA and HMB</w:t>
      </w:r>
      <w:r w:rsidR="0064361C" w:rsidRPr="00205340">
        <w:t>)</w:t>
      </w:r>
      <w:r w:rsidR="00B1687A" w:rsidRPr="00205340">
        <w:t xml:space="preserve"> </w:t>
      </w:r>
      <w:r w:rsidR="0064361C" w:rsidRPr="00205340">
        <w:t>of</w:t>
      </w:r>
      <w:r w:rsidR="00B1687A" w:rsidRPr="00205340">
        <w:t xml:space="preserve"> $</w:t>
      </w:r>
      <w:r w:rsidR="001C4822" w:rsidRPr="00205340">
        <w:rPr>
          <w:b/>
          <w:bCs/>
        </w:rPr>
        <w:t>redacted</w:t>
      </w:r>
      <w:r w:rsidR="00B1687A" w:rsidRPr="00205340">
        <w:t xml:space="preserve">, a </w:t>
      </w:r>
      <w:r w:rsidR="001C4822" w:rsidRPr="00205340">
        <w:rPr>
          <w:b/>
          <w:bCs/>
        </w:rPr>
        <w:t>redacted</w:t>
      </w:r>
      <w:r w:rsidR="00B1687A" w:rsidRPr="00205340">
        <w:t>% reduction from that proposed in the ADAR.</w:t>
      </w:r>
      <w:r w:rsidR="00A560CD" w:rsidRPr="00205340">
        <w:t xml:space="preserve"> MSAC noted that there is a strong patient </w:t>
      </w:r>
      <w:r w:rsidR="00A560CD" w:rsidRPr="00205340">
        <w:lastRenderedPageBreak/>
        <w:t xml:space="preserve">preference for subcutaneous </w:t>
      </w:r>
      <w:r w:rsidR="004D5BAA" w:rsidRPr="00205340">
        <w:t>administration and</w:t>
      </w:r>
      <w:r w:rsidR="00F5135B" w:rsidRPr="00205340">
        <w:t xml:space="preserve"> considered that this</w:t>
      </w:r>
      <w:r w:rsidR="00A560CD" w:rsidRPr="00205340">
        <w:t xml:space="preserve"> </w:t>
      </w:r>
      <w:r w:rsidR="00E544A5" w:rsidRPr="00205340">
        <w:t>may lead to higher uptake than predicted</w:t>
      </w:r>
      <w:r w:rsidR="0055160A" w:rsidRPr="00205340">
        <w:t>.</w:t>
      </w:r>
      <w:r w:rsidR="00A560CD" w:rsidRPr="00205340">
        <w:t xml:space="preserve"> </w:t>
      </w:r>
    </w:p>
    <w:p w14:paraId="006AD182" w14:textId="6067A4BA" w:rsidR="00DD1F15" w:rsidRPr="00205340" w:rsidRDefault="008227F0" w:rsidP="00EF15E7">
      <w:pPr>
        <w:spacing w:after="240"/>
      </w:pPr>
      <w:r w:rsidRPr="00205340">
        <w:t xml:space="preserve">MSAC noted that the pre-MSAC response agreed with </w:t>
      </w:r>
      <w:r w:rsidR="004E4EA9" w:rsidRPr="00205340">
        <w:t xml:space="preserve">most of </w:t>
      </w:r>
      <w:r w:rsidRPr="00205340">
        <w:t>the financial issues identified by ESC</w:t>
      </w:r>
      <w:r w:rsidR="005426E5" w:rsidRPr="00205340">
        <w:t xml:space="preserve">, </w:t>
      </w:r>
      <w:r w:rsidR="00D52846" w:rsidRPr="00205340">
        <w:t>however,</w:t>
      </w:r>
      <w:r w:rsidR="005426E5" w:rsidRPr="00205340">
        <w:t xml:space="preserve"> did not accept the advice from ESC for </w:t>
      </w:r>
      <w:r w:rsidR="00057C88" w:rsidRPr="00205340">
        <w:t>dose escalation</w:t>
      </w:r>
      <w:r w:rsidR="00D52846" w:rsidRPr="00205340">
        <w:t>. MSAC noted the applicant</w:t>
      </w:r>
      <w:r w:rsidRPr="00205340">
        <w:t xml:space="preserve"> provided revised estimates</w:t>
      </w:r>
      <w:r w:rsidR="00F60E94" w:rsidRPr="00205340">
        <w:t>. MSAC acknowledge</w:t>
      </w:r>
      <w:r w:rsidR="00000C16" w:rsidRPr="00205340">
        <w:t>d</w:t>
      </w:r>
      <w:r w:rsidR="00F60E94" w:rsidRPr="00205340">
        <w:t xml:space="preserve"> that</w:t>
      </w:r>
      <w:r w:rsidRPr="00205340">
        <w:t xml:space="preserve"> the applicant did not have visibility on the price of emicizumab so could not make all </w:t>
      </w:r>
      <w:r w:rsidR="00F60E94" w:rsidRPr="00205340">
        <w:t xml:space="preserve">requested </w:t>
      </w:r>
      <w:r w:rsidRPr="00205340">
        <w:t xml:space="preserve">revisions. </w:t>
      </w:r>
      <w:r w:rsidR="00EF15E7" w:rsidRPr="00205340">
        <w:t xml:space="preserve">MSAC noted that, </w:t>
      </w:r>
      <w:r w:rsidR="007B46C5" w:rsidRPr="00205340">
        <w:t>using the pre-MSAC responses analysis</w:t>
      </w:r>
      <w:r w:rsidR="00EF15E7" w:rsidRPr="00205340">
        <w:t>, it wo</w:t>
      </w:r>
      <w:r w:rsidR="00EF15E7" w:rsidRPr="00E541B1">
        <w:t>uld result in net costs to the NBA of</w:t>
      </w:r>
      <w:r w:rsidR="00181A2F" w:rsidRPr="00E541B1">
        <w:t xml:space="preserve"> about</w:t>
      </w:r>
      <w:r w:rsidR="00EF15E7" w:rsidRPr="00E541B1">
        <w:t xml:space="preserve"> $</w:t>
      </w:r>
      <w:r w:rsidR="008911C3" w:rsidRPr="00E541B1">
        <w:rPr>
          <w:b/>
          <w:bCs/>
        </w:rPr>
        <w:t>redacted</w:t>
      </w:r>
      <w:r w:rsidR="00EF15E7" w:rsidRPr="00E541B1">
        <w:t xml:space="preserve"> in year 1 to $</w:t>
      </w:r>
      <w:r w:rsidR="008911C3" w:rsidRPr="00E541B1">
        <w:rPr>
          <w:b/>
          <w:bCs/>
        </w:rPr>
        <w:t>redacted</w:t>
      </w:r>
      <w:r w:rsidR="00EF15E7" w:rsidRPr="00E541B1">
        <w:t xml:space="preserve"> in year 6.</w:t>
      </w:r>
      <w:r w:rsidR="00EF15E7" w:rsidRPr="00205340">
        <w:t xml:space="preserve"> </w:t>
      </w:r>
      <w:r w:rsidR="00F60E94" w:rsidRPr="00205340">
        <w:t xml:space="preserve"> </w:t>
      </w:r>
    </w:p>
    <w:p w14:paraId="2CED7829" w14:textId="346C626F" w:rsidR="008227F0" w:rsidRPr="00205340" w:rsidRDefault="00263568" w:rsidP="008227F0">
      <w:pPr>
        <w:spacing w:after="240"/>
      </w:pPr>
      <w:r w:rsidRPr="00205340">
        <w:t>MSAC noted t</w:t>
      </w:r>
      <w:r w:rsidR="00F60E94" w:rsidRPr="00205340">
        <w:t xml:space="preserve">he pre-MSAC response agreed with ESC that a risk-sharing arrangement would be </w:t>
      </w:r>
      <w:r w:rsidR="005434FB" w:rsidRPr="00205340">
        <w:t>unsuitable</w:t>
      </w:r>
      <w:r w:rsidR="00F60E94" w:rsidRPr="00205340">
        <w:t xml:space="preserve">. MSAC considered that there is insufficient evidence </w:t>
      </w:r>
      <w:r w:rsidR="00886338" w:rsidRPr="00205340">
        <w:t xml:space="preserve">for MSAC to provide </w:t>
      </w:r>
      <w:r w:rsidR="0049141E" w:rsidRPr="00205340">
        <w:t>advice on</w:t>
      </w:r>
      <w:r w:rsidR="00F60E94" w:rsidRPr="00205340">
        <w:t xml:space="preserve"> the parameters of a funding arrangement</w:t>
      </w:r>
      <w:r w:rsidR="0049141E" w:rsidRPr="00205340">
        <w:t xml:space="preserve">. </w:t>
      </w:r>
    </w:p>
    <w:p w14:paraId="61BA8862" w14:textId="65F8AC82" w:rsidR="008227F0" w:rsidRPr="00205340" w:rsidRDefault="008227F0" w:rsidP="008227F0">
      <w:pPr>
        <w:spacing w:after="240"/>
      </w:pPr>
      <w:r w:rsidRPr="00205340">
        <w:t>Overall, MSAC did not support listing of marstacimab</w:t>
      </w:r>
      <w:r w:rsidR="00767389" w:rsidRPr="00205340">
        <w:t xml:space="preserve"> to treat</w:t>
      </w:r>
      <w:r w:rsidRPr="00205340">
        <w:t xml:space="preserve"> people aged 12 years or over with severe HMA or HMB, without inhibitors. </w:t>
      </w:r>
      <w:r w:rsidR="006B30BA" w:rsidRPr="00205340">
        <w:t xml:space="preserve">MSAC </w:t>
      </w:r>
      <w:r w:rsidR="005E5DD1" w:rsidRPr="00205340">
        <w:t xml:space="preserve">considered that the </w:t>
      </w:r>
      <w:r w:rsidRPr="00205340">
        <w:t xml:space="preserve">clinical claims of safety and effectiveness </w:t>
      </w:r>
      <w:r w:rsidR="005E5DD1" w:rsidRPr="00205340">
        <w:t xml:space="preserve">of marstacimab versus </w:t>
      </w:r>
      <w:r w:rsidRPr="00205340">
        <w:t xml:space="preserve">emicizumab </w:t>
      </w:r>
      <w:r w:rsidR="005E5DD1" w:rsidRPr="00205340">
        <w:t>and factor prophylaxis could not be</w:t>
      </w:r>
      <w:r w:rsidR="008B2621" w:rsidRPr="00205340">
        <w:t xml:space="preserve"> </w:t>
      </w:r>
      <w:r w:rsidR="005E5DD1" w:rsidRPr="00205340">
        <w:t>substantiated</w:t>
      </w:r>
      <w:r w:rsidR="003C6AF1" w:rsidRPr="00205340">
        <w:t xml:space="preserve">. MSAC considered that </w:t>
      </w:r>
      <w:r w:rsidR="005A633A" w:rsidRPr="00205340">
        <w:t>the uncertainty in the clinical evidence</w:t>
      </w:r>
      <w:r w:rsidR="003C6AF1" w:rsidRPr="00205340">
        <w:t xml:space="preserve"> flowed through to the economic </w:t>
      </w:r>
      <w:r w:rsidR="00E255AB" w:rsidRPr="00205340">
        <w:t>evaluations</w:t>
      </w:r>
      <w:r w:rsidR="008B2621" w:rsidRPr="00205340">
        <w:t>,</w:t>
      </w:r>
      <w:r w:rsidR="00E255AB" w:rsidRPr="00205340">
        <w:t xml:space="preserve"> and therefore the cost-effectiveness of marstacimab could not be reliably established</w:t>
      </w:r>
      <w:r w:rsidRPr="00205340">
        <w:t xml:space="preserve">. </w:t>
      </w:r>
      <w:r w:rsidR="00B77A6F" w:rsidRPr="00205340">
        <w:t xml:space="preserve">MSAC </w:t>
      </w:r>
      <w:r w:rsidR="009E4713" w:rsidRPr="00205340">
        <w:t xml:space="preserve">also </w:t>
      </w:r>
      <w:r w:rsidR="00B77A6F" w:rsidRPr="00205340">
        <w:t>considered that despite overall net financial cost being low, t</w:t>
      </w:r>
      <w:r w:rsidRPr="00205340">
        <w:t>here was high financial risk from uncertainties regarding uptake and cost.</w:t>
      </w:r>
    </w:p>
    <w:p w14:paraId="4C0EFCFB" w14:textId="1F62CFE5" w:rsidR="008227F0" w:rsidRPr="00205340" w:rsidRDefault="008227F0" w:rsidP="008227F0">
      <w:pPr>
        <w:spacing w:after="240"/>
      </w:pPr>
      <w:r w:rsidRPr="00205340">
        <w:t xml:space="preserve">MSAC advised that </w:t>
      </w:r>
      <w:r w:rsidR="006C58B6" w:rsidRPr="00205340">
        <w:t xml:space="preserve">any resubmission for marstacimab would </w:t>
      </w:r>
      <w:r w:rsidR="00D0489A" w:rsidRPr="00205340">
        <w:t xml:space="preserve">require evidence that demonstrates the comparative safety and effectiveness of marstacimab, in both or either </w:t>
      </w:r>
      <w:r w:rsidR="007171AD" w:rsidRPr="00205340">
        <w:t xml:space="preserve">HMA/HMB </w:t>
      </w:r>
      <w:r w:rsidR="00D0489A" w:rsidRPr="00205340">
        <w:t>population</w:t>
      </w:r>
      <w:r w:rsidR="007171AD" w:rsidRPr="00205340">
        <w:t>s</w:t>
      </w:r>
      <w:r w:rsidR="00D0489A" w:rsidRPr="00205340">
        <w:t xml:space="preserve">, </w:t>
      </w:r>
      <w:r w:rsidR="008B2621" w:rsidRPr="00205340">
        <w:t xml:space="preserve">and </w:t>
      </w:r>
      <w:r w:rsidR="00D0489A" w:rsidRPr="00205340">
        <w:t>that is generalisable to the Australian clinical setting. The resubmission should also</w:t>
      </w:r>
      <w:r w:rsidRPr="00205340">
        <w:t>:</w:t>
      </w:r>
    </w:p>
    <w:p w14:paraId="5E8CD00A" w14:textId="4DF07D8A" w:rsidR="008C0BCC" w:rsidRPr="00205340" w:rsidRDefault="008C0BCC" w:rsidP="008227F0">
      <w:pPr>
        <w:pStyle w:val="ListParagraph"/>
        <w:numPr>
          <w:ilvl w:val="0"/>
          <w:numId w:val="39"/>
        </w:numPr>
        <w:spacing w:after="240"/>
      </w:pPr>
      <w:r w:rsidRPr="00205340">
        <w:t>P</w:t>
      </w:r>
      <w:r w:rsidR="008227F0" w:rsidRPr="00205340">
        <w:t xml:space="preserve">resent the results of the BASIS trial by haemophilia </w:t>
      </w:r>
      <w:r w:rsidR="008B2621" w:rsidRPr="00205340">
        <w:t xml:space="preserve">and treatment </w:t>
      </w:r>
      <w:r w:rsidR="008227F0" w:rsidRPr="00205340">
        <w:t>type</w:t>
      </w:r>
      <w:r w:rsidR="00295767" w:rsidRPr="00205340">
        <w:t xml:space="preserve">, </w:t>
      </w:r>
      <w:r w:rsidR="008227F0" w:rsidRPr="00205340">
        <w:t>to allow a determination of whether any observed differences between marstacimab and FIX are likely to be clinically important</w:t>
      </w:r>
      <w:r w:rsidRPr="00205340">
        <w:t>.</w:t>
      </w:r>
    </w:p>
    <w:p w14:paraId="3D2D6E68" w14:textId="361EBCC9" w:rsidR="008C0BCC" w:rsidRPr="00205340" w:rsidRDefault="008C0BCC" w:rsidP="008227F0">
      <w:pPr>
        <w:pStyle w:val="ListParagraph"/>
        <w:numPr>
          <w:ilvl w:val="0"/>
          <w:numId w:val="39"/>
        </w:numPr>
        <w:spacing w:after="240"/>
      </w:pPr>
      <w:r w:rsidRPr="00205340">
        <w:t>P</w:t>
      </w:r>
      <w:r w:rsidR="008227F0" w:rsidRPr="00205340">
        <w:t xml:space="preserve">rovide </w:t>
      </w:r>
      <w:r w:rsidR="000F3CBE" w:rsidRPr="00205340">
        <w:t xml:space="preserve">further </w:t>
      </w:r>
      <w:r w:rsidR="008227F0" w:rsidRPr="00205340">
        <w:t>comparative evidence</w:t>
      </w:r>
      <w:r w:rsidR="000F3CBE" w:rsidRPr="00205340">
        <w:t>, including</w:t>
      </w:r>
      <w:r w:rsidR="000F12D6" w:rsidRPr="00205340">
        <w:t xml:space="preserve"> comparison</w:t>
      </w:r>
      <w:r w:rsidR="000F3CBE" w:rsidRPr="00205340">
        <w:t xml:space="preserve"> to near-market comparators</w:t>
      </w:r>
      <w:r w:rsidRPr="00205340">
        <w:t>.</w:t>
      </w:r>
    </w:p>
    <w:p w14:paraId="4C232098" w14:textId="0145B095" w:rsidR="008F596F" w:rsidRPr="00205340" w:rsidRDefault="000F3CBE" w:rsidP="008227F0">
      <w:pPr>
        <w:pStyle w:val="ListParagraph"/>
        <w:numPr>
          <w:ilvl w:val="0"/>
          <w:numId w:val="39"/>
        </w:numPr>
        <w:spacing w:after="240"/>
      </w:pPr>
      <w:r w:rsidRPr="00205340">
        <w:t xml:space="preserve">Align </w:t>
      </w:r>
      <w:r w:rsidR="008F596F" w:rsidRPr="00205340">
        <w:t xml:space="preserve">the economic and </w:t>
      </w:r>
      <w:r w:rsidR="008227F0" w:rsidRPr="00205340">
        <w:t xml:space="preserve">financial analysis </w:t>
      </w:r>
      <w:r w:rsidR="008F596F" w:rsidRPr="00205340">
        <w:t>with ESC and MSAC advice</w:t>
      </w:r>
      <w:r w:rsidR="008C0BCC" w:rsidRPr="00205340">
        <w:t>.</w:t>
      </w:r>
    </w:p>
    <w:p w14:paraId="1DE99903" w14:textId="77777777" w:rsidR="00345A32" w:rsidRPr="00205340" w:rsidRDefault="006C58B6" w:rsidP="00345A32">
      <w:pPr>
        <w:spacing w:after="240"/>
      </w:pPr>
      <w:r w:rsidRPr="00205340">
        <w:t xml:space="preserve">MSAC advised the </w:t>
      </w:r>
      <w:r w:rsidR="00D51620" w:rsidRPr="00205340">
        <w:t>National Blood Authority (</w:t>
      </w:r>
      <w:r w:rsidRPr="00205340">
        <w:t>NBA</w:t>
      </w:r>
      <w:r w:rsidR="00D51620" w:rsidRPr="00205340">
        <w:t>)</w:t>
      </w:r>
      <w:r w:rsidRPr="00205340">
        <w:t xml:space="preserve"> to undertake an evaluation of existing haemophilia products that have not undergone a health technology assessment to determine the cost-effectiveness of these products and help </w:t>
      </w:r>
      <w:r w:rsidR="003C0915" w:rsidRPr="00205340">
        <w:t>determine</w:t>
      </w:r>
      <w:r w:rsidRPr="00205340">
        <w:t xml:space="preserve"> their cost-effective prices. MSAC advised that a framework for the assessment of haemophilia treatments would be informative to ensure a consistent approach to evaluating current and future therapies.</w:t>
      </w:r>
      <w:r w:rsidR="007F7651" w:rsidRPr="00205340">
        <w:t xml:space="preserve"> </w:t>
      </w:r>
      <w:bookmarkStart w:id="4" w:name="_Toc69491416"/>
      <w:bookmarkEnd w:id="3"/>
    </w:p>
    <w:p w14:paraId="6710B69D" w14:textId="0E34E2B3" w:rsidR="00772829" w:rsidRPr="00205340" w:rsidRDefault="00772829" w:rsidP="00345A32">
      <w:pPr>
        <w:pStyle w:val="Heading2"/>
        <w:numPr>
          <w:ilvl w:val="0"/>
          <w:numId w:val="29"/>
        </w:numPr>
        <w:ind w:hanging="720"/>
      </w:pPr>
      <w:r w:rsidRPr="00205340">
        <w:t>Background</w:t>
      </w:r>
      <w:bookmarkEnd w:id="4"/>
    </w:p>
    <w:p w14:paraId="1BCA2438" w14:textId="4FCC704E" w:rsidR="000E7742" w:rsidRPr="00205340" w:rsidRDefault="000E7742" w:rsidP="000E7742">
      <w:bookmarkStart w:id="5" w:name="_Hlk69734494"/>
      <w:r w:rsidRPr="00205340">
        <w:t xml:space="preserve">MSAC has not previously considered </w:t>
      </w:r>
      <w:r w:rsidR="000F5C5A" w:rsidRPr="00205340">
        <w:t>marstacimab</w:t>
      </w:r>
      <w:r w:rsidRPr="00205340">
        <w:t xml:space="preserve"> </w:t>
      </w:r>
      <w:r w:rsidR="000F5C5A" w:rsidRPr="00205340">
        <w:t xml:space="preserve">for routine prophylaxis to prevent bleeding in patients with </w:t>
      </w:r>
      <w:r w:rsidR="00B717FC" w:rsidRPr="00205340">
        <w:t>h</w:t>
      </w:r>
      <w:r w:rsidR="000F5C5A" w:rsidRPr="00205340">
        <w:t>aemophilia.</w:t>
      </w:r>
    </w:p>
    <w:p w14:paraId="33DC42CE" w14:textId="37E2DE18" w:rsidR="00C95D79" w:rsidRPr="00205340" w:rsidRDefault="00D62B0E" w:rsidP="008566DD">
      <w:r w:rsidRPr="00205340">
        <w:t xml:space="preserve">MSAC has previously considered </w:t>
      </w:r>
      <w:r w:rsidR="006C1556" w:rsidRPr="00205340">
        <w:t xml:space="preserve">NPPL listing of </w:t>
      </w:r>
      <w:r w:rsidRPr="00205340">
        <w:t>a</w:t>
      </w:r>
      <w:r w:rsidR="006C1556" w:rsidRPr="00205340">
        <w:t>nother</w:t>
      </w:r>
      <w:r w:rsidRPr="00205340">
        <w:t xml:space="preserve"> monoclonal antibody</w:t>
      </w:r>
      <w:r w:rsidR="0045118B" w:rsidRPr="00205340">
        <w:t xml:space="preserve"> treatment for prophylactic treatment of haemophilia</w:t>
      </w:r>
      <w:r w:rsidR="000524B3" w:rsidRPr="00205340">
        <w:t xml:space="preserve"> (without inhibitors)</w:t>
      </w:r>
      <w:r w:rsidR="0045118B" w:rsidRPr="00205340">
        <w:t>.</w:t>
      </w:r>
      <w:r w:rsidR="0085015F" w:rsidRPr="00205340">
        <w:t xml:space="preserve"> </w:t>
      </w:r>
      <w:r w:rsidR="001E2E8B" w:rsidRPr="00205340">
        <w:t>In August 2019</w:t>
      </w:r>
      <w:r w:rsidR="00920B47" w:rsidRPr="00205340">
        <w:t xml:space="preserve"> MSAC considered listing </w:t>
      </w:r>
      <w:r w:rsidR="0076568B" w:rsidRPr="00205340">
        <w:t>e</w:t>
      </w:r>
      <w:r w:rsidR="00920B47" w:rsidRPr="00205340">
        <w:t xml:space="preserve">micizumab for routine prophylaxis to prevent bleeding or reduce the frequency of bleeding episodes in patients with </w:t>
      </w:r>
      <w:r w:rsidR="008711EC" w:rsidRPr="00205340">
        <w:t>moderate to se</w:t>
      </w:r>
      <w:r w:rsidR="00600D54" w:rsidRPr="00205340">
        <w:t xml:space="preserve">vere </w:t>
      </w:r>
      <w:r w:rsidR="00D13CCF" w:rsidRPr="00205340">
        <w:t>HMA</w:t>
      </w:r>
      <w:r w:rsidR="00920B47" w:rsidRPr="00205340">
        <w:t xml:space="preserve"> </w:t>
      </w:r>
      <w:r w:rsidR="00193857" w:rsidRPr="00205340">
        <w:t xml:space="preserve">who </w:t>
      </w:r>
      <w:r w:rsidR="00472C70" w:rsidRPr="00205340">
        <w:t>did not have</w:t>
      </w:r>
      <w:r w:rsidR="00920B47" w:rsidRPr="00205340">
        <w:t xml:space="preserve"> </w:t>
      </w:r>
      <w:r w:rsidR="006014A1" w:rsidRPr="00205340">
        <w:t>F</w:t>
      </w:r>
      <w:r w:rsidR="00920B47" w:rsidRPr="00205340">
        <w:t>actor VIII inhibitors</w:t>
      </w:r>
      <w:r w:rsidR="00102080" w:rsidRPr="00205340">
        <w:t xml:space="preserve"> (MSAC 1579)</w:t>
      </w:r>
      <w:r w:rsidR="00B15035" w:rsidRPr="00205340">
        <w:t xml:space="preserve">. </w:t>
      </w:r>
      <w:r w:rsidR="00193857" w:rsidRPr="00205340" w:rsidDel="008723DF">
        <w:t>At</w:t>
      </w:r>
      <w:r w:rsidR="00FE6508" w:rsidRPr="00205340" w:rsidDel="008723DF">
        <w:t xml:space="preserve"> </w:t>
      </w:r>
      <w:r w:rsidR="001E2E8B" w:rsidRPr="00205340" w:rsidDel="008723DF">
        <w:t>the same meeting</w:t>
      </w:r>
      <w:r w:rsidR="00FE6508" w:rsidRPr="00205340" w:rsidDel="008723DF">
        <w:t xml:space="preserve">, </w:t>
      </w:r>
      <w:r w:rsidR="00FE6508" w:rsidRPr="00205340">
        <w:t xml:space="preserve">MSAC </w:t>
      </w:r>
      <w:r w:rsidR="008723DF" w:rsidRPr="00205340">
        <w:t xml:space="preserve">also </w:t>
      </w:r>
      <w:r w:rsidR="00FE6508" w:rsidRPr="00205340">
        <w:t xml:space="preserve">considered a resubmission of </w:t>
      </w:r>
      <w:r w:rsidR="00193857" w:rsidRPr="00205340">
        <w:t>e</w:t>
      </w:r>
      <w:r w:rsidR="001370C3" w:rsidRPr="00205340">
        <w:t>micizumab</w:t>
      </w:r>
      <w:r w:rsidR="005371A1" w:rsidRPr="00205340">
        <w:t xml:space="preserve"> for patients </w:t>
      </w:r>
      <w:r w:rsidR="00193857" w:rsidRPr="00205340">
        <w:t xml:space="preserve">who </w:t>
      </w:r>
      <w:r w:rsidR="00564889" w:rsidRPr="00205340">
        <w:t xml:space="preserve">had </w:t>
      </w:r>
      <w:r w:rsidR="006014A1" w:rsidRPr="00205340">
        <w:t>F</w:t>
      </w:r>
      <w:r w:rsidR="00193857" w:rsidRPr="00205340">
        <w:t>actor VIII</w:t>
      </w:r>
      <w:r w:rsidR="005371A1" w:rsidRPr="00205340">
        <w:t xml:space="preserve"> inhibitor</w:t>
      </w:r>
      <w:r w:rsidR="00CE5076" w:rsidRPr="00205340">
        <w:t>s</w:t>
      </w:r>
      <w:r w:rsidR="001370C3" w:rsidRPr="00205340">
        <w:t xml:space="preserve"> (MSAC 1510.1)</w:t>
      </w:r>
      <w:r w:rsidR="00CE5076" w:rsidRPr="00205340">
        <w:t xml:space="preserve">. The resubmission </w:t>
      </w:r>
      <w:r w:rsidR="00193857" w:rsidRPr="00205340">
        <w:t xml:space="preserve">included </w:t>
      </w:r>
      <w:r w:rsidR="0079679F" w:rsidRPr="00205340">
        <w:t>a reduced price-point</w:t>
      </w:r>
      <w:r w:rsidR="00193857" w:rsidRPr="00205340">
        <w:t xml:space="preserve"> that </w:t>
      </w:r>
      <w:r w:rsidR="004C2CD4" w:rsidRPr="00205340">
        <w:t>was weighted across all haemophilia A patients (with and without inhibitors).</w:t>
      </w:r>
      <w:r w:rsidR="00260A48" w:rsidRPr="00205340">
        <w:t xml:space="preserve"> </w:t>
      </w:r>
    </w:p>
    <w:p w14:paraId="7D760B7B" w14:textId="5C0A4084" w:rsidR="00793B8E" w:rsidRPr="00205340" w:rsidRDefault="00260A48" w:rsidP="0009596E">
      <w:r w:rsidRPr="00205340">
        <w:lastRenderedPageBreak/>
        <w:t>MSAC supported the fun</w:t>
      </w:r>
      <w:bookmarkStart w:id="6" w:name="_Hlk69734557"/>
      <w:bookmarkStart w:id="7" w:name="_Hlk68275617"/>
      <w:bookmarkEnd w:id="5"/>
      <w:r w:rsidR="00A875DC" w:rsidRPr="00205340">
        <w:t xml:space="preserve">ding of </w:t>
      </w:r>
      <w:r w:rsidR="0076568B" w:rsidRPr="00205340">
        <w:t>e</w:t>
      </w:r>
      <w:r w:rsidR="00A875DC" w:rsidRPr="00205340">
        <w:t xml:space="preserve">micizumab for </w:t>
      </w:r>
      <w:r w:rsidR="005C27FE" w:rsidRPr="00205340">
        <w:t>patient</w:t>
      </w:r>
      <w:r w:rsidR="00107B00" w:rsidRPr="00205340">
        <w:t>s</w:t>
      </w:r>
      <w:r w:rsidR="005C27FE" w:rsidRPr="00205340">
        <w:t xml:space="preserve"> with </w:t>
      </w:r>
      <w:r w:rsidR="00193857" w:rsidRPr="00205340">
        <w:t>HMA</w:t>
      </w:r>
      <w:r w:rsidR="00A875DC" w:rsidRPr="00205340">
        <w:t xml:space="preserve"> with and without inhibitors</w:t>
      </w:r>
      <w:r w:rsidR="00193857" w:rsidRPr="00205340">
        <w:t xml:space="preserve"> but</w:t>
      </w:r>
      <w:r w:rsidR="00A875DC" w:rsidRPr="00205340">
        <w:t xml:space="preserve"> advised that the final price was subject to negotiation and financial risk shar</w:t>
      </w:r>
      <w:r w:rsidR="00193857" w:rsidRPr="00205340">
        <w:t>e arrangement</w:t>
      </w:r>
      <w:r w:rsidR="00A875DC" w:rsidRPr="00205340">
        <w:t>.</w:t>
      </w:r>
    </w:p>
    <w:p w14:paraId="1544E194" w14:textId="05AC6EE5" w:rsidR="0009596E" w:rsidRPr="00205340" w:rsidRDefault="0009596E" w:rsidP="0009596E">
      <w:pPr>
        <w:pStyle w:val="Caption"/>
      </w:pPr>
      <w:r w:rsidRPr="00205340">
        <w:t xml:space="preserve">Table </w:t>
      </w:r>
      <w:fldSimple w:instr=" SEQ Table \* ARABIC ">
        <w:r w:rsidR="002C6A9B" w:rsidRPr="00205340">
          <w:rPr>
            <w:noProof/>
          </w:rPr>
          <w:t>1</w:t>
        </w:r>
      </w:fldSimple>
      <w:r w:rsidRPr="00205340">
        <w:t xml:space="preserve"> Summary of key matters of concern from MSAC Application 1579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3547"/>
        <w:gridCol w:w="3491"/>
      </w:tblGrid>
      <w:tr w:rsidR="007F0F4D" w:rsidRPr="00205340" w14:paraId="36C9B486" w14:textId="77777777" w:rsidTr="008C11F4">
        <w:trPr>
          <w:cantSplit/>
          <w:tblHeader/>
        </w:trPr>
        <w:tc>
          <w:tcPr>
            <w:tcW w:w="1097" w:type="pct"/>
          </w:tcPr>
          <w:p w14:paraId="7B247EB3" w14:textId="77777777" w:rsidR="00175174" w:rsidRPr="00205340" w:rsidRDefault="00175174">
            <w:pPr>
              <w:pStyle w:val="In-tableHeading"/>
              <w:rPr>
                <w:lang w:val="en-AU"/>
              </w:rPr>
            </w:pPr>
            <w:r w:rsidRPr="00205340">
              <w:rPr>
                <w:lang w:val="en-AU"/>
              </w:rPr>
              <w:t>Component</w:t>
            </w:r>
          </w:p>
        </w:tc>
        <w:tc>
          <w:tcPr>
            <w:tcW w:w="1967" w:type="pct"/>
          </w:tcPr>
          <w:p w14:paraId="421D9436" w14:textId="4727450F" w:rsidR="00175174" w:rsidRPr="00205340" w:rsidRDefault="00175174">
            <w:pPr>
              <w:pStyle w:val="In-tableHeading"/>
              <w:rPr>
                <w:lang w:val="en-AU"/>
              </w:rPr>
            </w:pPr>
            <w:r w:rsidRPr="00205340">
              <w:rPr>
                <w:lang w:val="en-AU"/>
              </w:rPr>
              <w:t>Matter</w:t>
            </w:r>
            <w:r w:rsidR="00656B08" w:rsidRPr="00205340">
              <w:rPr>
                <w:lang w:val="en-AU"/>
              </w:rPr>
              <w:t>s</w:t>
            </w:r>
            <w:r w:rsidRPr="00205340">
              <w:rPr>
                <w:lang w:val="en-AU"/>
              </w:rPr>
              <w:t xml:space="preserve"> of concern in MSAC </w:t>
            </w:r>
            <w:r w:rsidR="00006840" w:rsidRPr="00205340">
              <w:rPr>
                <w:lang w:val="en-AU"/>
              </w:rPr>
              <w:t xml:space="preserve">Application </w:t>
            </w:r>
            <w:r w:rsidR="00A50457" w:rsidRPr="00205340">
              <w:rPr>
                <w:lang w:val="en-AU"/>
              </w:rPr>
              <w:t>1579</w:t>
            </w:r>
          </w:p>
        </w:tc>
        <w:tc>
          <w:tcPr>
            <w:tcW w:w="1936" w:type="pct"/>
          </w:tcPr>
          <w:p w14:paraId="03CBA6C6" w14:textId="47AA2045" w:rsidR="00175174" w:rsidRPr="00205340" w:rsidRDefault="00175174">
            <w:pPr>
              <w:pStyle w:val="In-tableHeading"/>
              <w:rPr>
                <w:lang w:val="en-AU"/>
              </w:rPr>
            </w:pPr>
            <w:r w:rsidRPr="00205340">
              <w:rPr>
                <w:lang w:val="en-AU"/>
              </w:rPr>
              <w:t xml:space="preserve">How </w:t>
            </w:r>
            <w:r w:rsidR="00006840" w:rsidRPr="00205340">
              <w:rPr>
                <w:lang w:val="en-AU"/>
              </w:rPr>
              <w:t xml:space="preserve">MSAC </w:t>
            </w:r>
            <w:r w:rsidR="00763D27" w:rsidRPr="00205340">
              <w:rPr>
                <w:lang w:val="en-AU"/>
              </w:rPr>
              <w:t>application 1806</w:t>
            </w:r>
            <w:r w:rsidRPr="00205340">
              <w:rPr>
                <w:lang w:val="en-AU"/>
              </w:rPr>
              <w:t xml:space="preserve"> addresses </w:t>
            </w:r>
            <w:r w:rsidR="001A2780" w:rsidRPr="00205340">
              <w:rPr>
                <w:lang w:val="en-AU"/>
              </w:rPr>
              <w:t xml:space="preserve">the </w:t>
            </w:r>
            <w:r w:rsidRPr="00205340">
              <w:rPr>
                <w:lang w:val="en-AU"/>
              </w:rPr>
              <w:t>similar issue</w:t>
            </w:r>
          </w:p>
        </w:tc>
      </w:tr>
      <w:tr w:rsidR="007F0F4D" w:rsidRPr="00205340" w14:paraId="540CB28C" w14:textId="77777777" w:rsidTr="008C11F4">
        <w:trPr>
          <w:cantSplit/>
          <w:trHeight w:val="1087"/>
        </w:trPr>
        <w:tc>
          <w:tcPr>
            <w:tcW w:w="1097" w:type="pct"/>
          </w:tcPr>
          <w:p w14:paraId="731F542A" w14:textId="13C38502" w:rsidR="00175174" w:rsidRPr="00205340" w:rsidRDefault="00D60B53">
            <w:pPr>
              <w:pStyle w:val="TableText"/>
            </w:pPr>
            <w:r w:rsidRPr="00205340">
              <w:t>Requested population</w:t>
            </w:r>
          </w:p>
        </w:tc>
        <w:tc>
          <w:tcPr>
            <w:tcW w:w="1967" w:type="pct"/>
          </w:tcPr>
          <w:p w14:paraId="0666A219" w14:textId="30E14982" w:rsidR="00175174" w:rsidRPr="00205340" w:rsidRDefault="00B717FC" w:rsidP="00B717FC">
            <w:pPr>
              <w:pStyle w:val="TableText"/>
              <w:rPr>
                <w:rFonts w:eastAsia="Times New Roman" w:cs="Arial"/>
                <w:snapToGrid w:val="0"/>
                <w:szCs w:val="20"/>
              </w:rPr>
            </w:pPr>
            <w:r w:rsidRPr="00205340">
              <w:rPr>
                <w:rFonts w:eastAsia="Times New Roman" w:cs="Arial"/>
                <w:snapToGrid w:val="0"/>
                <w:szCs w:val="20"/>
              </w:rPr>
              <w:t xml:space="preserve">ESC noted that there was potential for leakage from the relatively small population of moderate–severe HMA patients to the relatively large population of mild HMA, given the </w:t>
            </w:r>
            <w:r w:rsidR="002C7C36" w:rsidRPr="00205340">
              <w:rPr>
                <w:rFonts w:eastAsia="Times New Roman" w:cs="Arial"/>
                <w:snapToGrid w:val="0"/>
                <w:szCs w:val="20"/>
              </w:rPr>
              <w:t>broader</w:t>
            </w:r>
            <w:r w:rsidRPr="00205340">
              <w:rPr>
                <w:rFonts w:eastAsia="Times New Roman" w:cs="Arial"/>
                <w:snapToGrid w:val="0"/>
                <w:szCs w:val="20"/>
              </w:rPr>
              <w:t xml:space="preserve"> TGA-approved indication.</w:t>
            </w:r>
          </w:p>
          <w:p w14:paraId="7DA0A1E4" w14:textId="4DCDCDED" w:rsidR="001216DE" w:rsidRPr="00205340" w:rsidRDefault="00D56660" w:rsidP="00B717FC">
            <w:pPr>
              <w:pStyle w:val="TableText"/>
              <w:rPr>
                <w:rFonts w:eastAsia="Times New Roman" w:cs="Arial"/>
                <w:snapToGrid w:val="0"/>
                <w:szCs w:val="20"/>
              </w:rPr>
            </w:pPr>
            <w:r w:rsidRPr="00205340">
              <w:rPr>
                <w:rFonts w:eastAsia="Times New Roman" w:cs="Arial"/>
                <w:i/>
                <w:iCs/>
                <w:snapToGrid w:val="0"/>
                <w:szCs w:val="20"/>
              </w:rPr>
              <w:t>PSD MSAC 1579, p.</w:t>
            </w:r>
            <w:r w:rsidR="002C7C36" w:rsidRPr="00205340">
              <w:rPr>
                <w:rFonts w:eastAsia="Times New Roman" w:cs="Arial"/>
                <w:i/>
                <w:iCs/>
                <w:snapToGrid w:val="0"/>
                <w:szCs w:val="20"/>
              </w:rPr>
              <w:t>17</w:t>
            </w:r>
          </w:p>
        </w:tc>
        <w:tc>
          <w:tcPr>
            <w:tcW w:w="1936" w:type="pct"/>
          </w:tcPr>
          <w:p w14:paraId="166FA4A9" w14:textId="62B88AEE" w:rsidR="00BE3DC0" w:rsidRPr="00205340" w:rsidRDefault="00B717FC">
            <w:pPr>
              <w:pStyle w:val="TableText"/>
              <w:rPr>
                <w:rFonts w:eastAsia="Times New Roman" w:cs="Arial"/>
                <w:snapToGrid w:val="0"/>
                <w:szCs w:val="20"/>
              </w:rPr>
            </w:pPr>
            <w:r w:rsidRPr="00205340">
              <w:rPr>
                <w:rFonts w:eastAsia="Times New Roman" w:cs="Arial"/>
                <w:snapToGrid w:val="0"/>
                <w:szCs w:val="20"/>
              </w:rPr>
              <w:t xml:space="preserve">The </w:t>
            </w:r>
            <w:r w:rsidR="00924FE5" w:rsidRPr="00205340">
              <w:rPr>
                <w:rFonts w:eastAsia="Times New Roman" w:cs="Arial"/>
                <w:snapToGrid w:val="0"/>
                <w:szCs w:val="20"/>
              </w:rPr>
              <w:t>population requested in the ADAR aligns with the current TGA-approved indications.</w:t>
            </w:r>
          </w:p>
        </w:tc>
      </w:tr>
      <w:tr w:rsidR="007F0F4D" w:rsidRPr="00205340" w14:paraId="21007633" w14:textId="77777777" w:rsidTr="008C11F4">
        <w:trPr>
          <w:cantSplit/>
          <w:trHeight w:val="1087"/>
        </w:trPr>
        <w:tc>
          <w:tcPr>
            <w:tcW w:w="1097" w:type="pct"/>
          </w:tcPr>
          <w:p w14:paraId="1732F585" w14:textId="25AD1D74" w:rsidR="008C11F4" w:rsidRPr="00205340" w:rsidRDefault="008C11F4">
            <w:pPr>
              <w:pStyle w:val="TableText"/>
            </w:pPr>
            <w:r w:rsidRPr="00205340">
              <w:t>Economics</w:t>
            </w:r>
          </w:p>
        </w:tc>
        <w:tc>
          <w:tcPr>
            <w:tcW w:w="1967" w:type="pct"/>
          </w:tcPr>
          <w:p w14:paraId="6DFC960D" w14:textId="63002361" w:rsidR="008C11F4" w:rsidRPr="00205340" w:rsidRDefault="008C11F4" w:rsidP="008C11F4">
            <w:pPr>
              <w:pStyle w:val="TableText"/>
              <w:rPr>
                <w:rFonts w:eastAsia="Times New Roman" w:cs="Arial"/>
                <w:snapToGrid w:val="0"/>
                <w:szCs w:val="20"/>
              </w:rPr>
            </w:pPr>
            <w:r w:rsidRPr="00205340">
              <w:rPr>
                <w:rFonts w:eastAsia="Times New Roman" w:cs="Arial"/>
                <w:snapToGrid w:val="0"/>
                <w:szCs w:val="20"/>
              </w:rPr>
              <w:t xml:space="preserve">MSAC advised that the shadow price for emicizumab </w:t>
            </w:r>
            <w:r w:rsidR="00170EFE" w:rsidRPr="00205340">
              <w:rPr>
                <w:rFonts w:eastAsia="Times New Roman" w:cs="Arial"/>
                <w:snapToGrid w:val="0"/>
                <w:szCs w:val="20"/>
              </w:rPr>
              <w:t xml:space="preserve">should </w:t>
            </w:r>
            <w:r w:rsidRPr="00205340">
              <w:rPr>
                <w:rFonts w:eastAsia="Times New Roman" w:cs="Arial"/>
                <w:snapToGrid w:val="0"/>
                <w:szCs w:val="20"/>
              </w:rPr>
              <w:t>be linked to its ability to reduce annualised bleed rates,</w:t>
            </w:r>
            <w:r w:rsidR="008474EA" w:rsidRPr="00205340">
              <w:rPr>
                <w:rFonts w:eastAsia="Times New Roman" w:cs="Arial"/>
                <w:snapToGrid w:val="0"/>
                <w:szCs w:val="20"/>
              </w:rPr>
              <w:t xml:space="preserve"> in patient who were previously receiving factor prophylaxis,</w:t>
            </w:r>
            <w:r w:rsidRPr="00205340">
              <w:rPr>
                <w:rFonts w:eastAsia="Times New Roman" w:cs="Arial"/>
                <w:snapToGrid w:val="0"/>
                <w:szCs w:val="20"/>
              </w:rPr>
              <w:t xml:space="preserve"> noting the consequences of bleeds for patient outcomes and extra costs.</w:t>
            </w:r>
          </w:p>
          <w:p w14:paraId="1901BC32" w14:textId="059B5DC2" w:rsidR="008C11F4" w:rsidRPr="00205340" w:rsidRDefault="00D50252" w:rsidP="008C11F4">
            <w:pPr>
              <w:pStyle w:val="TableText"/>
              <w:rPr>
                <w:rFonts w:eastAsia="Times New Roman" w:cs="Arial"/>
                <w:i/>
                <w:iCs/>
                <w:snapToGrid w:val="0"/>
                <w:szCs w:val="20"/>
              </w:rPr>
            </w:pPr>
            <w:r w:rsidRPr="00205340">
              <w:rPr>
                <w:rFonts w:eastAsia="Times New Roman" w:cs="Arial"/>
                <w:i/>
                <w:iCs/>
                <w:snapToGrid w:val="0"/>
                <w:szCs w:val="20"/>
              </w:rPr>
              <w:t xml:space="preserve">PSD </w:t>
            </w:r>
            <w:r w:rsidR="008C11F4" w:rsidRPr="00205340">
              <w:rPr>
                <w:rFonts w:eastAsia="Times New Roman" w:cs="Arial"/>
                <w:i/>
                <w:iCs/>
                <w:snapToGrid w:val="0"/>
                <w:szCs w:val="20"/>
              </w:rPr>
              <w:t>MSAC 1579</w:t>
            </w:r>
            <w:r w:rsidR="00283EAC" w:rsidRPr="00205340">
              <w:rPr>
                <w:rFonts w:eastAsia="Times New Roman" w:cs="Arial"/>
                <w:i/>
                <w:iCs/>
                <w:snapToGrid w:val="0"/>
                <w:szCs w:val="20"/>
              </w:rPr>
              <w:t>,</w:t>
            </w:r>
            <w:r w:rsidR="008C11F4" w:rsidRPr="00205340">
              <w:rPr>
                <w:rFonts w:eastAsia="Times New Roman" w:cs="Arial"/>
                <w:i/>
                <w:iCs/>
                <w:snapToGrid w:val="0"/>
                <w:szCs w:val="20"/>
              </w:rPr>
              <w:t xml:space="preserve"> p.4</w:t>
            </w:r>
          </w:p>
        </w:tc>
        <w:tc>
          <w:tcPr>
            <w:tcW w:w="1936" w:type="pct"/>
          </w:tcPr>
          <w:p w14:paraId="0307D8C6" w14:textId="7DDABD26" w:rsidR="008C11F4" w:rsidRPr="00205340" w:rsidRDefault="00DD79AB">
            <w:pPr>
              <w:pStyle w:val="TableText"/>
              <w:rPr>
                <w:rFonts w:eastAsia="Times New Roman" w:cs="Arial"/>
                <w:snapToGrid w:val="0"/>
                <w:szCs w:val="20"/>
              </w:rPr>
            </w:pPr>
            <w:r w:rsidRPr="00205340">
              <w:rPr>
                <w:rFonts w:eastAsia="Times New Roman" w:cs="Arial"/>
                <w:snapToGrid w:val="0"/>
                <w:szCs w:val="20"/>
              </w:rPr>
              <w:t xml:space="preserve">For HMA and HMB, </w:t>
            </w:r>
            <w:r w:rsidR="00170EFE" w:rsidRPr="00205340">
              <w:rPr>
                <w:rFonts w:eastAsia="Times New Roman" w:cs="Arial"/>
                <w:snapToGrid w:val="0"/>
                <w:szCs w:val="20"/>
              </w:rPr>
              <w:t xml:space="preserve">an </w:t>
            </w:r>
            <w:r w:rsidRPr="00205340">
              <w:rPr>
                <w:rFonts w:eastAsia="Times New Roman" w:cs="Arial"/>
                <w:snapToGrid w:val="0"/>
                <w:szCs w:val="20"/>
              </w:rPr>
              <w:t>a</w:t>
            </w:r>
            <w:r w:rsidR="00D05878" w:rsidRPr="00205340">
              <w:rPr>
                <w:rFonts w:eastAsia="Times New Roman" w:cs="Arial"/>
                <w:snapToGrid w:val="0"/>
                <w:szCs w:val="20"/>
              </w:rPr>
              <w:t>dditional clinically meaningful reduction in</w:t>
            </w:r>
            <w:r w:rsidR="001F392B" w:rsidRPr="00205340">
              <w:rPr>
                <w:rFonts w:eastAsia="Times New Roman" w:cs="Arial"/>
                <w:snapToGrid w:val="0"/>
                <w:szCs w:val="20"/>
              </w:rPr>
              <w:t xml:space="preserve"> annualised bleeding rates</w:t>
            </w:r>
            <w:r w:rsidR="00574FD9" w:rsidRPr="00205340">
              <w:rPr>
                <w:rFonts w:eastAsia="Times New Roman" w:cs="Arial"/>
                <w:snapToGrid w:val="0"/>
                <w:szCs w:val="20"/>
              </w:rPr>
              <w:t xml:space="preserve"> f</w:t>
            </w:r>
            <w:r w:rsidR="00D05878" w:rsidRPr="00205340">
              <w:rPr>
                <w:rFonts w:eastAsia="Times New Roman" w:cs="Arial"/>
                <w:snapToGrid w:val="0"/>
                <w:szCs w:val="20"/>
              </w:rPr>
              <w:t>rom treatment with marstacimab</w:t>
            </w:r>
            <w:r w:rsidR="00170EFE" w:rsidRPr="00205340">
              <w:rPr>
                <w:rFonts w:eastAsia="Times New Roman" w:cs="Arial"/>
                <w:snapToGrid w:val="0"/>
                <w:szCs w:val="20"/>
              </w:rPr>
              <w:t>,</w:t>
            </w:r>
            <w:r w:rsidR="00D05878" w:rsidRPr="00205340">
              <w:rPr>
                <w:rFonts w:eastAsia="Times New Roman" w:cs="Arial"/>
                <w:snapToGrid w:val="0"/>
                <w:szCs w:val="20"/>
              </w:rPr>
              <w:t xml:space="preserve"> rather than factor prophylaxis</w:t>
            </w:r>
            <w:r w:rsidR="00170EFE" w:rsidRPr="00205340">
              <w:rPr>
                <w:rFonts w:eastAsia="Times New Roman" w:cs="Arial"/>
                <w:snapToGrid w:val="0"/>
                <w:szCs w:val="20"/>
              </w:rPr>
              <w:t>,</w:t>
            </w:r>
            <w:r w:rsidR="00D05878" w:rsidRPr="00205340">
              <w:rPr>
                <w:rFonts w:eastAsia="Times New Roman" w:cs="Arial"/>
                <w:snapToGrid w:val="0"/>
                <w:szCs w:val="20"/>
              </w:rPr>
              <w:t xml:space="preserve"> </w:t>
            </w:r>
            <w:r w:rsidR="00700F7D" w:rsidRPr="00205340">
              <w:rPr>
                <w:rFonts w:eastAsia="Times New Roman" w:cs="Arial"/>
                <w:snapToGrid w:val="0"/>
                <w:szCs w:val="20"/>
              </w:rPr>
              <w:t>is optimistic</w:t>
            </w:r>
            <w:r w:rsidR="007A139C" w:rsidRPr="00205340">
              <w:rPr>
                <w:rFonts w:eastAsia="Times New Roman" w:cs="Arial"/>
                <w:snapToGrid w:val="0"/>
                <w:szCs w:val="20"/>
              </w:rPr>
              <w:t xml:space="preserve"> </w:t>
            </w:r>
            <w:r w:rsidR="00170EFE" w:rsidRPr="00205340">
              <w:rPr>
                <w:rFonts w:eastAsia="Times New Roman" w:cs="Arial"/>
                <w:snapToGrid w:val="0"/>
                <w:szCs w:val="20"/>
              </w:rPr>
              <w:t xml:space="preserve">as </w:t>
            </w:r>
            <w:r w:rsidR="00700F7D" w:rsidRPr="00205340">
              <w:rPr>
                <w:rFonts w:eastAsia="Times New Roman" w:cs="Arial"/>
                <w:snapToGrid w:val="0"/>
                <w:szCs w:val="20"/>
              </w:rPr>
              <w:t>most patients</w:t>
            </w:r>
            <w:r w:rsidR="00484591" w:rsidRPr="00205340">
              <w:rPr>
                <w:rFonts w:eastAsia="Times New Roman" w:cs="Arial"/>
                <w:snapToGrid w:val="0"/>
                <w:szCs w:val="20"/>
              </w:rPr>
              <w:t xml:space="preserve"> received SHL prophylaxis</w:t>
            </w:r>
            <w:r w:rsidR="00170EFE" w:rsidRPr="00205340">
              <w:rPr>
                <w:rFonts w:eastAsia="Times New Roman" w:cs="Arial"/>
                <w:snapToGrid w:val="0"/>
                <w:szCs w:val="20"/>
              </w:rPr>
              <w:t xml:space="preserve"> in the key trial</w:t>
            </w:r>
            <w:r w:rsidRPr="00205340">
              <w:rPr>
                <w:rFonts w:eastAsia="Times New Roman" w:cs="Arial"/>
                <w:snapToGrid w:val="0"/>
                <w:szCs w:val="20"/>
              </w:rPr>
              <w:t>.</w:t>
            </w:r>
            <w:r w:rsidR="00D87B1D" w:rsidRPr="00205340">
              <w:rPr>
                <w:rFonts w:eastAsia="Times New Roman" w:cs="Arial"/>
                <w:snapToGrid w:val="0"/>
                <w:szCs w:val="20"/>
              </w:rPr>
              <w:t xml:space="preserve"> This does not reflect current Australian clinical practice, where </w:t>
            </w:r>
            <w:proofErr w:type="gramStart"/>
            <w:r w:rsidR="00D87B1D" w:rsidRPr="00205340">
              <w:rPr>
                <w:rFonts w:eastAsia="Times New Roman" w:cs="Arial"/>
                <w:snapToGrid w:val="0"/>
                <w:szCs w:val="20"/>
              </w:rPr>
              <w:t>the majority of</w:t>
            </w:r>
            <w:proofErr w:type="gramEnd"/>
            <w:r w:rsidR="00D87B1D" w:rsidRPr="00205340">
              <w:rPr>
                <w:rFonts w:eastAsia="Times New Roman" w:cs="Arial"/>
                <w:snapToGrid w:val="0"/>
                <w:szCs w:val="20"/>
              </w:rPr>
              <w:t xml:space="preserve"> patients receive EHL prophylaxis.</w:t>
            </w:r>
          </w:p>
          <w:p w14:paraId="729D8B93" w14:textId="5EE0A57C" w:rsidR="008D3CA1" w:rsidRPr="00205340" w:rsidRDefault="00DD79AB">
            <w:pPr>
              <w:pStyle w:val="TableText"/>
              <w:rPr>
                <w:rFonts w:eastAsia="Times New Roman" w:cs="Arial"/>
                <w:snapToGrid w:val="0"/>
                <w:szCs w:val="20"/>
              </w:rPr>
            </w:pPr>
            <w:r w:rsidRPr="00205340">
              <w:rPr>
                <w:rFonts w:eastAsia="Times New Roman" w:cs="Arial"/>
                <w:snapToGrid w:val="0"/>
                <w:szCs w:val="20"/>
              </w:rPr>
              <w:t>For HMA, t</w:t>
            </w:r>
            <w:r w:rsidR="008D3CA1" w:rsidRPr="00205340">
              <w:rPr>
                <w:rFonts w:eastAsia="Times New Roman" w:cs="Arial"/>
                <w:snapToGrid w:val="0"/>
                <w:szCs w:val="20"/>
              </w:rPr>
              <w:t xml:space="preserve">he claim </w:t>
            </w:r>
            <w:r w:rsidR="00170EFE" w:rsidRPr="00205340">
              <w:rPr>
                <w:rFonts w:eastAsia="Times New Roman" w:cs="Arial"/>
                <w:snapToGrid w:val="0"/>
                <w:szCs w:val="20"/>
              </w:rPr>
              <w:t>that</w:t>
            </w:r>
            <w:r w:rsidR="008D3CA1" w:rsidRPr="00205340">
              <w:rPr>
                <w:rFonts w:eastAsia="Times New Roman" w:cs="Arial"/>
                <w:snapToGrid w:val="0"/>
                <w:szCs w:val="20"/>
              </w:rPr>
              <w:t xml:space="preserve"> marstacimab </w:t>
            </w:r>
            <w:r w:rsidR="00170EFE" w:rsidRPr="00205340">
              <w:rPr>
                <w:rFonts w:eastAsia="Times New Roman" w:cs="Arial"/>
                <w:snapToGrid w:val="0"/>
                <w:szCs w:val="20"/>
              </w:rPr>
              <w:t xml:space="preserve">is non-inferior </w:t>
            </w:r>
            <w:r w:rsidR="008D3CA1" w:rsidRPr="00205340">
              <w:rPr>
                <w:rFonts w:eastAsia="Times New Roman" w:cs="Arial"/>
                <w:snapToGrid w:val="0"/>
                <w:szCs w:val="20"/>
              </w:rPr>
              <w:t xml:space="preserve">compared to </w:t>
            </w:r>
            <w:r w:rsidR="00473C2E" w:rsidRPr="00205340">
              <w:rPr>
                <w:rFonts w:eastAsia="Times New Roman" w:cs="Arial"/>
                <w:snapToGrid w:val="0"/>
                <w:szCs w:val="20"/>
              </w:rPr>
              <w:t>emicizumab is</w:t>
            </w:r>
            <w:r w:rsidR="00C719AD" w:rsidRPr="00205340">
              <w:rPr>
                <w:rFonts w:eastAsia="Times New Roman" w:cs="Arial"/>
                <w:snapToGrid w:val="0"/>
                <w:szCs w:val="20"/>
              </w:rPr>
              <w:t xml:space="preserve"> based on an indirect treatment comparison; </w:t>
            </w:r>
            <w:r w:rsidR="00170EFE" w:rsidRPr="00205340">
              <w:rPr>
                <w:rFonts w:eastAsia="Times New Roman" w:cs="Arial"/>
                <w:snapToGrid w:val="0"/>
                <w:szCs w:val="20"/>
              </w:rPr>
              <w:t>leading to uncertainty about whether</w:t>
            </w:r>
            <w:r w:rsidR="00C719AD" w:rsidRPr="00205340">
              <w:rPr>
                <w:rFonts w:eastAsia="Times New Roman" w:cs="Arial"/>
                <w:snapToGrid w:val="0"/>
                <w:szCs w:val="20"/>
              </w:rPr>
              <w:t xml:space="preserve"> bleeding outcomes between these treatments are similar</w:t>
            </w:r>
            <w:r w:rsidR="00170EFE" w:rsidRPr="00205340">
              <w:rPr>
                <w:rFonts w:eastAsia="Times New Roman" w:cs="Arial"/>
                <w:snapToGrid w:val="0"/>
                <w:szCs w:val="20"/>
              </w:rPr>
              <w:t>.</w:t>
            </w:r>
          </w:p>
        </w:tc>
      </w:tr>
    </w:tbl>
    <w:p w14:paraId="18661EE9" w14:textId="1411ACBB" w:rsidR="00175174" w:rsidRPr="00205340" w:rsidRDefault="00C211AE" w:rsidP="00FD60B7">
      <w:pPr>
        <w:pStyle w:val="Tablenotes0"/>
      </w:pPr>
      <w:r w:rsidRPr="00205340">
        <w:t xml:space="preserve">ADAR = applicant developed assessment report; ESC = evaluation sub-committee; HMA = haemophilia A; </w:t>
      </w:r>
      <w:r w:rsidR="008C79FD" w:rsidRPr="00205340">
        <w:t xml:space="preserve">MSAC = Medical Services Advisory Committee; PSD = public summary document; </w:t>
      </w:r>
      <w:r w:rsidRPr="00205340">
        <w:t>TGA</w:t>
      </w:r>
      <w:r w:rsidR="002B0042" w:rsidRPr="00205340">
        <w:t xml:space="preserve"> </w:t>
      </w:r>
      <w:r w:rsidRPr="00205340">
        <w:t>= Therapeutic Goods Administration</w:t>
      </w:r>
    </w:p>
    <w:p w14:paraId="6F52500A" w14:textId="4F952FB6" w:rsidR="00772829" w:rsidRPr="00205340" w:rsidRDefault="00772829" w:rsidP="005C116D">
      <w:pPr>
        <w:pStyle w:val="Heading2"/>
        <w:numPr>
          <w:ilvl w:val="0"/>
          <w:numId w:val="29"/>
        </w:numPr>
        <w:ind w:hanging="720"/>
      </w:pPr>
      <w:bookmarkStart w:id="8" w:name="_Toc69491417"/>
      <w:bookmarkEnd w:id="6"/>
      <w:bookmarkEnd w:id="7"/>
      <w:r w:rsidRPr="00205340">
        <w:t>Prerequisites to implementation of any funding advice</w:t>
      </w:r>
      <w:bookmarkEnd w:id="8"/>
    </w:p>
    <w:p w14:paraId="258A7E2D" w14:textId="5D9A9573" w:rsidR="00AF0862" w:rsidRPr="00205340" w:rsidRDefault="00490EA4" w:rsidP="00490EA4">
      <w:r w:rsidRPr="00205340">
        <w:t xml:space="preserve">Marstacimab is listed on the Australian Register of Therapeutic Goods (AUST R 438990 </w:t>
      </w:r>
      <w:r w:rsidR="00170EFE" w:rsidRPr="00205340">
        <w:t xml:space="preserve">listing </w:t>
      </w:r>
      <w:r w:rsidRPr="00205340">
        <w:t>effective 29 January 2025)</w:t>
      </w:r>
      <w:r w:rsidR="00AF0862" w:rsidRPr="00205340">
        <w:t xml:space="preserve"> and indicated for the routine prophylaxis of bleeding episodes in patients 12 years of age and older with:</w:t>
      </w:r>
    </w:p>
    <w:p w14:paraId="52067425" w14:textId="156F1A22" w:rsidR="00500634" w:rsidRPr="00205340" w:rsidRDefault="000051C5" w:rsidP="005C116D">
      <w:pPr>
        <w:pStyle w:val="ListParagraph"/>
        <w:numPr>
          <w:ilvl w:val="0"/>
          <w:numId w:val="13"/>
        </w:numPr>
      </w:pPr>
      <w:r w:rsidRPr="00205340">
        <w:t>s</w:t>
      </w:r>
      <w:r w:rsidR="00500634" w:rsidRPr="00205340">
        <w:t xml:space="preserve">evere </w:t>
      </w:r>
      <w:r w:rsidR="005F74F4" w:rsidRPr="00205340">
        <w:t xml:space="preserve">HMA </w:t>
      </w:r>
      <w:r w:rsidR="00AF0862" w:rsidRPr="00205340">
        <w:t>(</w:t>
      </w:r>
      <w:r w:rsidR="00500634" w:rsidRPr="00205340">
        <w:t xml:space="preserve">congenital </w:t>
      </w:r>
      <w:r w:rsidR="006014A1" w:rsidRPr="00205340">
        <w:t>F</w:t>
      </w:r>
      <w:r w:rsidR="00500634" w:rsidRPr="00205340">
        <w:t xml:space="preserve">actor VIII </w:t>
      </w:r>
      <w:r w:rsidR="00AF0862" w:rsidRPr="00205340">
        <w:t>[</w:t>
      </w:r>
      <w:r w:rsidR="0082570A" w:rsidRPr="00205340">
        <w:t>FVII</w:t>
      </w:r>
      <w:r w:rsidR="00EC1D66" w:rsidRPr="00205340">
        <w:t>I</w:t>
      </w:r>
      <w:r w:rsidR="00AF0862" w:rsidRPr="00205340">
        <w:t>]</w:t>
      </w:r>
      <w:r w:rsidR="0082570A" w:rsidRPr="00205340">
        <w:t xml:space="preserve"> </w:t>
      </w:r>
      <w:r w:rsidR="00500634" w:rsidRPr="00205340">
        <w:t xml:space="preserve">deficiency, FVIII &lt;1% activity) without </w:t>
      </w:r>
      <w:r w:rsidR="00AF0862" w:rsidRPr="00205340">
        <w:t>F</w:t>
      </w:r>
      <w:r w:rsidR="00500634" w:rsidRPr="00205340">
        <w:t>VIII inhibitors, or</w:t>
      </w:r>
      <w:r w:rsidR="00671AB0" w:rsidRPr="00205340">
        <w:t>;</w:t>
      </w:r>
    </w:p>
    <w:p w14:paraId="35ECA0A2" w14:textId="624A54E7" w:rsidR="00500634" w:rsidRPr="00205340" w:rsidRDefault="000051C5" w:rsidP="005C116D">
      <w:pPr>
        <w:pStyle w:val="ListParagraph"/>
        <w:numPr>
          <w:ilvl w:val="0"/>
          <w:numId w:val="13"/>
        </w:numPr>
      </w:pPr>
      <w:r w:rsidRPr="00205340">
        <w:t>s</w:t>
      </w:r>
      <w:r w:rsidR="00500634" w:rsidRPr="00205340">
        <w:t xml:space="preserve">evere </w:t>
      </w:r>
      <w:r w:rsidR="005F74F4" w:rsidRPr="00205340">
        <w:t xml:space="preserve">HMB </w:t>
      </w:r>
      <w:r w:rsidR="00AF0862" w:rsidRPr="00205340">
        <w:t>(</w:t>
      </w:r>
      <w:r w:rsidR="00500634" w:rsidRPr="00205340">
        <w:t xml:space="preserve">congenital </w:t>
      </w:r>
      <w:r w:rsidR="006014A1" w:rsidRPr="00205340">
        <w:t>F</w:t>
      </w:r>
      <w:r w:rsidR="00500634" w:rsidRPr="00205340">
        <w:t xml:space="preserve">actor IX </w:t>
      </w:r>
      <w:r w:rsidR="00AF0862" w:rsidRPr="00205340">
        <w:t>[</w:t>
      </w:r>
      <w:r w:rsidR="0082570A" w:rsidRPr="00205340">
        <w:t>FIX</w:t>
      </w:r>
      <w:r w:rsidR="00AF0862" w:rsidRPr="00205340">
        <w:t>]</w:t>
      </w:r>
      <w:r w:rsidR="0082570A" w:rsidRPr="00205340">
        <w:t xml:space="preserve"> </w:t>
      </w:r>
      <w:r w:rsidR="00500634" w:rsidRPr="00205340">
        <w:t xml:space="preserve">deficiency, FIX &lt;1% activity) without </w:t>
      </w:r>
      <w:r w:rsidR="00AF0862" w:rsidRPr="00205340">
        <w:t>F</w:t>
      </w:r>
      <w:r w:rsidR="00500634" w:rsidRPr="00205340">
        <w:t>IX inhibitors</w:t>
      </w:r>
    </w:p>
    <w:p w14:paraId="760F15C6" w14:textId="460DBA08" w:rsidR="002E4DB6" w:rsidRPr="00205340" w:rsidRDefault="002E4DB6" w:rsidP="002E4DB6">
      <w:r w:rsidRPr="00205340">
        <w:t xml:space="preserve">Currently, </w:t>
      </w:r>
      <w:r w:rsidR="00B36A44" w:rsidRPr="00205340">
        <w:t>based on the Australian Product Information</w:t>
      </w:r>
      <w:r w:rsidR="0089752C">
        <w:rPr>
          <w:rFonts w:ascii="ZWAdobeF" w:hAnsi="ZWAdobeF" w:cs="ZWAdobeF"/>
          <w:sz w:val="2"/>
          <w:szCs w:val="2"/>
        </w:rPr>
        <w:t>6F</w:t>
      </w:r>
      <w:r w:rsidR="00B36A44" w:rsidRPr="00205340">
        <w:rPr>
          <w:rStyle w:val="FootnoteReference"/>
        </w:rPr>
        <w:footnoteReference w:id="7"/>
      </w:r>
      <w:r w:rsidR="00B36A44" w:rsidRPr="00205340">
        <w:t xml:space="preserve"> for marstacimab, </w:t>
      </w:r>
      <w:r w:rsidRPr="00205340">
        <w:t xml:space="preserve">there are no requirements for monitoring </w:t>
      </w:r>
      <w:r w:rsidR="00EE07FF" w:rsidRPr="00205340">
        <w:t xml:space="preserve">for the presence </w:t>
      </w:r>
      <w:r w:rsidRPr="00205340">
        <w:t>of</w:t>
      </w:r>
      <w:r w:rsidR="00EE07FF" w:rsidRPr="00205340">
        <w:t xml:space="preserve"> FVIII/FIX</w:t>
      </w:r>
      <w:r w:rsidRPr="00205340">
        <w:t xml:space="preserve"> inhibitors </w:t>
      </w:r>
      <w:r w:rsidR="00EE07FF" w:rsidRPr="00205340">
        <w:t>during treatment with</w:t>
      </w:r>
      <w:r w:rsidR="00170EFE" w:rsidRPr="00205340">
        <w:t xml:space="preserve"> m</w:t>
      </w:r>
      <w:r w:rsidRPr="00205340">
        <w:t>arstacimab.</w:t>
      </w:r>
    </w:p>
    <w:p w14:paraId="44C3B242" w14:textId="23E94509" w:rsidR="00772829" w:rsidRPr="00205340" w:rsidRDefault="00772829" w:rsidP="005C116D">
      <w:pPr>
        <w:pStyle w:val="Heading2"/>
        <w:numPr>
          <w:ilvl w:val="0"/>
          <w:numId w:val="29"/>
        </w:numPr>
        <w:ind w:hanging="720"/>
      </w:pPr>
      <w:bookmarkStart w:id="9" w:name="_Toc69491418"/>
      <w:r w:rsidRPr="00205340">
        <w:t>Proposal for public funding</w:t>
      </w:r>
      <w:bookmarkEnd w:id="9"/>
    </w:p>
    <w:p w14:paraId="1C54D0E6" w14:textId="63D9D570" w:rsidR="002E5E34" w:rsidRPr="00205340" w:rsidRDefault="00A11884" w:rsidP="00A11884">
      <w:r w:rsidRPr="00205340">
        <w:t xml:space="preserve">Marstacimab is a human monoclonal antibody (immunoglobulin G isotype, subclass 1 [IgG1]). </w:t>
      </w:r>
      <w:r w:rsidR="00614676" w:rsidRPr="00205340">
        <w:t>Marstac</w:t>
      </w:r>
      <w:r w:rsidR="002E375B" w:rsidRPr="00205340">
        <w:t>imab</w:t>
      </w:r>
      <w:r w:rsidRPr="00205340">
        <w:t xml:space="preserve"> is delivered prophylactically as a </w:t>
      </w:r>
      <w:r w:rsidR="00B86301" w:rsidRPr="00205340">
        <w:t xml:space="preserve">once-weekly </w:t>
      </w:r>
      <w:r w:rsidRPr="00205340">
        <w:t xml:space="preserve">subcutaneous injection using a pen device, which may be self-administered, or by a parent or guardian for younger children. </w:t>
      </w:r>
      <w:r w:rsidR="002E5E34" w:rsidRPr="00205340">
        <w:t xml:space="preserve">The </w:t>
      </w:r>
      <w:r w:rsidR="002E5E34" w:rsidRPr="00205340">
        <w:lastRenderedPageBreak/>
        <w:t>dosing regimen</w:t>
      </w:r>
      <w:r w:rsidR="00DF6804" w:rsidRPr="00205340">
        <w:t xml:space="preserve"> and frequency</w:t>
      </w:r>
      <w:r w:rsidR="002E5E34" w:rsidRPr="00205340">
        <w:t xml:space="preserve"> is the same, regardless of whether the individual has HMA or HMB.</w:t>
      </w:r>
    </w:p>
    <w:p w14:paraId="0BB25896" w14:textId="066CE255" w:rsidR="00B86301" w:rsidRPr="00205340" w:rsidRDefault="005C63B0" w:rsidP="004253AB">
      <w:r w:rsidRPr="00205340">
        <w:t xml:space="preserve">In the human body, blood coagulation is achieved via a highly regulated cascade of plasma proteins. The coagulation cascade is activated upon injury to stop bleeding and shut down when bleeding has stopped to prevent thrombosis. Regulation is achieved by two overlapping pathways: the extrinsic (initiation) pathway and the intrinsic (amplification) pathway. </w:t>
      </w:r>
      <w:r w:rsidR="004253AB" w:rsidRPr="00205340">
        <w:t>In haemophilia, individuals retain some ability to control bleeding via the extrinsic pathway. However, this is not sufficient to control major or spontaneous bleeds as this pathway is shut down by the tissue factor pathway inhibitor (TFPI). TFPI is a</w:t>
      </w:r>
      <w:r w:rsidR="007732C7" w:rsidRPr="00205340">
        <w:t xml:space="preserve">n </w:t>
      </w:r>
      <w:r w:rsidR="004253AB" w:rsidRPr="00205340">
        <w:t xml:space="preserve">inhibitor </w:t>
      </w:r>
      <w:r w:rsidR="007732C7" w:rsidRPr="00205340">
        <w:t>of</w:t>
      </w:r>
      <w:r w:rsidR="004253AB" w:rsidRPr="00205340">
        <w:t xml:space="preserve"> the clotting cascade</w:t>
      </w:r>
      <w:r w:rsidR="00194EF1" w:rsidRPr="00205340">
        <w:t>.</w:t>
      </w:r>
      <w:r w:rsidR="007732C7" w:rsidRPr="00205340">
        <w:t xml:space="preserve"> </w:t>
      </w:r>
      <w:r w:rsidR="004253AB" w:rsidRPr="00205340">
        <w:t xml:space="preserve">Marstacimab binds and inhibits TFPI, thereby enhancing the extrinsic pathway, and bypassing the requirement to replace FVIII or FIX. </w:t>
      </w:r>
    </w:p>
    <w:p w14:paraId="1448E916" w14:textId="1963003F" w:rsidR="004253AB" w:rsidRPr="00205340" w:rsidRDefault="004253AB" w:rsidP="004253AB">
      <w:r w:rsidRPr="00205340">
        <w:t>The application claim</w:t>
      </w:r>
      <w:r w:rsidR="00E87844" w:rsidRPr="00205340">
        <w:t>ed</w:t>
      </w:r>
      <w:r w:rsidRPr="00205340">
        <w:t xml:space="preserve"> that marstacimab is expected to reduce the frequency of bleeds and prevent</w:t>
      </w:r>
      <w:r w:rsidR="00170EFE" w:rsidRPr="00205340">
        <w:t xml:space="preserve"> the</w:t>
      </w:r>
      <w:r w:rsidRPr="00205340">
        <w:t xml:space="preserve"> chronic pain and joint damage associated with haemophilia in the longer term. </w:t>
      </w:r>
    </w:p>
    <w:p w14:paraId="49F526E0" w14:textId="060D3CCB" w:rsidR="0076568B" w:rsidRPr="00205340" w:rsidRDefault="0076568B" w:rsidP="004253AB">
      <w:r w:rsidRPr="00205340">
        <w:t xml:space="preserve">The ADAR </w:t>
      </w:r>
      <w:r w:rsidR="00E87844" w:rsidRPr="00205340">
        <w:t>sought</w:t>
      </w:r>
      <w:r w:rsidRPr="00205340">
        <w:t xml:space="preserve"> listing of ma</w:t>
      </w:r>
      <w:r w:rsidR="00B54FA1" w:rsidRPr="00205340">
        <w:t>rstacimab</w:t>
      </w:r>
      <w:r w:rsidR="002A051F" w:rsidRPr="00205340">
        <w:t xml:space="preserve"> on the NP</w:t>
      </w:r>
      <w:r w:rsidR="00170EFE" w:rsidRPr="00205340">
        <w:t>P</w:t>
      </w:r>
      <w:r w:rsidR="002A051F" w:rsidRPr="00205340">
        <w:t xml:space="preserve">L for routine prophylaxis to prevent bleeding in patients with </w:t>
      </w:r>
      <w:r w:rsidR="007616EE" w:rsidRPr="00205340">
        <w:t xml:space="preserve">severe </w:t>
      </w:r>
      <w:r w:rsidR="002A051F" w:rsidRPr="00205340">
        <w:t>Haemophilia</w:t>
      </w:r>
      <w:r w:rsidR="00B77D5F" w:rsidRPr="00205340">
        <w:t xml:space="preserve"> (HMA and HMB)</w:t>
      </w:r>
      <w:r w:rsidR="007616EE" w:rsidRPr="00205340">
        <w:t xml:space="preserve"> without inhibitors</w:t>
      </w:r>
      <w:r w:rsidR="00B77D5F" w:rsidRPr="00205340">
        <w:t>.</w:t>
      </w:r>
    </w:p>
    <w:p w14:paraId="34E0B08F" w14:textId="6F8A9F67" w:rsidR="00772829" w:rsidRPr="00205340" w:rsidRDefault="00772829" w:rsidP="005C116D">
      <w:pPr>
        <w:pStyle w:val="Heading2"/>
        <w:numPr>
          <w:ilvl w:val="0"/>
          <w:numId w:val="29"/>
        </w:numPr>
        <w:ind w:hanging="720"/>
      </w:pPr>
      <w:bookmarkStart w:id="10" w:name="_Toc69491419"/>
      <w:r w:rsidRPr="00205340">
        <w:t>Population</w:t>
      </w:r>
      <w:bookmarkEnd w:id="10"/>
      <w:r w:rsidRPr="00205340">
        <w:t xml:space="preserve"> </w:t>
      </w:r>
    </w:p>
    <w:p w14:paraId="1359A8DE" w14:textId="3A58159D" w:rsidR="006D6192" w:rsidRPr="00205340" w:rsidRDefault="00332C92" w:rsidP="006D6192">
      <w:r w:rsidRPr="00205340">
        <w:t>Patients proposed to be eligible for treatment with marstacimab include children and adults aged 12 years and over</w:t>
      </w:r>
      <w:r w:rsidR="007218C9" w:rsidRPr="00205340">
        <w:t>,</w:t>
      </w:r>
      <w:r w:rsidRPr="00205340">
        <w:t xml:space="preserve"> with severe HMA (congenital </w:t>
      </w:r>
      <w:r w:rsidR="007616EE" w:rsidRPr="00205340">
        <w:t>F</w:t>
      </w:r>
      <w:r w:rsidRPr="00205340">
        <w:t xml:space="preserve">VIII deficiency, FVIII &lt; 1%) or severe HMB (congenital </w:t>
      </w:r>
      <w:r w:rsidR="007616EE" w:rsidRPr="00205340">
        <w:t>F</w:t>
      </w:r>
      <w:r w:rsidRPr="00205340">
        <w:t>IX deficiency, FIX &lt;1%) without inhibitors to FVIII or FIX</w:t>
      </w:r>
      <w:r w:rsidR="00170EFE" w:rsidRPr="00205340">
        <w:t>, respectively</w:t>
      </w:r>
      <w:r w:rsidRPr="00205340">
        <w:t>. This population aligns with the registered indication for marstacimab listed in the Australian Register of Therapeutic Goods (ARTG) in 2025 (ID 438990)</w:t>
      </w:r>
      <w:r w:rsidR="00D91B8E" w:rsidRPr="00205340">
        <w:t xml:space="preserve">. </w:t>
      </w:r>
      <w:r w:rsidRPr="00205340">
        <w:t xml:space="preserve"> </w:t>
      </w:r>
    </w:p>
    <w:p w14:paraId="7BC289B0" w14:textId="6F3E6B52" w:rsidR="00332C92" w:rsidRPr="00205340" w:rsidRDefault="00332C92" w:rsidP="006D6192">
      <w:r w:rsidRPr="00205340">
        <w:t xml:space="preserve">Haemophilia is an X-linked congenital bleeding disorder, caused by a deficiency in coagulation FVIII in HMA or coagulation FIX in HMB. This deficiency arises from the variants in the </w:t>
      </w:r>
      <w:r w:rsidRPr="00205340">
        <w:rPr>
          <w:i/>
          <w:iCs/>
        </w:rPr>
        <w:t>F8</w:t>
      </w:r>
      <w:r w:rsidRPr="00205340">
        <w:t xml:space="preserve"> or </w:t>
      </w:r>
      <w:r w:rsidRPr="00205340">
        <w:rPr>
          <w:i/>
          <w:iCs/>
        </w:rPr>
        <w:t>F9</w:t>
      </w:r>
      <w:r w:rsidRPr="00205340">
        <w:t xml:space="preserve"> genes, which encode the respective clotting </w:t>
      </w:r>
      <w:r w:rsidR="00D91B8E" w:rsidRPr="00205340">
        <w:t>factors.</w:t>
      </w:r>
      <w:r w:rsidRPr="00205340">
        <w:t xml:space="preserve"> </w:t>
      </w:r>
      <w:r w:rsidR="00D82573" w:rsidRPr="00205340">
        <w:t>T</w:t>
      </w:r>
      <w:r w:rsidRPr="00205340">
        <w:t xml:space="preserve">he clotting cascade involves a complex interaction of the coagulation factors. In HMA and HMB, the disruption of FVIII and FIX impairs the cascade, resulting in prolonged bleeding. </w:t>
      </w:r>
    </w:p>
    <w:p w14:paraId="1CFAA1F3" w14:textId="17A69CE0" w:rsidR="005D7FAF" w:rsidRPr="00205340" w:rsidRDefault="009E61DF" w:rsidP="006D6192">
      <w:r w:rsidRPr="00205340">
        <w:t>There are three levels of haemophilia: mild, moderate and severe. The level of severity depends on the amount of</w:t>
      </w:r>
      <w:r w:rsidR="005D7FAF" w:rsidRPr="00205340">
        <w:t xml:space="preserve"> relative</w:t>
      </w:r>
      <w:r w:rsidRPr="00205340">
        <w:t xml:space="preserve"> clotting factor activity in the person’s blood</w:t>
      </w:r>
      <w:r w:rsidR="005D7FAF" w:rsidRPr="00205340">
        <w:t xml:space="preserve"> compared to normal</w:t>
      </w:r>
      <w:r w:rsidRPr="00205340">
        <w:t>.</w:t>
      </w:r>
      <w:r w:rsidR="00E65200" w:rsidRPr="00205340">
        <w:t xml:space="preserve"> </w:t>
      </w:r>
      <w:r w:rsidR="005D7FAF" w:rsidRPr="00205340">
        <w:t>S</w:t>
      </w:r>
      <w:r w:rsidR="00E65200" w:rsidRPr="00205340">
        <w:t>evere haemophilia has an activity of &lt;1%</w:t>
      </w:r>
      <w:r w:rsidR="00C414F5" w:rsidRPr="00205340">
        <w:t xml:space="preserve"> relative to normal</w:t>
      </w:r>
      <w:r w:rsidR="005D7FAF" w:rsidRPr="00205340">
        <w:t xml:space="preserve"> and </w:t>
      </w:r>
      <w:r w:rsidR="00CE5C27" w:rsidRPr="00205340">
        <w:rPr>
          <w:rFonts w:cs="Segoe UI"/>
        </w:rPr>
        <w:t xml:space="preserve">is typically identified early in life. </w:t>
      </w:r>
      <w:r w:rsidR="00CE5C27" w:rsidRPr="00205340">
        <w:t xml:space="preserve">Individuals with severe haemophilia </w:t>
      </w:r>
      <w:r w:rsidR="005D7FAF" w:rsidRPr="00205340">
        <w:t xml:space="preserve">experience bleeds from trauma, or </w:t>
      </w:r>
      <w:r w:rsidR="00C86E75" w:rsidRPr="00205340">
        <w:t xml:space="preserve">bleeding </w:t>
      </w:r>
      <w:r w:rsidR="005D7FAF" w:rsidRPr="00205340">
        <w:t xml:space="preserve">may occur spontaneously. Spontaneous bleeds </w:t>
      </w:r>
      <w:r w:rsidR="004F69A6" w:rsidRPr="00205340">
        <w:t>often occur in joints and can lead to pain and swelling. If this occurs repeatedly in the same joint, this is called a “target joint bleed” and can result in permanent damage, leading to arthritis, chronic pain</w:t>
      </w:r>
      <w:r w:rsidR="0069229A" w:rsidRPr="00205340">
        <w:t>,</w:t>
      </w:r>
      <w:r w:rsidR="004F69A6" w:rsidRPr="00205340">
        <w:t xml:space="preserve"> and loss of joint function</w:t>
      </w:r>
      <w:r w:rsidR="00EB417B" w:rsidRPr="00205340">
        <w:t xml:space="preserve"> (Haemophilia Foundation Australia, 2023)</w:t>
      </w:r>
      <w:r w:rsidR="0089752C">
        <w:rPr>
          <w:rFonts w:ascii="ZWAdobeF" w:hAnsi="ZWAdobeF" w:cs="ZWAdobeF"/>
          <w:sz w:val="2"/>
          <w:szCs w:val="2"/>
        </w:rPr>
        <w:t>7F</w:t>
      </w:r>
      <w:r w:rsidR="00EB417B" w:rsidRPr="00205340">
        <w:rPr>
          <w:rStyle w:val="FootnoteReference"/>
        </w:rPr>
        <w:footnoteReference w:id="8"/>
      </w:r>
      <w:r w:rsidR="004F69A6" w:rsidRPr="00205340">
        <w:t>.</w:t>
      </w:r>
    </w:p>
    <w:p w14:paraId="2A39B359" w14:textId="00891044" w:rsidR="00787909" w:rsidRPr="00205340" w:rsidRDefault="00787909" w:rsidP="001F6FC6">
      <w:r w:rsidRPr="00205340">
        <w:t xml:space="preserve">The current standard of care for people with severe HMA involves either prophylactic subcutaneous injections of emicizumab (administered 1-4 times per month) or prophylactic infusions of FVIII concentrate (administered 1-2 times per week for </w:t>
      </w:r>
      <w:r w:rsidR="00525069" w:rsidRPr="00205340">
        <w:t>extended half-life (</w:t>
      </w:r>
      <w:r w:rsidRPr="00205340">
        <w:t>EHL</w:t>
      </w:r>
      <w:r w:rsidR="00525069" w:rsidRPr="00205340">
        <w:t>)</w:t>
      </w:r>
      <w:r w:rsidRPr="00205340">
        <w:t xml:space="preserve"> products). Patients receiving prophylactic treatment with either emicizumab or FVIII </w:t>
      </w:r>
      <w:r w:rsidR="00D224B3" w:rsidRPr="00205340">
        <w:t>replacement</w:t>
      </w:r>
      <w:r w:rsidR="00114C92" w:rsidRPr="00205340">
        <w:t xml:space="preserve"> </w:t>
      </w:r>
      <w:r w:rsidRPr="00205340">
        <w:t xml:space="preserve">may still require on-demand FVIII </w:t>
      </w:r>
      <w:r w:rsidR="00114C92" w:rsidRPr="00205340">
        <w:t>replacement</w:t>
      </w:r>
      <w:r w:rsidRPr="00205340">
        <w:t xml:space="preserve">, such as for managing breakthrough bleeding episodes or as surgical cover </w:t>
      </w:r>
      <w:r w:rsidR="00C86E75" w:rsidRPr="00205340">
        <w:t xml:space="preserve">(prophylaxis) </w:t>
      </w:r>
      <w:r w:rsidRPr="00205340">
        <w:t xml:space="preserve">prior to </w:t>
      </w:r>
      <w:r w:rsidR="00C86E75" w:rsidRPr="00205340">
        <w:t xml:space="preserve">surgical </w:t>
      </w:r>
      <w:r w:rsidRPr="00205340">
        <w:t xml:space="preserve">procedures. </w:t>
      </w:r>
    </w:p>
    <w:p w14:paraId="1F5A38D6" w14:textId="517ADC92" w:rsidR="00EB417B" w:rsidRPr="00205340" w:rsidRDefault="00EB417B" w:rsidP="00EB417B">
      <w:r w:rsidRPr="00205340">
        <w:lastRenderedPageBreak/>
        <w:t xml:space="preserve">It was reported that 356/561 (63.5%) patients aged 12 years and older with severe HMA in Australia were on a prophylactic regimen of FVIII at some point in 2021-2022 </w:t>
      </w:r>
      <w:r w:rsidRPr="00205340">
        <w:fldChar w:fldCharType="begin"/>
      </w:r>
      <w:r w:rsidRPr="00205340">
        <w:instrText xml:space="preserve"> ADDIN EN.CITE &lt;EndNote&gt;&lt;Cite&gt;&lt;Author&gt;National Blood Authority&lt;/Author&gt;&lt;Year&gt;2023&lt;/Year&gt;&lt;RecNum&gt;46&lt;/RecNum&gt;&lt;DisplayText&gt;(National Blood Authority 2023a)&lt;/DisplayText&gt;&lt;record&gt;&lt;rec-number&gt;46&lt;/rec-number&gt;&lt;foreign-keys&gt;&lt;key app="EN" db-id="wrdwrvxxvt5dstesdtovsevj50f2z9xw099s" timestamp="1748582417"&gt;46&lt;/key&gt;&lt;/foreign-keys&gt;&lt;ref-type name="Generic"&gt;13&lt;/ref-type&gt;&lt;contributors&gt;&lt;authors&gt;&lt;author&gt;National Blood Authority,&lt;/author&gt;&lt;/authors&gt;&lt;/contributors&gt;&lt;titles&gt;&lt;title&gt;Analyses requested by Pfizer from the ABDR&lt;/title&gt;&lt;/titles&gt;&lt;dates&gt;&lt;year&gt;2023&lt;/year&gt;&lt;/dates&gt;&lt;publisher&gt;NBA&lt;/publisher&gt;&lt;urls&gt;&lt;/urls&gt;&lt;/record&gt;&lt;/Cite&gt;&lt;/EndNote&gt;</w:instrText>
      </w:r>
      <w:r w:rsidRPr="00205340">
        <w:fldChar w:fldCharType="separate"/>
      </w:r>
      <w:r w:rsidRPr="00205340">
        <w:t>(National Blood Authority 2023a)</w:t>
      </w:r>
      <w:r w:rsidRPr="00205340">
        <w:fldChar w:fldCharType="end"/>
      </w:r>
      <w:r w:rsidR="0089752C">
        <w:rPr>
          <w:rFonts w:ascii="ZWAdobeF" w:hAnsi="ZWAdobeF" w:cs="ZWAdobeF"/>
          <w:sz w:val="2"/>
          <w:szCs w:val="2"/>
        </w:rPr>
        <w:t>8F</w:t>
      </w:r>
      <w:r w:rsidRPr="00205340">
        <w:rPr>
          <w:rStyle w:val="FootnoteReference"/>
        </w:rPr>
        <w:footnoteReference w:id="9"/>
      </w:r>
      <w:r w:rsidRPr="00205340">
        <w:t xml:space="preserve"> although it is likely that at least some of these swapped to prophylaxis with emicizumab (given the sum of those who received emicizumab and prophylactic FVIII summed to more than 100%). N</w:t>
      </w:r>
      <w:r w:rsidR="00FF16A0" w:rsidRPr="00205340">
        <w:t xml:space="preserve">ational </w:t>
      </w:r>
      <w:r w:rsidRPr="00205340">
        <w:t>B</w:t>
      </w:r>
      <w:r w:rsidR="00FF16A0" w:rsidRPr="00205340">
        <w:t xml:space="preserve">lood </w:t>
      </w:r>
      <w:r w:rsidRPr="00205340">
        <w:t>A</w:t>
      </w:r>
      <w:r w:rsidR="00FF16A0" w:rsidRPr="00205340">
        <w:t>uthority</w:t>
      </w:r>
      <w:r w:rsidRPr="00205340">
        <w:t xml:space="preserve"> usage estimates for 2021-2022 report that: 59.5% of individuals with severe HMA use an EHL product; 38.5% use an SHL product; and 2% were using a plasma-derived FVIII product </w:t>
      </w:r>
      <w:r w:rsidRPr="00205340">
        <w:fldChar w:fldCharType="begin"/>
      </w:r>
      <w:r w:rsidRPr="00205340">
        <w:instrText xml:space="preserve"> ADDIN EN.CITE &lt;EndNote&gt;&lt;Cite&gt;&lt;Author&gt;National Blood Authority&lt;/Author&gt;&lt;Year&gt;2023&lt;/Year&gt;&lt;RecNum&gt;23&lt;/RecNum&gt;&lt;DisplayText&gt;(National Blood Authority 2023b)&lt;/DisplayText&gt;&lt;record&gt;&lt;rec-number&gt;23&lt;/rec-number&gt;&lt;foreign-keys&gt;&lt;key app="EN" db-id="wrdwrvxxvt5dstesdtovsevj50f2z9xw099s" timestamp="1747872605"&gt;23&lt;/key&gt;&lt;/foreign-keys&gt;&lt;ref-type name="Report"&gt;27&lt;/ref-type&gt;&lt;contributors&gt;&lt;authors&gt;&lt;author&gt;National Blood Authority,&lt;/author&gt;&lt;/authors&gt;&lt;tertiary-authors&gt;&lt;author&gt;National Blood Authority&lt;/author&gt;&lt;/tertiary-authors&gt;&lt;/contributors&gt;&lt;titles&gt;&lt;title&gt;Australian Blood Disorders Registry Annual Report 2021-22&lt;/title&gt;&lt;/titles&gt;&lt;dates&gt;&lt;year&gt;2023&lt;/year&gt;&lt;pub-dates&gt;&lt;date&gt;22 March 2023&lt;/date&gt;&lt;/pub-dates&gt;&lt;/dates&gt;&lt;urls&gt;&lt;related-urls&gt;&lt;url&gt;http://www.blood.gov.au/data-analysis-reporting&lt;/url&gt;&lt;/related-urls&gt;&lt;/urls&gt;&lt;/record&gt;&lt;/Cite&gt;&lt;/EndNote&gt;</w:instrText>
      </w:r>
      <w:r w:rsidRPr="00205340">
        <w:fldChar w:fldCharType="separate"/>
      </w:r>
      <w:r w:rsidRPr="00205340">
        <w:t>(National Blood Authority 2023b)</w:t>
      </w:r>
      <w:r w:rsidRPr="00205340">
        <w:fldChar w:fldCharType="end"/>
      </w:r>
      <w:r w:rsidR="0089752C">
        <w:rPr>
          <w:rFonts w:ascii="ZWAdobeF" w:hAnsi="ZWAdobeF" w:cs="ZWAdobeF"/>
          <w:sz w:val="2"/>
          <w:szCs w:val="2"/>
        </w:rPr>
        <w:t>9F</w:t>
      </w:r>
      <w:r w:rsidRPr="00205340">
        <w:rPr>
          <w:rStyle w:val="FootnoteReference"/>
        </w:rPr>
        <w:footnoteReference w:id="10"/>
      </w:r>
      <w:r w:rsidRPr="00205340">
        <w:t>.</w:t>
      </w:r>
    </w:p>
    <w:p w14:paraId="0B6392C9" w14:textId="594D4595" w:rsidR="00A17CF0" w:rsidRPr="00205340" w:rsidRDefault="0050704E" w:rsidP="001F6FC6">
      <w:r w:rsidRPr="00205340">
        <w:t xml:space="preserve">The current standard of care </w:t>
      </w:r>
      <w:r w:rsidR="00C86E75" w:rsidRPr="00205340">
        <w:t xml:space="preserve">for </w:t>
      </w:r>
      <w:r w:rsidR="003C390D" w:rsidRPr="00205340">
        <w:t>people with severe HMB</w:t>
      </w:r>
      <w:r w:rsidRPr="00205340">
        <w:t xml:space="preserve"> involves prophylactic infusions of EHL FIX concentrate (administered once per 2-3 weeks). In addition, FIX concentrate is also used </w:t>
      </w:r>
      <w:proofErr w:type="gramStart"/>
      <w:r w:rsidRPr="00205340">
        <w:t>on-demand</w:t>
      </w:r>
      <w:proofErr w:type="gramEnd"/>
      <w:r w:rsidRPr="00205340">
        <w:t xml:space="preserve"> to manage breakthrough bleeds or as cover prior to surgical procedures. </w:t>
      </w:r>
    </w:p>
    <w:p w14:paraId="690CABFF" w14:textId="0829D0C8" w:rsidR="00EB417B" w:rsidRPr="00205340" w:rsidRDefault="00EB417B" w:rsidP="00EB417B">
      <w:pPr>
        <w:pStyle w:val="Commentary"/>
        <w:rPr>
          <w:rFonts w:ascii="Franklin Gothic Book" w:hAnsi="Franklin Gothic Book"/>
        </w:rPr>
      </w:pPr>
      <w:r w:rsidRPr="00205340">
        <w:rPr>
          <w:rFonts w:ascii="Franklin Gothic Book" w:hAnsi="Franklin Gothic Book"/>
          <w:i w:val="0"/>
        </w:rPr>
        <w:t xml:space="preserve">Among the Australian HMB population, the majority (80%) use </w:t>
      </w:r>
      <w:r w:rsidR="00B56547" w:rsidRPr="00205340">
        <w:rPr>
          <w:rFonts w:ascii="Franklin Gothic Book" w:hAnsi="Franklin Gothic Book"/>
          <w:i w:val="0"/>
        </w:rPr>
        <w:t xml:space="preserve">an </w:t>
      </w:r>
      <w:r w:rsidRPr="00205340">
        <w:rPr>
          <w:rFonts w:ascii="Franklin Gothic Book" w:hAnsi="Franklin Gothic Book"/>
          <w:i w:val="0"/>
        </w:rPr>
        <w:t xml:space="preserve">EHL product rather than </w:t>
      </w:r>
      <w:r w:rsidR="00B56547" w:rsidRPr="00205340">
        <w:rPr>
          <w:rFonts w:ascii="Franklin Gothic Book" w:hAnsi="Franklin Gothic Book"/>
          <w:i w:val="0"/>
        </w:rPr>
        <w:t xml:space="preserve">an </w:t>
      </w:r>
      <w:r w:rsidRPr="00205340">
        <w:rPr>
          <w:rFonts w:ascii="Franklin Gothic Book" w:hAnsi="Franklin Gothic Book"/>
          <w:i w:val="0"/>
        </w:rPr>
        <w:t xml:space="preserve">SHL product </w:t>
      </w:r>
      <w:r w:rsidRPr="00205340">
        <w:rPr>
          <w:rFonts w:ascii="Franklin Gothic Book" w:hAnsi="Franklin Gothic Book"/>
          <w:i w:val="0"/>
        </w:rPr>
        <w:fldChar w:fldCharType="begin"/>
      </w:r>
      <w:r w:rsidRPr="00205340">
        <w:rPr>
          <w:rFonts w:ascii="Franklin Gothic Book" w:hAnsi="Franklin Gothic Book"/>
          <w:i w:val="0"/>
        </w:rPr>
        <w:instrText xml:space="preserve"> ADDIN EN.CITE &lt;EndNote&gt;&lt;Cite&gt;&lt;Author&gt;National Blood Authority&lt;/Author&gt;&lt;Year&gt;2023&lt;/Year&gt;&lt;RecNum&gt;46&lt;/RecNum&gt;&lt;DisplayText&gt;(National Blood Authority 2023a)&lt;/DisplayText&gt;&lt;record&gt;&lt;rec-number&gt;46&lt;/rec-number&gt;&lt;foreign-keys&gt;&lt;key app="EN" db-id="wrdwrvxxvt5dstesdtovsevj50f2z9xw099s" timestamp="1748582417"&gt;46&lt;/key&gt;&lt;/foreign-keys&gt;&lt;ref-type name="Generic"&gt;13&lt;/ref-type&gt;&lt;contributors&gt;&lt;authors&gt;&lt;author&gt;National Blood Authority,&lt;/author&gt;&lt;/authors&gt;&lt;/contributors&gt;&lt;titles&gt;&lt;title&gt;Analyses requested by Pfizer from the ABDR&lt;/title&gt;&lt;/titles&gt;&lt;dates&gt;&lt;year&gt;2023&lt;/year&gt;&lt;/dates&gt;&lt;publisher&gt;NBA&lt;/publisher&gt;&lt;urls&gt;&lt;/urls&gt;&lt;/record&gt;&lt;/Cite&gt;&lt;/EndNote&gt;</w:instrText>
      </w:r>
      <w:r w:rsidRPr="00205340">
        <w:rPr>
          <w:rFonts w:ascii="Franklin Gothic Book" w:hAnsi="Franklin Gothic Book"/>
          <w:i w:val="0"/>
        </w:rPr>
        <w:fldChar w:fldCharType="separate"/>
      </w:r>
      <w:r w:rsidRPr="00205340">
        <w:rPr>
          <w:rFonts w:ascii="Franklin Gothic Book" w:hAnsi="Franklin Gothic Book"/>
          <w:i w:val="0"/>
          <w:noProof/>
        </w:rPr>
        <w:t>(National Blood Authority 2023a)</w:t>
      </w:r>
      <w:r w:rsidRPr="00205340">
        <w:rPr>
          <w:rFonts w:ascii="Franklin Gothic Book" w:hAnsi="Franklin Gothic Book"/>
          <w:i w:val="0"/>
        </w:rPr>
        <w:fldChar w:fldCharType="end"/>
      </w:r>
      <w:r w:rsidRPr="00205340">
        <w:rPr>
          <w:rFonts w:ascii="Franklin Gothic Book" w:hAnsi="Franklin Gothic Book"/>
          <w:i w:val="0"/>
        </w:rPr>
        <w:t>.</w:t>
      </w:r>
    </w:p>
    <w:p w14:paraId="3E2CAF95" w14:textId="6E0A9B8F" w:rsidR="0050704E" w:rsidRPr="00205340" w:rsidRDefault="0081299E" w:rsidP="001F6FC6">
      <w:r w:rsidRPr="00205340">
        <w:t>Patients with</w:t>
      </w:r>
      <w:r w:rsidR="00AC4C81" w:rsidRPr="00205340">
        <w:t xml:space="preserve"> HMA </w:t>
      </w:r>
      <w:r w:rsidRPr="00205340">
        <w:t>or</w:t>
      </w:r>
      <w:r w:rsidR="00AC4C81" w:rsidRPr="00205340">
        <w:t xml:space="preserve"> HMB</w:t>
      </w:r>
      <w:r w:rsidR="0050704E" w:rsidRPr="00205340">
        <w:t xml:space="preserve"> receiving </w:t>
      </w:r>
      <w:r w:rsidR="00A17CF0" w:rsidRPr="00205340">
        <w:t>factor</w:t>
      </w:r>
      <w:r w:rsidR="0050704E" w:rsidRPr="00205340">
        <w:t xml:space="preserve"> prophylaxis are typically screened for inhibitor development if they exhibit an unexpected clinical response, have undergone intensive </w:t>
      </w:r>
      <w:r w:rsidR="00D447A3" w:rsidRPr="00205340">
        <w:t>factor</w:t>
      </w:r>
      <w:r w:rsidR="0050704E" w:rsidRPr="00205340">
        <w:t xml:space="preserve"> treatment, or are scheduled for surgical procedures. </w:t>
      </w:r>
      <w:r w:rsidR="00D224B3" w:rsidRPr="00205340">
        <w:t xml:space="preserve">If high inhibitor titres are detected, immune tolerance induction (ITI) with factor replacement is initiated, alongside on-demand use of </w:t>
      </w:r>
      <w:r w:rsidR="00EB54FD" w:rsidRPr="00205340">
        <w:t>by-passing agents (BPAs)</w:t>
      </w:r>
      <w:r w:rsidR="00D224B3" w:rsidRPr="00205340">
        <w:t xml:space="preserve"> as needed. </w:t>
      </w:r>
      <w:r w:rsidR="00EB54FD" w:rsidRPr="00205340">
        <w:t>If ITI fails, subsequent treatment options include on-demand or prophylactic BPAs, or</w:t>
      </w:r>
      <w:r w:rsidR="00F409BA" w:rsidRPr="00205340">
        <w:t xml:space="preserve"> </w:t>
      </w:r>
      <w:r w:rsidR="00776FEC" w:rsidRPr="00205340">
        <w:t>(for patients with HMA)</w:t>
      </w:r>
      <w:r w:rsidR="00EB54FD" w:rsidRPr="00205340">
        <w:t xml:space="preserve"> prophylactic emicizumab in combination with a BPA. </w:t>
      </w:r>
    </w:p>
    <w:p w14:paraId="22744C6F" w14:textId="098D0B25" w:rsidR="001F6FC6" w:rsidRPr="00205340" w:rsidRDefault="005B78E7" w:rsidP="001F6FC6">
      <w:r w:rsidRPr="00205340">
        <w:t xml:space="preserve">In Australia, approximately one in 6,000 males has HMA and one in 25,000-30,000 males has HMB, resulting in over 3,000 individuals currently diagnosed across the two conditions. The Australian Bleeding Disorders Registry (ABDR) </w:t>
      </w:r>
      <w:r w:rsidR="00C86E75" w:rsidRPr="00205340">
        <w:t xml:space="preserve">registered </w:t>
      </w:r>
      <w:r w:rsidRPr="00205340">
        <w:t>561 severe HMA cases and 90 severe HMB cases in people aged 12 years or over in 2021-22</w:t>
      </w:r>
      <w:r w:rsidRPr="00205340" w:rsidDel="00F66FAD">
        <w:t xml:space="preserve">, </w:t>
      </w:r>
      <w:r w:rsidR="00C86E75" w:rsidRPr="00205340" w:rsidDel="00F66FAD">
        <w:t>and these people</w:t>
      </w:r>
      <w:r w:rsidRPr="00205340" w:rsidDel="00F66FAD">
        <w:t xml:space="preserve"> may potentially receive marstacimab if they do not have active inhibitors</w:t>
      </w:r>
      <w:r w:rsidR="00C86E75" w:rsidRPr="00205340">
        <w:t>.</w:t>
      </w:r>
    </w:p>
    <w:p w14:paraId="66BDFCC1" w14:textId="018E3572" w:rsidR="00772829" w:rsidRPr="00205340" w:rsidRDefault="00772829" w:rsidP="005C116D">
      <w:pPr>
        <w:pStyle w:val="Heading2"/>
        <w:numPr>
          <w:ilvl w:val="0"/>
          <w:numId w:val="29"/>
        </w:numPr>
        <w:ind w:hanging="720"/>
      </w:pPr>
      <w:bookmarkStart w:id="11" w:name="_Toc69491420"/>
      <w:r w:rsidRPr="00205340">
        <w:t>Comparator</w:t>
      </w:r>
      <w:bookmarkEnd w:id="11"/>
    </w:p>
    <w:p w14:paraId="18838C41" w14:textId="77777777" w:rsidR="00E82645" w:rsidRPr="00205340" w:rsidRDefault="009E61DF" w:rsidP="00592D53">
      <w:r w:rsidRPr="00205340">
        <w:t xml:space="preserve">The primary comparator for people with HMA is emicizumab, which is a bispecific, humanised monoclonal antibody. The treatment brings together activated Factor IX and Factor X in the clotting cascade, thereby replacing FVIII. </w:t>
      </w:r>
      <w:r w:rsidR="00F9328E" w:rsidRPr="00205340">
        <w:t>The secondary comparator is EHL FVIII replacement prophylaxis via intravenous infusion.</w:t>
      </w:r>
      <w:r w:rsidR="00406B20" w:rsidRPr="00205340">
        <w:t xml:space="preserve"> </w:t>
      </w:r>
    </w:p>
    <w:p w14:paraId="18F2B969" w14:textId="7912EF6E" w:rsidR="00E82645" w:rsidRPr="00205340" w:rsidRDefault="009E61DF" w:rsidP="00592D53">
      <w:r w:rsidRPr="00205340">
        <w:t xml:space="preserve">The primary comparator for people with HMB is </w:t>
      </w:r>
      <w:r w:rsidR="00C02DD3" w:rsidRPr="00205340">
        <w:t xml:space="preserve">EHL </w:t>
      </w:r>
      <w:r w:rsidRPr="00205340">
        <w:t xml:space="preserve">FIX replacement prophylaxis via intravenous infusion. </w:t>
      </w:r>
      <w:r w:rsidR="00A67708" w:rsidRPr="00205340">
        <w:t xml:space="preserve">However, in July 2025 MSAC supported public funding for etranacogene dezaparvovec (ED; also known as </w:t>
      </w:r>
      <w:proofErr w:type="spellStart"/>
      <w:r w:rsidR="00A67708" w:rsidRPr="00205340">
        <w:t>Hemgenix</w:t>
      </w:r>
      <w:proofErr w:type="spellEnd"/>
      <w:r w:rsidR="00A67708" w:rsidRPr="00205340">
        <w:t>®) for adults with moderately severe or severe HMB</w:t>
      </w:r>
      <w:r w:rsidR="00931A3E" w:rsidRPr="00205340">
        <w:t xml:space="preserve"> (</w:t>
      </w:r>
      <w:hyperlink r:id="rId11" w:history="1">
        <w:r w:rsidR="00931A3E" w:rsidRPr="00205340">
          <w:rPr>
            <w:rStyle w:val="Hyperlink"/>
          </w:rPr>
          <w:t>MSAC 1728.1 PSD</w:t>
        </w:r>
      </w:hyperlink>
      <w:r w:rsidR="00931A3E" w:rsidRPr="00205340">
        <w:t>)</w:t>
      </w:r>
      <w:r w:rsidR="00A67708" w:rsidRPr="00205340">
        <w:t xml:space="preserve">. </w:t>
      </w:r>
      <w:r w:rsidR="006A62BD" w:rsidRPr="00205340">
        <w:t xml:space="preserve">PASC considered that ED is a near market comparator </w:t>
      </w:r>
      <w:r w:rsidR="00A67708" w:rsidRPr="00205340">
        <w:t>to marstacimab.</w:t>
      </w:r>
    </w:p>
    <w:p w14:paraId="32B554AA" w14:textId="6A63C983" w:rsidR="00096B62" w:rsidRPr="00205340" w:rsidRDefault="00096B62" w:rsidP="00592D53">
      <w:r w:rsidRPr="00205340">
        <w:t>These comparators are based on the ratified PICO Confirmation for this application, wherein PASC advised:</w:t>
      </w:r>
    </w:p>
    <w:p w14:paraId="717DD51F" w14:textId="11368EBE" w:rsidR="00096B62" w:rsidRPr="00205340" w:rsidRDefault="00096B62" w:rsidP="00592D53">
      <w:pPr>
        <w:pStyle w:val="Instructionaltext"/>
        <w:rPr>
          <w:color w:val="auto"/>
        </w:rPr>
      </w:pPr>
      <w:r w:rsidRPr="00205340">
        <w:rPr>
          <w:color w:val="auto"/>
        </w:rPr>
        <w:t>“</w:t>
      </w:r>
      <w:r w:rsidR="00F2446C" w:rsidRPr="00205340">
        <w:rPr>
          <w:color w:val="auto"/>
        </w:rPr>
        <w:t>…</w:t>
      </w:r>
      <w:r w:rsidRPr="00205340">
        <w:rPr>
          <w:color w:val="auto"/>
        </w:rPr>
        <w:t xml:space="preserve"> EHL factor replacement products are only marginally superior to SHL products </w:t>
      </w:r>
      <w:proofErr w:type="gramStart"/>
      <w:r w:rsidRPr="00205340">
        <w:rPr>
          <w:color w:val="auto"/>
        </w:rPr>
        <w:t>in regard to</w:t>
      </w:r>
      <w:proofErr w:type="gramEnd"/>
      <w:r w:rsidRPr="00205340">
        <w:rPr>
          <w:color w:val="auto"/>
        </w:rPr>
        <w:t xml:space="preserve"> bleeding </w:t>
      </w:r>
      <w:proofErr w:type="gramStart"/>
      <w:r w:rsidRPr="00205340">
        <w:rPr>
          <w:color w:val="auto"/>
        </w:rPr>
        <w:t>rates, but</w:t>
      </w:r>
      <w:proofErr w:type="gramEnd"/>
      <w:r w:rsidRPr="00205340">
        <w:rPr>
          <w:color w:val="auto"/>
        </w:rPr>
        <w:t xml:space="preserve"> are associated with improved convenience due to reduced dosing frequency (which may improve quality of life). PASC noted that although there are SHL factor replacement products available on the NPPL, </w:t>
      </w:r>
      <w:proofErr w:type="gramStart"/>
      <w:r w:rsidRPr="00205340">
        <w:rPr>
          <w:color w:val="auto"/>
        </w:rPr>
        <w:t>the vast majority of</w:t>
      </w:r>
      <w:proofErr w:type="gramEnd"/>
      <w:r w:rsidRPr="00205340">
        <w:rPr>
          <w:color w:val="auto"/>
        </w:rPr>
        <w:t xml:space="preserve"> patients receiving factor replacement are on </w:t>
      </w:r>
      <w:r w:rsidRPr="00205340">
        <w:rPr>
          <w:color w:val="auto"/>
        </w:rPr>
        <w:lastRenderedPageBreak/>
        <w:t>EHL products, and the clinical expert also advised that SHL is rarely used now. Therefore, SHL was considered to not be a valid comparator.”</w:t>
      </w:r>
    </w:p>
    <w:p w14:paraId="325C0495" w14:textId="52614462" w:rsidR="008776F1" w:rsidRPr="00205340" w:rsidRDefault="008776F1" w:rsidP="00592D53">
      <w:pPr>
        <w:pStyle w:val="Instructionaltext"/>
        <w:rPr>
          <w:color w:val="auto"/>
        </w:rPr>
      </w:pPr>
      <w:r w:rsidRPr="00205340">
        <w:rPr>
          <w:color w:val="auto"/>
        </w:rPr>
        <w:t>In the ratified PICO, PASC further noted:</w:t>
      </w:r>
    </w:p>
    <w:p w14:paraId="59E3520F" w14:textId="58A817DB" w:rsidR="008776F1" w:rsidRPr="00205340" w:rsidRDefault="008776F1" w:rsidP="00592D53">
      <w:pPr>
        <w:pStyle w:val="Instructionaltext"/>
        <w:rPr>
          <w:color w:val="auto"/>
        </w:rPr>
      </w:pPr>
      <w:r w:rsidRPr="00205340">
        <w:rPr>
          <w:color w:val="auto"/>
        </w:rPr>
        <w:t>“</w:t>
      </w:r>
      <w:r w:rsidR="00F2446C" w:rsidRPr="00205340">
        <w:rPr>
          <w:color w:val="auto"/>
        </w:rPr>
        <w:t>…</w:t>
      </w:r>
      <w:r w:rsidRPr="00205340">
        <w:rPr>
          <w:color w:val="auto"/>
        </w:rPr>
        <w:t xml:space="preserve"> concizumab has been registered on the ARTG for patients at least 12 years of age who have HMA or HMB. PASC noted that an application for concizumab has been submitted for consideration by MSAC for patients with HMB with </w:t>
      </w:r>
      <w:r w:rsidR="00F71685" w:rsidRPr="00205340">
        <w:rPr>
          <w:color w:val="auto"/>
        </w:rPr>
        <w:t>F</w:t>
      </w:r>
      <w:r w:rsidRPr="00205340">
        <w:rPr>
          <w:color w:val="auto"/>
        </w:rPr>
        <w:t>actor IX inhibitors. PASC noted this was not the same targeted population as marstacimab and did not consider that concizumab was a relevant near-market comparator. However, if the proposal for public funding of concizumab is expanded to include patients with HMA or HMB without inhibitors, it would be a relevant near-market comparator against marstacimab for the HMA and HMB patient populations proposed in the current application.”</w:t>
      </w:r>
    </w:p>
    <w:p w14:paraId="26A52723" w14:textId="392D847A" w:rsidR="008776F1" w:rsidRPr="00205340" w:rsidRDefault="008776F1" w:rsidP="00592D53">
      <w:pPr>
        <w:pStyle w:val="Instructionaltext"/>
        <w:rPr>
          <w:color w:val="auto"/>
        </w:rPr>
      </w:pPr>
      <w:r w:rsidRPr="00205340">
        <w:rPr>
          <w:color w:val="auto"/>
        </w:rPr>
        <w:t xml:space="preserve">The applicant for MSAC 1805 (concizumab) has since expanded the population to include </w:t>
      </w:r>
      <w:r w:rsidR="00454CED" w:rsidRPr="00205340">
        <w:rPr>
          <w:color w:val="auto"/>
        </w:rPr>
        <w:t xml:space="preserve">patients with </w:t>
      </w:r>
      <w:r w:rsidRPr="00205340">
        <w:rPr>
          <w:color w:val="auto"/>
        </w:rPr>
        <w:t xml:space="preserve">HMB without inhibitors. Therefore, concizumab </w:t>
      </w:r>
      <w:r w:rsidR="00E2434B" w:rsidRPr="00205340">
        <w:rPr>
          <w:color w:val="auto"/>
        </w:rPr>
        <w:t>may be considered</w:t>
      </w:r>
      <w:r w:rsidRPr="00205340">
        <w:rPr>
          <w:color w:val="auto"/>
        </w:rPr>
        <w:t xml:space="preserve"> another a near market comparator.</w:t>
      </w:r>
    </w:p>
    <w:p w14:paraId="2FEF7608" w14:textId="77777777" w:rsidR="00135F99" w:rsidRPr="00205340" w:rsidRDefault="00135F99" w:rsidP="005C116D">
      <w:pPr>
        <w:pStyle w:val="Heading2"/>
        <w:numPr>
          <w:ilvl w:val="0"/>
          <w:numId w:val="29"/>
        </w:numPr>
        <w:ind w:hanging="720"/>
      </w:pPr>
      <w:r w:rsidRPr="00205340">
        <w:t xml:space="preserve">Summary of public consultation input </w:t>
      </w:r>
    </w:p>
    <w:p w14:paraId="108FDF96" w14:textId="77777777" w:rsidR="00135F99" w:rsidRPr="00205340" w:rsidRDefault="00135F99" w:rsidP="00135F99">
      <w:r w:rsidRPr="00205340">
        <w:t xml:space="preserve">Consultation input was welcomed from: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0"/>
        <w:gridCol w:w="1230"/>
      </w:tblGrid>
      <w:tr w:rsidR="00135F99" w:rsidRPr="00205340" w14:paraId="7731BB78" w14:textId="77777777" w:rsidTr="00135F99">
        <w:trPr>
          <w:trHeight w:val="575"/>
        </w:trPr>
        <w:tc>
          <w:tcPr>
            <w:tcW w:w="7780" w:type="dxa"/>
            <w:tcBorders>
              <w:top w:val="single" w:sz="6" w:space="0" w:color="000000"/>
              <w:left w:val="single" w:sz="6" w:space="0" w:color="000000"/>
              <w:bottom w:val="single" w:sz="6" w:space="0" w:color="auto"/>
              <w:right w:val="single" w:sz="6" w:space="0" w:color="auto"/>
            </w:tcBorders>
            <w:shd w:val="clear" w:color="auto" w:fill="D1D1D1"/>
            <w:vAlign w:val="center"/>
            <w:hideMark/>
          </w:tcPr>
          <w:p w14:paraId="19D118B6" w14:textId="77777777" w:rsidR="00135F99" w:rsidRPr="00205340" w:rsidRDefault="00135F99" w:rsidP="00135F99">
            <w:pPr>
              <w:pStyle w:val="Instructionaltext"/>
              <w:spacing w:before="40" w:after="40"/>
              <w:jc w:val="both"/>
              <w:rPr>
                <w:color w:val="auto"/>
              </w:rPr>
            </w:pPr>
            <w:r w:rsidRPr="00205340">
              <w:rPr>
                <w:b/>
                <w:bCs/>
                <w:color w:val="auto"/>
              </w:rPr>
              <w:t>1806 – Marstacimab for routine prophylaxis to prevent bleeding in patients with haemophilia</w:t>
            </w:r>
            <w:r w:rsidRPr="00205340">
              <w:rPr>
                <w:color w:val="auto"/>
              </w:rPr>
              <w:t> </w:t>
            </w:r>
          </w:p>
        </w:tc>
        <w:tc>
          <w:tcPr>
            <w:tcW w:w="1230" w:type="dxa"/>
            <w:tcBorders>
              <w:top w:val="single" w:sz="6" w:space="0" w:color="000000"/>
              <w:left w:val="nil"/>
              <w:bottom w:val="single" w:sz="6" w:space="0" w:color="auto"/>
              <w:right w:val="single" w:sz="6" w:space="0" w:color="000000"/>
            </w:tcBorders>
            <w:shd w:val="clear" w:color="auto" w:fill="D1D1D1"/>
            <w:vAlign w:val="center"/>
            <w:hideMark/>
          </w:tcPr>
          <w:p w14:paraId="05ADCA2C" w14:textId="77777777" w:rsidR="00135F99" w:rsidRPr="00205340" w:rsidRDefault="00135F99" w:rsidP="00135F99">
            <w:pPr>
              <w:pStyle w:val="Instructionaltext"/>
              <w:spacing w:before="40" w:after="40"/>
              <w:jc w:val="both"/>
              <w:rPr>
                <w:color w:val="auto"/>
              </w:rPr>
            </w:pPr>
            <w:r w:rsidRPr="00205340">
              <w:rPr>
                <w:b/>
                <w:bCs/>
                <w:color w:val="auto"/>
              </w:rPr>
              <w:t>No. of Inputs Received</w:t>
            </w:r>
            <w:r w:rsidRPr="00205340">
              <w:rPr>
                <w:rFonts w:ascii="Arial" w:hAnsi="Arial" w:cs="Arial"/>
                <w:color w:val="auto"/>
              </w:rPr>
              <w:t> </w:t>
            </w:r>
            <w:r w:rsidRPr="00205340">
              <w:rPr>
                <w:color w:val="auto"/>
              </w:rPr>
              <w:t> </w:t>
            </w:r>
          </w:p>
        </w:tc>
      </w:tr>
      <w:tr w:rsidR="00135F99" w:rsidRPr="00205340" w14:paraId="5F5F3626" w14:textId="77777777" w:rsidTr="00135F99">
        <w:trPr>
          <w:trHeight w:val="358"/>
        </w:trPr>
        <w:tc>
          <w:tcPr>
            <w:tcW w:w="9010" w:type="dxa"/>
            <w:gridSpan w:val="2"/>
            <w:tcBorders>
              <w:top w:val="single" w:sz="6" w:space="0" w:color="auto"/>
              <w:left w:val="single" w:sz="6" w:space="0" w:color="000000"/>
              <w:bottom w:val="single" w:sz="6" w:space="0" w:color="auto"/>
              <w:right w:val="single" w:sz="6" w:space="0" w:color="000000"/>
            </w:tcBorders>
            <w:shd w:val="clear" w:color="auto" w:fill="E8E8E8"/>
            <w:vAlign w:val="center"/>
            <w:hideMark/>
          </w:tcPr>
          <w:p w14:paraId="49F1E15B" w14:textId="69D2C7EF" w:rsidR="00135F99" w:rsidRPr="00205340" w:rsidRDefault="00135F99" w:rsidP="00135F99">
            <w:pPr>
              <w:pStyle w:val="Instructionaltext"/>
              <w:spacing w:before="40" w:after="40"/>
              <w:jc w:val="both"/>
              <w:rPr>
                <w:color w:val="auto"/>
              </w:rPr>
            </w:pPr>
            <w:r w:rsidRPr="00205340">
              <w:rPr>
                <w:b/>
                <w:bCs/>
                <w:color w:val="auto"/>
              </w:rPr>
              <w:t>Organisations (</w:t>
            </w:r>
            <w:r w:rsidR="00F516A5" w:rsidRPr="00205340">
              <w:rPr>
                <w:b/>
                <w:bCs/>
                <w:color w:val="auto"/>
              </w:rPr>
              <w:t>5</w:t>
            </w:r>
            <w:r w:rsidRPr="00205340">
              <w:rPr>
                <w:b/>
                <w:bCs/>
                <w:color w:val="auto"/>
              </w:rPr>
              <w:t>)</w:t>
            </w:r>
            <w:r w:rsidRPr="00205340">
              <w:rPr>
                <w:rFonts w:ascii="Arial" w:hAnsi="Arial" w:cs="Arial"/>
                <w:color w:val="auto"/>
              </w:rPr>
              <w:t> </w:t>
            </w:r>
            <w:r w:rsidRPr="00205340">
              <w:rPr>
                <w:color w:val="auto"/>
              </w:rPr>
              <w:t> </w:t>
            </w:r>
          </w:p>
        </w:tc>
      </w:tr>
      <w:tr w:rsidR="00135F99" w:rsidRPr="00205340" w14:paraId="73EF62F3" w14:textId="77777777" w:rsidTr="00135F99">
        <w:trPr>
          <w:trHeight w:val="750"/>
        </w:trPr>
        <w:tc>
          <w:tcPr>
            <w:tcW w:w="7780" w:type="dxa"/>
            <w:tcBorders>
              <w:top w:val="nil"/>
              <w:left w:val="single" w:sz="6" w:space="0" w:color="000000"/>
              <w:bottom w:val="single" w:sz="6" w:space="0" w:color="auto"/>
              <w:right w:val="single" w:sz="6" w:space="0" w:color="auto"/>
            </w:tcBorders>
            <w:vAlign w:val="center"/>
            <w:hideMark/>
          </w:tcPr>
          <w:p w14:paraId="62AD44B1" w14:textId="77777777" w:rsidR="00135F99" w:rsidRPr="00205340" w:rsidRDefault="00135F99" w:rsidP="00135F99">
            <w:pPr>
              <w:pStyle w:val="Instructionaltext"/>
              <w:spacing w:before="40" w:after="40"/>
              <w:rPr>
                <w:color w:val="auto"/>
              </w:rPr>
            </w:pPr>
            <w:r w:rsidRPr="00205340">
              <w:rPr>
                <w:color w:val="auto"/>
              </w:rPr>
              <w:t>I am providing input on behalf of a consumer group or organisation. Consumer organisations are not-for-profit organisations representing the interests of healthcare consumers, their families and carers.</w:t>
            </w:r>
            <w:r w:rsidRPr="00205340">
              <w:rPr>
                <w:rFonts w:ascii="Arial" w:hAnsi="Arial" w:cs="Arial"/>
                <w:color w:val="auto"/>
              </w:rPr>
              <w:t> </w:t>
            </w:r>
            <w:r w:rsidRPr="00205340">
              <w:rPr>
                <w:color w:val="auto"/>
              </w:rPr>
              <w:t> </w:t>
            </w:r>
          </w:p>
        </w:tc>
        <w:tc>
          <w:tcPr>
            <w:tcW w:w="1230" w:type="dxa"/>
            <w:tcBorders>
              <w:top w:val="nil"/>
              <w:left w:val="nil"/>
              <w:bottom w:val="single" w:sz="6" w:space="0" w:color="auto"/>
              <w:right w:val="single" w:sz="6" w:space="0" w:color="000000"/>
            </w:tcBorders>
            <w:vAlign w:val="center"/>
            <w:hideMark/>
          </w:tcPr>
          <w:p w14:paraId="2C3121EE" w14:textId="1786E9F3" w:rsidR="00135F99" w:rsidRPr="00205340" w:rsidRDefault="00135F99" w:rsidP="00135F99">
            <w:pPr>
              <w:pStyle w:val="Instructionaltext"/>
              <w:spacing w:before="40" w:after="40"/>
              <w:jc w:val="center"/>
              <w:rPr>
                <w:color w:val="auto"/>
              </w:rPr>
            </w:pPr>
            <w:r w:rsidRPr="00205340">
              <w:rPr>
                <w:color w:val="auto"/>
              </w:rPr>
              <w:t>2</w:t>
            </w:r>
          </w:p>
        </w:tc>
      </w:tr>
      <w:tr w:rsidR="00135F99" w:rsidRPr="00205340" w14:paraId="2D9DE7DB" w14:textId="77777777" w:rsidTr="00135F99">
        <w:trPr>
          <w:trHeight w:val="750"/>
        </w:trPr>
        <w:tc>
          <w:tcPr>
            <w:tcW w:w="7780" w:type="dxa"/>
            <w:tcBorders>
              <w:top w:val="nil"/>
              <w:left w:val="single" w:sz="6" w:space="0" w:color="000000"/>
              <w:bottom w:val="single" w:sz="6" w:space="0" w:color="auto"/>
              <w:right w:val="single" w:sz="6" w:space="0" w:color="auto"/>
            </w:tcBorders>
            <w:vAlign w:val="center"/>
            <w:hideMark/>
          </w:tcPr>
          <w:p w14:paraId="41B40D06" w14:textId="77777777" w:rsidR="00135F99" w:rsidRPr="00205340" w:rsidRDefault="00135F99" w:rsidP="00135F99">
            <w:pPr>
              <w:pStyle w:val="Instructionaltext"/>
              <w:spacing w:before="40" w:after="40"/>
              <w:rPr>
                <w:color w:val="auto"/>
              </w:rPr>
            </w:pPr>
            <w:r w:rsidRPr="00205340">
              <w:rPr>
                <w:color w:val="auto"/>
              </w:rPr>
              <w:t>I am providing input on behalf of a medical, health, or other (non-consumer) organisation. For example, input on behalf of a group of clinicians, research organisation, professional college, or from an organisation that produces a similar service or technology.</w:t>
            </w:r>
            <w:r w:rsidRPr="00205340">
              <w:rPr>
                <w:rFonts w:ascii="Arial" w:hAnsi="Arial" w:cs="Arial"/>
                <w:color w:val="auto"/>
              </w:rPr>
              <w:t> </w:t>
            </w:r>
            <w:r w:rsidRPr="00205340">
              <w:rPr>
                <w:color w:val="auto"/>
              </w:rPr>
              <w:t> </w:t>
            </w:r>
          </w:p>
        </w:tc>
        <w:tc>
          <w:tcPr>
            <w:tcW w:w="1230" w:type="dxa"/>
            <w:tcBorders>
              <w:top w:val="nil"/>
              <w:left w:val="nil"/>
              <w:bottom w:val="single" w:sz="6" w:space="0" w:color="auto"/>
              <w:right w:val="single" w:sz="6" w:space="0" w:color="000000"/>
            </w:tcBorders>
            <w:vAlign w:val="center"/>
            <w:hideMark/>
          </w:tcPr>
          <w:p w14:paraId="336465B0" w14:textId="2DC9D9E8" w:rsidR="00135F99" w:rsidRPr="00205340" w:rsidRDefault="00135F99" w:rsidP="00135F99">
            <w:pPr>
              <w:pStyle w:val="Instructionaltext"/>
              <w:spacing w:before="40" w:after="40"/>
              <w:jc w:val="center"/>
              <w:rPr>
                <w:color w:val="auto"/>
              </w:rPr>
            </w:pPr>
            <w:r w:rsidRPr="00205340">
              <w:rPr>
                <w:color w:val="auto"/>
              </w:rPr>
              <w:t>3</w:t>
            </w:r>
          </w:p>
        </w:tc>
      </w:tr>
      <w:tr w:rsidR="00135F99" w:rsidRPr="00205340" w14:paraId="7DE5AC61" w14:textId="77777777" w:rsidTr="00135F99">
        <w:trPr>
          <w:trHeight w:val="300"/>
        </w:trPr>
        <w:tc>
          <w:tcPr>
            <w:tcW w:w="9010" w:type="dxa"/>
            <w:gridSpan w:val="2"/>
            <w:tcBorders>
              <w:top w:val="single" w:sz="6" w:space="0" w:color="auto"/>
              <w:left w:val="single" w:sz="6" w:space="0" w:color="000000"/>
              <w:bottom w:val="single" w:sz="6" w:space="0" w:color="auto"/>
              <w:right w:val="single" w:sz="6" w:space="0" w:color="000000"/>
            </w:tcBorders>
            <w:shd w:val="clear" w:color="auto" w:fill="E8E8E8"/>
            <w:vAlign w:val="center"/>
            <w:hideMark/>
          </w:tcPr>
          <w:p w14:paraId="1DD48B03" w14:textId="77777777" w:rsidR="00135F99" w:rsidRPr="00205340" w:rsidRDefault="00135F99" w:rsidP="00135F99">
            <w:pPr>
              <w:pStyle w:val="Instructionaltext"/>
              <w:spacing w:before="40" w:after="40"/>
              <w:jc w:val="both"/>
              <w:rPr>
                <w:color w:val="auto"/>
              </w:rPr>
            </w:pPr>
            <w:r w:rsidRPr="00205340">
              <w:rPr>
                <w:b/>
                <w:bCs/>
                <w:color w:val="auto"/>
              </w:rPr>
              <w:t>Health Professionals (1)</w:t>
            </w:r>
            <w:r w:rsidRPr="00205340">
              <w:rPr>
                <w:rFonts w:ascii="Arial" w:hAnsi="Arial" w:cs="Arial"/>
                <w:color w:val="auto"/>
              </w:rPr>
              <w:t> </w:t>
            </w:r>
            <w:r w:rsidRPr="00205340">
              <w:rPr>
                <w:color w:val="auto"/>
              </w:rPr>
              <w:t> </w:t>
            </w:r>
          </w:p>
        </w:tc>
      </w:tr>
      <w:tr w:rsidR="00135F99" w:rsidRPr="00205340" w14:paraId="23A921D5" w14:textId="77777777" w:rsidTr="00135F99">
        <w:trPr>
          <w:trHeight w:val="300"/>
        </w:trPr>
        <w:tc>
          <w:tcPr>
            <w:tcW w:w="7780" w:type="dxa"/>
            <w:tcBorders>
              <w:top w:val="nil"/>
              <w:left w:val="single" w:sz="6" w:space="0" w:color="000000"/>
              <w:bottom w:val="single" w:sz="6" w:space="0" w:color="auto"/>
              <w:right w:val="single" w:sz="6" w:space="0" w:color="auto"/>
            </w:tcBorders>
            <w:vAlign w:val="center"/>
            <w:hideMark/>
          </w:tcPr>
          <w:p w14:paraId="6F131194" w14:textId="77777777" w:rsidR="00135F99" w:rsidRPr="00205340" w:rsidRDefault="00135F99" w:rsidP="00135F99">
            <w:pPr>
              <w:pStyle w:val="Instructionaltext"/>
              <w:spacing w:before="40" w:after="40"/>
              <w:rPr>
                <w:color w:val="auto"/>
              </w:rPr>
            </w:pPr>
            <w:r w:rsidRPr="00205340">
              <w:rPr>
                <w:color w:val="auto"/>
              </w:rPr>
              <w:t>I am a health professional or health academic working in the area.</w:t>
            </w:r>
            <w:r w:rsidRPr="00205340">
              <w:rPr>
                <w:rFonts w:ascii="Arial" w:hAnsi="Arial" w:cs="Arial"/>
                <w:color w:val="auto"/>
              </w:rPr>
              <w:t> </w:t>
            </w:r>
            <w:r w:rsidRPr="00205340">
              <w:rPr>
                <w:color w:val="auto"/>
              </w:rPr>
              <w:t> </w:t>
            </w:r>
          </w:p>
        </w:tc>
        <w:tc>
          <w:tcPr>
            <w:tcW w:w="1230" w:type="dxa"/>
            <w:tcBorders>
              <w:top w:val="nil"/>
              <w:left w:val="nil"/>
              <w:bottom w:val="single" w:sz="6" w:space="0" w:color="auto"/>
              <w:right w:val="single" w:sz="6" w:space="0" w:color="000000"/>
            </w:tcBorders>
            <w:vAlign w:val="center"/>
            <w:hideMark/>
          </w:tcPr>
          <w:p w14:paraId="49963CD9" w14:textId="33B96FD3" w:rsidR="00135F99" w:rsidRPr="00205340" w:rsidRDefault="00135F99" w:rsidP="00135F99">
            <w:pPr>
              <w:pStyle w:val="Instructionaltext"/>
              <w:spacing w:before="40" w:after="40"/>
              <w:jc w:val="center"/>
              <w:rPr>
                <w:color w:val="auto"/>
              </w:rPr>
            </w:pPr>
            <w:r w:rsidRPr="00205340">
              <w:rPr>
                <w:color w:val="auto"/>
              </w:rPr>
              <w:t>1</w:t>
            </w:r>
          </w:p>
        </w:tc>
      </w:tr>
      <w:tr w:rsidR="00135F99" w:rsidRPr="00205340" w14:paraId="1FF9FD4C" w14:textId="77777777" w:rsidTr="00135F99">
        <w:trPr>
          <w:trHeight w:val="285"/>
        </w:trPr>
        <w:tc>
          <w:tcPr>
            <w:tcW w:w="7780" w:type="dxa"/>
            <w:tcBorders>
              <w:top w:val="nil"/>
              <w:left w:val="single" w:sz="6" w:space="0" w:color="000000"/>
              <w:bottom w:val="single" w:sz="6" w:space="0" w:color="000000"/>
              <w:right w:val="single" w:sz="6" w:space="0" w:color="auto"/>
            </w:tcBorders>
            <w:vAlign w:val="center"/>
            <w:hideMark/>
          </w:tcPr>
          <w:p w14:paraId="24236A78" w14:textId="77777777" w:rsidR="00135F99" w:rsidRPr="00205340" w:rsidRDefault="00135F99" w:rsidP="00135F99">
            <w:pPr>
              <w:pStyle w:val="Instructionaltext"/>
              <w:spacing w:before="40" w:after="40"/>
              <w:jc w:val="both"/>
              <w:rPr>
                <w:color w:val="auto"/>
              </w:rPr>
            </w:pPr>
            <w:r w:rsidRPr="00205340">
              <w:rPr>
                <w:b/>
                <w:bCs/>
                <w:color w:val="auto"/>
              </w:rPr>
              <w:t>Grand Total</w:t>
            </w:r>
            <w:r w:rsidRPr="00205340">
              <w:rPr>
                <w:rFonts w:ascii="Arial" w:hAnsi="Arial" w:cs="Arial"/>
                <w:color w:val="auto"/>
              </w:rPr>
              <w:t> </w:t>
            </w:r>
            <w:r w:rsidRPr="00205340">
              <w:rPr>
                <w:color w:val="auto"/>
              </w:rPr>
              <w:t> </w:t>
            </w:r>
          </w:p>
        </w:tc>
        <w:tc>
          <w:tcPr>
            <w:tcW w:w="1230" w:type="dxa"/>
            <w:tcBorders>
              <w:top w:val="nil"/>
              <w:left w:val="nil"/>
              <w:bottom w:val="single" w:sz="6" w:space="0" w:color="000000"/>
              <w:right w:val="single" w:sz="6" w:space="0" w:color="000000"/>
            </w:tcBorders>
            <w:vAlign w:val="center"/>
            <w:hideMark/>
          </w:tcPr>
          <w:p w14:paraId="7DB83C9B" w14:textId="0B5B36B7" w:rsidR="00135F99" w:rsidRPr="00205340" w:rsidRDefault="00135F99" w:rsidP="00135F99">
            <w:pPr>
              <w:pStyle w:val="Instructionaltext"/>
              <w:spacing w:before="40" w:after="40"/>
              <w:jc w:val="center"/>
              <w:rPr>
                <w:color w:val="auto"/>
              </w:rPr>
            </w:pPr>
            <w:r w:rsidRPr="00205340">
              <w:rPr>
                <w:b/>
                <w:bCs/>
                <w:color w:val="auto"/>
              </w:rPr>
              <w:t>6</w:t>
            </w:r>
          </w:p>
        </w:tc>
      </w:tr>
    </w:tbl>
    <w:p w14:paraId="76DA802D" w14:textId="77777777" w:rsidR="00135F99" w:rsidRPr="00205340" w:rsidRDefault="00135F99" w:rsidP="00135F99">
      <w:pPr>
        <w:pStyle w:val="Instructionaltext"/>
        <w:spacing w:before="240"/>
        <w:rPr>
          <w:color w:val="auto"/>
        </w:rPr>
      </w:pPr>
      <w:r w:rsidRPr="00205340">
        <w:rPr>
          <w:color w:val="auto"/>
        </w:rPr>
        <w:t>MSAC received consultation input from the following organisations: </w:t>
      </w:r>
    </w:p>
    <w:p w14:paraId="37742B38" w14:textId="77777777" w:rsidR="00135F99" w:rsidRPr="00205340" w:rsidRDefault="00135F99" w:rsidP="005C116D">
      <w:pPr>
        <w:pStyle w:val="Instructionaltext"/>
        <w:numPr>
          <w:ilvl w:val="0"/>
          <w:numId w:val="30"/>
        </w:numPr>
        <w:spacing w:before="0" w:after="0"/>
        <w:ind w:left="714" w:hanging="357"/>
        <w:rPr>
          <w:color w:val="auto"/>
        </w:rPr>
      </w:pPr>
      <w:r w:rsidRPr="00205340">
        <w:rPr>
          <w:color w:val="auto"/>
        </w:rPr>
        <w:t>Public Pathology Australia (PPA) </w:t>
      </w:r>
    </w:p>
    <w:p w14:paraId="7EAADA55" w14:textId="77777777" w:rsidR="00135F99" w:rsidRPr="00205340" w:rsidRDefault="00135F99" w:rsidP="005C116D">
      <w:pPr>
        <w:pStyle w:val="Instructionaltext"/>
        <w:numPr>
          <w:ilvl w:val="0"/>
          <w:numId w:val="31"/>
        </w:numPr>
        <w:spacing w:before="0" w:after="0"/>
        <w:ind w:left="714" w:hanging="357"/>
        <w:rPr>
          <w:color w:val="auto"/>
        </w:rPr>
      </w:pPr>
      <w:r w:rsidRPr="00205340">
        <w:rPr>
          <w:color w:val="auto"/>
        </w:rPr>
        <w:t>Australian Haemophilia Centre Directors’ Organisation (AHCDO) </w:t>
      </w:r>
    </w:p>
    <w:p w14:paraId="7B86EAA8" w14:textId="77777777" w:rsidR="00135F99" w:rsidRPr="00205340" w:rsidRDefault="00135F99" w:rsidP="005C116D">
      <w:pPr>
        <w:pStyle w:val="Instructionaltext"/>
        <w:numPr>
          <w:ilvl w:val="0"/>
          <w:numId w:val="32"/>
        </w:numPr>
        <w:spacing w:before="0" w:after="0"/>
        <w:ind w:left="714" w:hanging="357"/>
        <w:rPr>
          <w:color w:val="auto"/>
        </w:rPr>
      </w:pPr>
      <w:r w:rsidRPr="00205340">
        <w:rPr>
          <w:color w:val="auto"/>
        </w:rPr>
        <w:t>Thrombosis and Haemostasis Society of Australia and New Zealand (THANZ) </w:t>
      </w:r>
    </w:p>
    <w:p w14:paraId="01E531EF" w14:textId="77777777" w:rsidR="00135F99" w:rsidRPr="00205340" w:rsidRDefault="00135F99" w:rsidP="005C116D">
      <w:pPr>
        <w:pStyle w:val="Instructionaltext"/>
        <w:numPr>
          <w:ilvl w:val="0"/>
          <w:numId w:val="33"/>
        </w:numPr>
        <w:spacing w:before="0"/>
        <w:rPr>
          <w:color w:val="auto"/>
        </w:rPr>
      </w:pPr>
      <w:r w:rsidRPr="00205340">
        <w:rPr>
          <w:color w:val="auto"/>
        </w:rPr>
        <w:t>Haemophilia Foundation of Australia (HFA) (2 inputs) </w:t>
      </w:r>
    </w:p>
    <w:p w14:paraId="50B95DE3" w14:textId="77777777" w:rsidR="00135F99" w:rsidRPr="00205340" w:rsidRDefault="00135F99" w:rsidP="00135F99">
      <w:pPr>
        <w:pStyle w:val="Instructionaltext"/>
        <w:rPr>
          <w:color w:val="auto"/>
        </w:rPr>
      </w:pPr>
      <w:r w:rsidRPr="00205340">
        <w:rPr>
          <w:b/>
          <w:bCs/>
          <w:color w:val="auto"/>
        </w:rPr>
        <w:t>Level of support for public funding </w:t>
      </w:r>
      <w:r w:rsidRPr="00205340">
        <w:rPr>
          <w:color w:val="auto"/>
        </w:rPr>
        <w:t> </w:t>
      </w:r>
    </w:p>
    <w:p w14:paraId="7253B2EB" w14:textId="484AB8A7" w:rsidR="00135F99" w:rsidRPr="00205340" w:rsidRDefault="00135F99" w:rsidP="00135F99">
      <w:pPr>
        <w:pStyle w:val="Instructionaltext"/>
        <w:rPr>
          <w:color w:val="auto"/>
        </w:rPr>
      </w:pPr>
      <w:r w:rsidRPr="00205340">
        <w:rPr>
          <w:color w:val="auto"/>
        </w:rPr>
        <w:t>Consultation input was supportive of public funding for marstacimab for routine prophylaxis to prevent bleeding in patients with haemophilia.  </w:t>
      </w:r>
    </w:p>
    <w:p w14:paraId="1003CFF8" w14:textId="77777777" w:rsidR="00135F99" w:rsidRPr="00205340" w:rsidRDefault="00135F99" w:rsidP="00135F99">
      <w:pPr>
        <w:pStyle w:val="Instructionaltext"/>
        <w:rPr>
          <w:color w:val="auto"/>
        </w:rPr>
      </w:pPr>
      <w:r w:rsidRPr="00205340">
        <w:rPr>
          <w:b/>
          <w:bCs/>
          <w:color w:val="auto"/>
        </w:rPr>
        <w:t>Comments on PICO </w:t>
      </w:r>
      <w:r w:rsidRPr="00205340">
        <w:rPr>
          <w:color w:val="auto"/>
        </w:rPr>
        <w:t> </w:t>
      </w:r>
    </w:p>
    <w:p w14:paraId="7D4E1476" w14:textId="6020FF68" w:rsidR="00135F99" w:rsidRPr="00205340" w:rsidRDefault="00135F99" w:rsidP="00135F99">
      <w:pPr>
        <w:pStyle w:val="Instructionaltext"/>
        <w:rPr>
          <w:color w:val="auto"/>
        </w:rPr>
      </w:pPr>
      <w:r w:rsidRPr="00205340">
        <w:rPr>
          <w:color w:val="auto"/>
        </w:rPr>
        <w:t xml:space="preserve">Consultation input from HFA and AHCDO states that the application narrowly defines the eligible population, excluding patients with moderate haemophilia. AHCDO proposed that the population </w:t>
      </w:r>
      <w:r w:rsidRPr="00205340">
        <w:rPr>
          <w:color w:val="auto"/>
        </w:rPr>
        <w:lastRenderedPageBreak/>
        <w:t>be expanded to include people with moderate haemophilia without inhibitors, where a severe bleeding phenotype is present, as they will also be candidates for prophylaxis. HFA also suggested that MSAC </w:t>
      </w:r>
      <w:proofErr w:type="gramStart"/>
      <w:r w:rsidRPr="00205340">
        <w:rPr>
          <w:color w:val="auto"/>
        </w:rPr>
        <w:t>give consideration to</w:t>
      </w:r>
      <w:proofErr w:type="gramEnd"/>
      <w:r w:rsidRPr="00205340">
        <w:rPr>
          <w:color w:val="auto"/>
        </w:rPr>
        <w:t> including this population. AHCDO also included people with moderate haemophilia A and B where the individual is already receiving prophylaxis with an intravenous factor concentrate.  </w:t>
      </w:r>
    </w:p>
    <w:p w14:paraId="3773FBFD" w14:textId="77777777" w:rsidR="00135F99" w:rsidRPr="00205340" w:rsidRDefault="00135F99" w:rsidP="00135F99">
      <w:pPr>
        <w:pStyle w:val="Instructionaltext"/>
        <w:rPr>
          <w:color w:val="auto"/>
        </w:rPr>
      </w:pPr>
      <w:r w:rsidRPr="00205340">
        <w:rPr>
          <w:color w:val="auto"/>
        </w:rPr>
        <w:t>The consultation input broadly agreed with the proposed comparators. However, AHCDO noted that the proportion of severe haemophilia A patients on emicizumab is likely to be higher than outlined in the 2023 Annual Report.  </w:t>
      </w:r>
    </w:p>
    <w:p w14:paraId="7796DBF8" w14:textId="77777777" w:rsidR="00135F99" w:rsidRPr="00205340" w:rsidRDefault="00135F99" w:rsidP="00135F99">
      <w:pPr>
        <w:pStyle w:val="Instructionaltext"/>
        <w:rPr>
          <w:color w:val="auto"/>
        </w:rPr>
      </w:pPr>
      <w:r w:rsidRPr="00205340">
        <w:rPr>
          <w:b/>
          <w:bCs/>
          <w:color w:val="auto"/>
        </w:rPr>
        <w:t>Perceived Advantages </w:t>
      </w:r>
      <w:r w:rsidRPr="00205340">
        <w:rPr>
          <w:color w:val="auto"/>
        </w:rPr>
        <w:t> </w:t>
      </w:r>
    </w:p>
    <w:p w14:paraId="7181A8BC" w14:textId="193CCF20" w:rsidR="00135F99" w:rsidRPr="00205340" w:rsidRDefault="00135F99" w:rsidP="00135F99">
      <w:pPr>
        <w:pStyle w:val="Instructionaltext"/>
        <w:rPr>
          <w:color w:val="auto"/>
        </w:rPr>
      </w:pPr>
      <w:r w:rsidRPr="00205340">
        <w:rPr>
          <w:color w:val="auto"/>
        </w:rPr>
        <w:t>Consultation input viewed the route and ease of administration of marstacimab as a major advantage. HFA noted that people administer marstacimab once weekly by subcutaneous injection, using a pen device. This mode of administration has many benefits for people with haemophilia: </w:t>
      </w:r>
    </w:p>
    <w:p w14:paraId="16332704" w14:textId="77777777" w:rsidR="00135F99" w:rsidRPr="00205340" w:rsidRDefault="00135F99" w:rsidP="005C116D">
      <w:pPr>
        <w:pStyle w:val="Instructionaltext"/>
        <w:numPr>
          <w:ilvl w:val="0"/>
          <w:numId w:val="34"/>
        </w:numPr>
        <w:rPr>
          <w:color w:val="auto"/>
        </w:rPr>
      </w:pPr>
      <w:r w:rsidRPr="00205340">
        <w:rPr>
          <w:color w:val="auto"/>
        </w:rPr>
        <w:t>a weekly subcutaneous injection with a pen device is much easier to manage than slow infusion into a vein and will not impact on veins </w:t>
      </w:r>
    </w:p>
    <w:p w14:paraId="436C7B87" w14:textId="77777777" w:rsidR="00135F99" w:rsidRPr="00205340" w:rsidRDefault="00135F99" w:rsidP="005C116D">
      <w:pPr>
        <w:pStyle w:val="Instructionaltext"/>
        <w:numPr>
          <w:ilvl w:val="0"/>
          <w:numId w:val="35"/>
        </w:numPr>
        <w:rPr>
          <w:color w:val="auto"/>
        </w:rPr>
      </w:pPr>
      <w:r w:rsidRPr="00205340">
        <w:rPr>
          <w:color w:val="auto"/>
        </w:rPr>
        <w:t>it does not require extra equipment such as tourniquets and to create a sterile environment </w:t>
      </w:r>
    </w:p>
    <w:p w14:paraId="33CBB0ED" w14:textId="77777777" w:rsidR="00135F99" w:rsidRPr="00205340" w:rsidRDefault="00135F99" w:rsidP="005C116D">
      <w:pPr>
        <w:pStyle w:val="Instructionaltext"/>
        <w:numPr>
          <w:ilvl w:val="0"/>
          <w:numId w:val="36"/>
        </w:numPr>
        <w:rPr>
          <w:color w:val="auto"/>
        </w:rPr>
      </w:pPr>
      <w:r w:rsidRPr="00205340">
        <w:rPr>
          <w:color w:val="auto"/>
        </w:rPr>
        <w:t>while the product needs to be refrigerated, it is self-contained and inconspicuous – easier to travel with and not misunderstood as illicit drug use </w:t>
      </w:r>
    </w:p>
    <w:p w14:paraId="284F477F" w14:textId="77777777" w:rsidR="00135F99" w:rsidRPr="00205340" w:rsidRDefault="00135F99" w:rsidP="005C116D">
      <w:pPr>
        <w:pStyle w:val="Instructionaltext"/>
        <w:numPr>
          <w:ilvl w:val="0"/>
          <w:numId w:val="37"/>
        </w:numPr>
        <w:rPr>
          <w:color w:val="auto"/>
        </w:rPr>
      </w:pPr>
      <w:r w:rsidRPr="00205340">
        <w:rPr>
          <w:color w:val="auto"/>
        </w:rPr>
        <w:t>hand dexterity is not required so it is easy for people with arthritis or shaky hands or less skilled carers to administer </w:t>
      </w:r>
    </w:p>
    <w:p w14:paraId="04768CFC" w14:textId="77777777" w:rsidR="00135F99" w:rsidRPr="00205340" w:rsidRDefault="00135F99" w:rsidP="005C116D">
      <w:pPr>
        <w:pStyle w:val="Instructionaltext"/>
        <w:numPr>
          <w:ilvl w:val="0"/>
          <w:numId w:val="38"/>
        </w:numPr>
        <w:rPr>
          <w:color w:val="auto"/>
        </w:rPr>
      </w:pPr>
      <w:r w:rsidRPr="00205340">
        <w:rPr>
          <w:color w:val="auto"/>
        </w:rPr>
        <w:t>the administration with a fixed dose supports treatment regimen adherence. </w:t>
      </w:r>
    </w:p>
    <w:p w14:paraId="530B5BB7" w14:textId="2F13E9EA" w:rsidR="00135F99" w:rsidRPr="00205340" w:rsidRDefault="00135F99" w:rsidP="00135F99">
      <w:pPr>
        <w:pStyle w:val="Instructionaltext"/>
        <w:rPr>
          <w:color w:val="auto"/>
        </w:rPr>
      </w:pPr>
      <w:r w:rsidRPr="00205340">
        <w:rPr>
          <w:color w:val="auto"/>
        </w:rPr>
        <w:t>HFA noted the burden with intravenous infusions is considerable and provided the results of surveys conducted with people with haemophilia and their </w:t>
      </w:r>
      <w:proofErr w:type="spellStart"/>
      <w:r w:rsidRPr="00205340">
        <w:rPr>
          <w:color w:val="auto"/>
        </w:rPr>
        <w:t>carers</w:t>
      </w:r>
      <w:proofErr w:type="spellEnd"/>
      <w:r w:rsidRPr="00205340">
        <w:rPr>
          <w:color w:val="auto"/>
        </w:rPr>
        <w:t>, which demonstrated a preference for easier and less painful administration of treatment options.  </w:t>
      </w:r>
    </w:p>
    <w:p w14:paraId="75CA4FD9" w14:textId="77777777" w:rsidR="00135F99" w:rsidRPr="00205340" w:rsidRDefault="00135F99" w:rsidP="00135F99">
      <w:pPr>
        <w:pStyle w:val="Instructionaltext"/>
        <w:rPr>
          <w:color w:val="auto"/>
        </w:rPr>
      </w:pPr>
      <w:r w:rsidRPr="00205340">
        <w:rPr>
          <w:color w:val="auto"/>
        </w:rPr>
        <w:t>AHCDO noted that funding of marstacimab would facilitate eligible people with haemophilia B still receiving therapy on demand to move to prophylaxis (achieving standard of care). They also noted that marstacimab would be a more feasible option for effective prophylaxis in patients having difficulty with weekly intravenous access or who are unable to comply with frequent intravenous infusions. They also noted that effective prophylaxis would limit breakthrough bleeds and improve long term joint health and functioning.  </w:t>
      </w:r>
    </w:p>
    <w:p w14:paraId="6D6625E6" w14:textId="37738E5B" w:rsidR="00135F99" w:rsidRPr="00205340" w:rsidRDefault="00135F99" w:rsidP="00135F99">
      <w:pPr>
        <w:pStyle w:val="Instructionaltext"/>
        <w:rPr>
          <w:color w:val="auto"/>
        </w:rPr>
      </w:pPr>
      <w:r w:rsidRPr="00205340">
        <w:rPr>
          <w:color w:val="auto"/>
        </w:rPr>
        <w:t>All consultation input stated that access to a subcutaneous prophylactic treatment for people with severe haemophilia who cannot receive emicizumab would be considered an improvement. They noted overall, it would reduce the burden of care, reduce symptoms, allow individuals to participate in more activities, and improve quality of life. They stated it may also help treatment compliance in adolescents and young adults.  </w:t>
      </w:r>
    </w:p>
    <w:p w14:paraId="02C8E251" w14:textId="77777777" w:rsidR="00135F99" w:rsidRPr="00205340" w:rsidRDefault="00135F99" w:rsidP="00135F99">
      <w:pPr>
        <w:pStyle w:val="Instructionaltext"/>
        <w:rPr>
          <w:color w:val="auto"/>
        </w:rPr>
      </w:pPr>
      <w:r w:rsidRPr="00205340">
        <w:rPr>
          <w:b/>
          <w:bCs/>
          <w:color w:val="auto"/>
        </w:rPr>
        <w:t>Perceived Disadvantages</w:t>
      </w:r>
      <w:r w:rsidRPr="00205340">
        <w:rPr>
          <w:color w:val="auto"/>
        </w:rPr>
        <w:t> </w:t>
      </w:r>
    </w:p>
    <w:p w14:paraId="6F9EF758" w14:textId="34EA79E9" w:rsidR="00135F99" w:rsidRPr="00205340" w:rsidRDefault="00135F99" w:rsidP="00135F99">
      <w:pPr>
        <w:pStyle w:val="Instructionaltext"/>
        <w:rPr>
          <w:color w:val="auto"/>
        </w:rPr>
      </w:pPr>
      <w:r w:rsidRPr="00205340">
        <w:rPr>
          <w:color w:val="auto"/>
        </w:rPr>
        <w:t>AHCDO noted that for patients in the BASIS trial where long term follow up data was available, the annualised bleeding rate (ABR) for patients on marstacimab (2.3) was higher than many would consider acceptable in the era of “aiming for zero bleeds.”  They note that haemophilia A populations on emicizumab have a high percentage of zero bleeds and state the ABR is typically &lt;1. However, AHCDO noted that for eligible people with haemophilia B, funding of marstacimab would represent the first subcutaneous option for prophylaxis, which they consider an improvement in treatment options for this group.  </w:t>
      </w:r>
    </w:p>
    <w:p w14:paraId="4083D478" w14:textId="77777777" w:rsidR="00135F99" w:rsidRPr="00205340" w:rsidRDefault="00135F99" w:rsidP="00135F99">
      <w:pPr>
        <w:pStyle w:val="Instructionaltext"/>
        <w:rPr>
          <w:color w:val="auto"/>
        </w:rPr>
      </w:pPr>
      <w:r w:rsidRPr="00205340">
        <w:rPr>
          <w:b/>
          <w:bCs/>
          <w:color w:val="auto"/>
        </w:rPr>
        <w:lastRenderedPageBreak/>
        <w:t>Support for Implementation and Issues </w:t>
      </w:r>
      <w:r w:rsidRPr="00205340">
        <w:rPr>
          <w:color w:val="auto"/>
        </w:rPr>
        <w:t> </w:t>
      </w:r>
    </w:p>
    <w:p w14:paraId="1C7AE6EC" w14:textId="583292C6" w:rsidR="00135F99" w:rsidRPr="00205340" w:rsidRDefault="00135F99" w:rsidP="00135F99">
      <w:pPr>
        <w:pStyle w:val="Instructionaltext"/>
        <w:rPr>
          <w:color w:val="auto"/>
        </w:rPr>
      </w:pPr>
      <w:r w:rsidRPr="00205340">
        <w:rPr>
          <w:color w:val="auto"/>
        </w:rPr>
        <w:t>Consultation input was supportive of implementation of funding for marstacimab, and respondents did not see any barriers to implementation. AHCDO noted that the pen device administration makes marstacimab a straightforward treatment to implement and will reduce reliance on consumables and outpatient haemophilia treatment centre services. HFA expressed concerns that limiting home administration to ‘self-administration by the patient or parent/guardian for younger children’ fails to consider individual situations. They recommend changing this requirement to ‘self-administration by the patient, parent/guardian or other suitable carer’ asserting that this would better account for environments such as nursing homes and carers who are partners, friends or other people involved in the care of the adult or child with haemophilia. </w:t>
      </w:r>
    </w:p>
    <w:p w14:paraId="31F9B1B8" w14:textId="09DACB02" w:rsidR="00135F99" w:rsidRPr="00205340" w:rsidRDefault="00135F99" w:rsidP="00135F99">
      <w:pPr>
        <w:pStyle w:val="Instructionaltext"/>
        <w:rPr>
          <w:color w:val="auto"/>
        </w:rPr>
      </w:pPr>
      <w:r w:rsidRPr="00205340">
        <w:rPr>
          <w:color w:val="auto"/>
        </w:rPr>
        <w:t xml:space="preserve">THANZ and AHCDO both noted that the Australian Bleeding Disorders Registry (ABDR) will capture data to monitor the use/effectiveness of marstacimab. Patients can record the number of bleeds in </w:t>
      </w:r>
      <w:proofErr w:type="spellStart"/>
      <w:r w:rsidRPr="00205340">
        <w:rPr>
          <w:color w:val="auto"/>
        </w:rPr>
        <w:t>myABDR</w:t>
      </w:r>
      <w:proofErr w:type="spellEnd"/>
      <w:r w:rsidRPr="00205340">
        <w:rPr>
          <w:color w:val="auto"/>
        </w:rPr>
        <w:t>. AHCDO noted that it will be very important to closely monitor the long term follow up data to ensure that safety is maintained </w:t>
      </w:r>
      <w:proofErr w:type="gramStart"/>
      <w:r w:rsidRPr="00205340">
        <w:rPr>
          <w:color w:val="auto"/>
        </w:rPr>
        <w:t>with regard to</w:t>
      </w:r>
      <w:proofErr w:type="gramEnd"/>
      <w:r w:rsidRPr="00205340">
        <w:rPr>
          <w:color w:val="auto"/>
        </w:rPr>
        <w:t> thromboembolic events. </w:t>
      </w:r>
    </w:p>
    <w:p w14:paraId="5323AC58" w14:textId="196CDD6C" w:rsidR="00135F99" w:rsidRPr="00205340" w:rsidRDefault="00135F99" w:rsidP="00135F99">
      <w:pPr>
        <w:pStyle w:val="Instructionaltext"/>
        <w:rPr>
          <w:color w:val="auto"/>
        </w:rPr>
      </w:pPr>
      <w:r w:rsidRPr="00205340">
        <w:rPr>
          <w:color w:val="auto"/>
        </w:rPr>
        <w:t>PPA noted that marstacimab targets the tissue factor pathway in ways that cannot currently be monitored. Should monitoring of Tissue Factor Pathway Inhibitor (TFPI) inhibitors become required, new assays may need to be set up.  </w:t>
      </w:r>
    </w:p>
    <w:p w14:paraId="5DBB85DF" w14:textId="7A724D25" w:rsidR="00135F99" w:rsidRPr="00205340" w:rsidRDefault="00135F99" w:rsidP="00135F99">
      <w:pPr>
        <w:pStyle w:val="Instructionaltext"/>
        <w:rPr>
          <w:color w:val="auto"/>
        </w:rPr>
      </w:pPr>
      <w:r w:rsidRPr="00205340">
        <w:rPr>
          <w:color w:val="auto"/>
        </w:rPr>
        <w:t>AHCDO advised that marstacimab does not eliminate the need for factor inhibitor testing, as factor replacement may be required for breakthrough bleeds and surgical prophylaxis.  </w:t>
      </w:r>
    </w:p>
    <w:p w14:paraId="03C7A1F1" w14:textId="08679D63" w:rsidR="00772829" w:rsidRPr="00205340" w:rsidRDefault="00772829" w:rsidP="005C116D">
      <w:pPr>
        <w:pStyle w:val="Heading2"/>
        <w:numPr>
          <w:ilvl w:val="0"/>
          <w:numId w:val="29"/>
        </w:numPr>
        <w:ind w:hanging="720"/>
      </w:pPr>
      <w:bookmarkStart w:id="12" w:name="_Toc69491422"/>
      <w:r w:rsidRPr="00205340">
        <w:t>Characteristics of the evidence base</w:t>
      </w:r>
      <w:bookmarkEnd w:id="12"/>
    </w:p>
    <w:p w14:paraId="1EEEF723" w14:textId="36541481" w:rsidR="00C00A03" w:rsidRPr="00205340" w:rsidRDefault="00CC226B" w:rsidP="00E76AE0">
      <w:pPr>
        <w:pStyle w:val="Instructionaltext"/>
        <w:rPr>
          <w:color w:val="auto"/>
        </w:rPr>
      </w:pPr>
      <w:r w:rsidRPr="00205340">
        <w:rPr>
          <w:color w:val="auto"/>
        </w:rPr>
        <w:t xml:space="preserve">Characteristics of the evidence base are summarised in </w:t>
      </w:r>
      <w:r w:rsidR="0009596E" w:rsidRPr="00205340">
        <w:rPr>
          <w:color w:val="auto"/>
        </w:rPr>
        <w:fldChar w:fldCharType="begin" w:fldLock="1"/>
      </w:r>
      <w:r w:rsidR="0009596E" w:rsidRPr="00205340">
        <w:rPr>
          <w:color w:val="auto"/>
        </w:rPr>
        <w:instrText xml:space="preserve"> REF _Ref227156327 \h </w:instrText>
      </w:r>
      <w:r w:rsidR="00205340">
        <w:rPr>
          <w:color w:val="auto"/>
        </w:rPr>
        <w:instrText xml:space="preserve"> \* MERGEFORMAT </w:instrText>
      </w:r>
      <w:r w:rsidR="0009596E" w:rsidRPr="00205340">
        <w:rPr>
          <w:color w:val="auto"/>
        </w:rPr>
      </w:r>
      <w:r w:rsidR="0009596E" w:rsidRPr="00205340">
        <w:rPr>
          <w:color w:val="auto"/>
        </w:rPr>
        <w:fldChar w:fldCharType="separate"/>
      </w:r>
      <w:r w:rsidR="0009596E" w:rsidRPr="00205340">
        <w:rPr>
          <w:color w:val="auto"/>
        </w:rPr>
        <w:t xml:space="preserve">Table </w:t>
      </w:r>
      <w:r w:rsidR="0009596E" w:rsidRPr="00205340">
        <w:rPr>
          <w:noProof/>
          <w:color w:val="auto"/>
        </w:rPr>
        <w:t>2</w:t>
      </w:r>
      <w:r w:rsidR="0009596E" w:rsidRPr="00205340">
        <w:rPr>
          <w:color w:val="auto"/>
        </w:rPr>
        <w:fldChar w:fldCharType="end"/>
      </w:r>
      <w:r w:rsidR="00E26C58" w:rsidRPr="00205340">
        <w:rPr>
          <w:color w:val="auto"/>
        </w:rPr>
        <w:t>.</w:t>
      </w:r>
    </w:p>
    <w:p w14:paraId="29EC87FF" w14:textId="77777777" w:rsidR="00D372C1" w:rsidRPr="00205340" w:rsidRDefault="00D372C1" w:rsidP="00D372C1">
      <w:r w:rsidRPr="00205340">
        <w:t>The BASIS trial and BASIS LTE provided direct data for the analysis of marstacimab versus FVIII and FIX prophylaxis, relevant to the HMA and HMB populations, respectively.</w:t>
      </w:r>
    </w:p>
    <w:p w14:paraId="692BCA4B" w14:textId="6154ED81" w:rsidR="00956ACE" w:rsidRPr="00205340" w:rsidRDefault="00D372C1" w:rsidP="0009596E">
      <w:r w:rsidRPr="00205340">
        <w:t xml:space="preserve">Given that no head-to-head trials were identified comparing marstacimab and emicizumab, the ADAR used an indirect treatment comparison (ITC), in which adjusted analyses compared efficacy outcomes for patients treated with marstacimab in the BASIS trial with patients who received emicizumab in Group D of the HAVEN 3 study. The limitations of these data are discussed in the context of the results reported for the HMA population in </w:t>
      </w:r>
      <w:r w:rsidR="00AB6BB3" w:rsidRPr="00205340">
        <w:t xml:space="preserve">Section </w:t>
      </w:r>
      <w:r w:rsidR="00AB6BB3" w:rsidRPr="00205340">
        <w:fldChar w:fldCharType="begin" w:fldLock="1"/>
      </w:r>
      <w:r w:rsidR="00AB6BB3" w:rsidRPr="00205340">
        <w:instrText xml:space="preserve"> REF _Ref217389492 \h </w:instrText>
      </w:r>
      <w:r w:rsidR="00205340">
        <w:instrText xml:space="preserve"> \* MERGEFORMAT </w:instrText>
      </w:r>
      <w:r w:rsidR="00AB6BB3" w:rsidRPr="00205340">
        <w:fldChar w:fldCharType="separate"/>
      </w:r>
      <w:r w:rsidR="00AB6BB3" w:rsidRPr="00205340">
        <w:t>8 (Comparative safety</w:t>
      </w:r>
      <w:r w:rsidR="00AB6BB3" w:rsidRPr="00205340">
        <w:fldChar w:fldCharType="end"/>
      </w:r>
      <w:r w:rsidR="00AB6BB3" w:rsidRPr="00205340">
        <w:t>)</w:t>
      </w:r>
      <w:r w:rsidRPr="00205340">
        <w:t xml:space="preserve"> and Section </w:t>
      </w:r>
      <w:r w:rsidR="00AB6BB3" w:rsidRPr="00205340">
        <w:fldChar w:fldCharType="begin" w:fldLock="1"/>
      </w:r>
      <w:r w:rsidR="00AB6BB3" w:rsidRPr="00205340">
        <w:instrText xml:space="preserve"> REF _Ref217389522 \h </w:instrText>
      </w:r>
      <w:r w:rsidR="00205340">
        <w:instrText xml:space="preserve"> \* MERGEFORMAT </w:instrText>
      </w:r>
      <w:r w:rsidR="00AB6BB3" w:rsidRPr="00205340">
        <w:fldChar w:fldCharType="separate"/>
      </w:r>
      <w:r w:rsidR="00AB6BB3" w:rsidRPr="00205340">
        <w:t>9 (Comparative effectiveness</w:t>
      </w:r>
      <w:r w:rsidR="00AB6BB3" w:rsidRPr="00205340">
        <w:fldChar w:fldCharType="end"/>
      </w:r>
      <w:r w:rsidR="00AB6BB3" w:rsidRPr="00205340">
        <w:t>).</w:t>
      </w:r>
    </w:p>
    <w:p w14:paraId="418D5FC9" w14:textId="76C074E2" w:rsidR="0009596E" w:rsidRPr="00205340" w:rsidRDefault="0009596E" w:rsidP="006742C4">
      <w:pPr>
        <w:pStyle w:val="Caption"/>
        <w:keepLines/>
      </w:pPr>
      <w:bookmarkStart w:id="13" w:name="_Ref227156327"/>
      <w:r w:rsidRPr="00205340">
        <w:lastRenderedPageBreak/>
        <w:t xml:space="preserve">Table </w:t>
      </w:r>
      <w:fldSimple w:instr=" SEQ Table \* ARABIC ">
        <w:r w:rsidR="002C6A9B" w:rsidRPr="00205340">
          <w:rPr>
            <w:noProof/>
          </w:rPr>
          <w:t>2</w:t>
        </w:r>
      </w:fldSimple>
      <w:bookmarkEnd w:id="13"/>
      <w:r w:rsidRPr="00205340">
        <w:t xml:space="preserve"> Key features of the included evidence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39"/>
        <w:gridCol w:w="640"/>
        <w:gridCol w:w="1735"/>
        <w:gridCol w:w="1199"/>
        <w:gridCol w:w="1438"/>
        <w:gridCol w:w="1842"/>
        <w:gridCol w:w="1123"/>
      </w:tblGrid>
      <w:tr w:rsidR="009575DF" w:rsidRPr="00205340" w14:paraId="475D8C60" w14:textId="77777777" w:rsidTr="00000617">
        <w:trPr>
          <w:cantSplit/>
          <w:tblHeader/>
          <w:jc w:val="center"/>
        </w:trPr>
        <w:tc>
          <w:tcPr>
            <w:tcW w:w="652" w:type="pct"/>
            <w:vAlign w:val="center"/>
          </w:tcPr>
          <w:p w14:paraId="4FFC981B" w14:textId="77777777" w:rsidR="00956ACE" w:rsidRPr="00205340" w:rsidRDefault="00956ACE" w:rsidP="006742C4">
            <w:pPr>
              <w:pStyle w:val="In-tableHeading"/>
              <w:keepLines/>
              <w:rPr>
                <w:lang w:val="en-AU"/>
              </w:rPr>
            </w:pPr>
            <w:bookmarkStart w:id="14" w:name="ColumnTitle_Table3"/>
            <w:bookmarkStart w:id="15" w:name="_Hlk68276112"/>
            <w:bookmarkEnd w:id="14"/>
            <w:r w:rsidRPr="00205340">
              <w:rPr>
                <w:lang w:val="en-AU"/>
              </w:rPr>
              <w:t>References</w:t>
            </w:r>
          </w:p>
        </w:tc>
        <w:tc>
          <w:tcPr>
            <w:tcW w:w="431" w:type="pct"/>
            <w:vAlign w:val="center"/>
          </w:tcPr>
          <w:p w14:paraId="28641D20" w14:textId="77777777" w:rsidR="00956ACE" w:rsidRPr="00205340" w:rsidRDefault="00956ACE" w:rsidP="006742C4">
            <w:pPr>
              <w:pStyle w:val="In-tableHeading"/>
              <w:keepLines/>
              <w:jc w:val="center"/>
              <w:rPr>
                <w:lang w:val="en-AU"/>
              </w:rPr>
            </w:pPr>
            <w:r w:rsidRPr="00205340">
              <w:rPr>
                <w:lang w:val="en-AU"/>
              </w:rPr>
              <w:t>N</w:t>
            </w:r>
          </w:p>
        </w:tc>
        <w:tc>
          <w:tcPr>
            <w:tcW w:w="1038" w:type="pct"/>
            <w:vAlign w:val="center"/>
          </w:tcPr>
          <w:p w14:paraId="23BE1BE2" w14:textId="47102492" w:rsidR="00956ACE" w:rsidRPr="00205340" w:rsidRDefault="00956ACE" w:rsidP="006742C4">
            <w:pPr>
              <w:pStyle w:val="In-tableHeading"/>
              <w:keepLines/>
              <w:jc w:val="center"/>
              <w:rPr>
                <w:lang w:val="en-AU"/>
              </w:rPr>
            </w:pPr>
            <w:r w:rsidRPr="00205340">
              <w:rPr>
                <w:lang w:val="en-AU"/>
              </w:rPr>
              <w:t>Design/</w:t>
            </w:r>
            <w:r w:rsidR="00A10A85" w:rsidRPr="00205340">
              <w:rPr>
                <w:lang w:val="en-AU"/>
              </w:rPr>
              <w:br/>
            </w:r>
            <w:r w:rsidRPr="00205340">
              <w:rPr>
                <w:lang w:val="en-AU"/>
              </w:rPr>
              <w:t>duration</w:t>
            </w:r>
          </w:p>
        </w:tc>
        <w:tc>
          <w:tcPr>
            <w:tcW w:w="211" w:type="pct"/>
            <w:vAlign w:val="center"/>
          </w:tcPr>
          <w:p w14:paraId="4F407CF9" w14:textId="77777777" w:rsidR="00956ACE" w:rsidRPr="00205340" w:rsidRDefault="00956ACE" w:rsidP="006742C4">
            <w:pPr>
              <w:pStyle w:val="In-tableHeading"/>
              <w:keepLines/>
              <w:jc w:val="center"/>
              <w:rPr>
                <w:lang w:val="en-AU"/>
              </w:rPr>
            </w:pPr>
            <w:r w:rsidRPr="00205340">
              <w:rPr>
                <w:lang w:val="en-AU"/>
              </w:rPr>
              <w:t>Risk of bias</w:t>
            </w:r>
          </w:p>
        </w:tc>
        <w:tc>
          <w:tcPr>
            <w:tcW w:w="873" w:type="pct"/>
            <w:vAlign w:val="center"/>
          </w:tcPr>
          <w:p w14:paraId="78074E6B" w14:textId="77777777" w:rsidR="00956ACE" w:rsidRPr="00205340" w:rsidRDefault="00956ACE" w:rsidP="006742C4">
            <w:pPr>
              <w:pStyle w:val="In-tableHeading"/>
              <w:keepLines/>
              <w:jc w:val="center"/>
              <w:rPr>
                <w:lang w:val="en-AU"/>
              </w:rPr>
            </w:pPr>
            <w:r w:rsidRPr="00205340">
              <w:rPr>
                <w:lang w:val="en-AU"/>
              </w:rPr>
              <w:t>Patient population</w:t>
            </w:r>
          </w:p>
        </w:tc>
        <w:tc>
          <w:tcPr>
            <w:tcW w:w="1097" w:type="pct"/>
            <w:vAlign w:val="center"/>
          </w:tcPr>
          <w:p w14:paraId="4B5869A3" w14:textId="77777777" w:rsidR="00956ACE" w:rsidRPr="00205340" w:rsidRDefault="00956ACE" w:rsidP="006742C4">
            <w:pPr>
              <w:pStyle w:val="In-tableHeading"/>
              <w:keepLines/>
              <w:jc w:val="center"/>
              <w:rPr>
                <w:lang w:val="en-AU"/>
              </w:rPr>
            </w:pPr>
            <w:r w:rsidRPr="00205340">
              <w:rPr>
                <w:lang w:val="en-AU"/>
              </w:rPr>
              <w:t>Outcome(s)</w:t>
            </w:r>
          </w:p>
        </w:tc>
        <w:tc>
          <w:tcPr>
            <w:tcW w:w="698" w:type="pct"/>
            <w:vAlign w:val="center"/>
          </w:tcPr>
          <w:p w14:paraId="19D97B58" w14:textId="77777777" w:rsidR="00956ACE" w:rsidRPr="00205340" w:rsidRDefault="00956ACE" w:rsidP="006742C4">
            <w:pPr>
              <w:pStyle w:val="In-tableHeading"/>
              <w:keepLines/>
              <w:jc w:val="center"/>
              <w:rPr>
                <w:lang w:val="en-AU"/>
              </w:rPr>
            </w:pPr>
            <w:r w:rsidRPr="00205340">
              <w:rPr>
                <w:lang w:val="en-AU"/>
              </w:rPr>
              <w:t>Use in modelled evaluation</w:t>
            </w:r>
          </w:p>
        </w:tc>
      </w:tr>
      <w:tr w:rsidR="00956ACE" w:rsidRPr="00205340" w14:paraId="0C31313E" w14:textId="77777777" w:rsidTr="00A10A85">
        <w:trPr>
          <w:cantSplit/>
          <w:jc w:val="center"/>
        </w:trPr>
        <w:tc>
          <w:tcPr>
            <w:tcW w:w="5000" w:type="pct"/>
            <w:gridSpan w:val="7"/>
            <w:vAlign w:val="center"/>
          </w:tcPr>
          <w:p w14:paraId="6ADF1B8F" w14:textId="401DD775" w:rsidR="00956ACE" w:rsidRPr="00205340" w:rsidRDefault="009B7229" w:rsidP="006742C4">
            <w:pPr>
              <w:pStyle w:val="In-tableHeading"/>
              <w:keepLines/>
              <w:rPr>
                <w:lang w:val="en-AU"/>
              </w:rPr>
            </w:pPr>
            <w:r w:rsidRPr="00205340">
              <w:rPr>
                <w:lang w:val="en-AU"/>
              </w:rPr>
              <w:t xml:space="preserve">Marstacimab versus </w:t>
            </w:r>
            <w:r w:rsidR="00344E59" w:rsidRPr="00205340">
              <w:rPr>
                <w:lang w:val="en-AU"/>
              </w:rPr>
              <w:t>FVIII</w:t>
            </w:r>
            <w:r w:rsidR="009F6D92" w:rsidRPr="00205340">
              <w:rPr>
                <w:lang w:val="en-AU"/>
              </w:rPr>
              <w:t xml:space="preserve"> </w:t>
            </w:r>
            <w:r w:rsidRPr="00205340">
              <w:rPr>
                <w:lang w:val="en-AU"/>
              </w:rPr>
              <w:t>prophylaxis (</w:t>
            </w:r>
            <w:r w:rsidR="00E17757" w:rsidRPr="00205340">
              <w:rPr>
                <w:lang w:val="en-AU"/>
              </w:rPr>
              <w:t>EHL/SHL</w:t>
            </w:r>
            <w:r w:rsidRPr="00205340">
              <w:rPr>
                <w:lang w:val="en-AU"/>
              </w:rPr>
              <w:t xml:space="preserve"> not defined)</w:t>
            </w:r>
          </w:p>
        </w:tc>
      </w:tr>
      <w:tr w:rsidR="009575DF" w:rsidRPr="00205340" w14:paraId="7E776818" w14:textId="77777777" w:rsidTr="00000617">
        <w:trPr>
          <w:cantSplit/>
          <w:jc w:val="center"/>
        </w:trPr>
        <w:tc>
          <w:tcPr>
            <w:tcW w:w="652" w:type="pct"/>
            <w:vAlign w:val="center"/>
          </w:tcPr>
          <w:p w14:paraId="563AC767" w14:textId="78F0C5C7" w:rsidR="00E71668" w:rsidRPr="00205340" w:rsidRDefault="00E71668" w:rsidP="006742C4">
            <w:pPr>
              <w:pStyle w:val="TableText"/>
              <w:keepNext/>
              <w:keepLines/>
            </w:pPr>
            <w:r w:rsidRPr="00205340">
              <w:t>BASIS</w:t>
            </w:r>
          </w:p>
        </w:tc>
        <w:tc>
          <w:tcPr>
            <w:tcW w:w="431" w:type="pct"/>
            <w:vAlign w:val="center"/>
          </w:tcPr>
          <w:p w14:paraId="280096E2" w14:textId="073D7DED" w:rsidR="00E71668" w:rsidRPr="00205340" w:rsidRDefault="00E71668" w:rsidP="006742C4">
            <w:pPr>
              <w:pStyle w:val="TableText"/>
              <w:keepNext/>
              <w:keepLines/>
              <w:jc w:val="center"/>
            </w:pPr>
            <w:r w:rsidRPr="00205340">
              <w:t>65</w:t>
            </w:r>
          </w:p>
        </w:tc>
        <w:tc>
          <w:tcPr>
            <w:tcW w:w="1038" w:type="pct"/>
            <w:vAlign w:val="center"/>
          </w:tcPr>
          <w:p w14:paraId="39A9151F" w14:textId="296E5F69" w:rsidR="00E71668" w:rsidRPr="00205340" w:rsidRDefault="00E71668" w:rsidP="006742C4">
            <w:pPr>
              <w:pStyle w:val="TableText"/>
              <w:keepNext/>
              <w:keepLines/>
              <w:jc w:val="center"/>
            </w:pPr>
            <w:r w:rsidRPr="00205340">
              <w:t>Before and after case series (one-way cross-over)</w:t>
            </w:r>
            <w:r w:rsidR="00D372C1" w:rsidRPr="00205340">
              <w:t>; 6-month OP during which participants received FVIII and 12-month ATP in which participants crossed over to marstacimab</w:t>
            </w:r>
          </w:p>
        </w:tc>
        <w:tc>
          <w:tcPr>
            <w:tcW w:w="211" w:type="pct"/>
            <w:vMerge w:val="restart"/>
            <w:vAlign w:val="center"/>
          </w:tcPr>
          <w:p w14:paraId="269C28DF" w14:textId="2FD93A99" w:rsidR="00E71668" w:rsidRPr="00205340" w:rsidRDefault="00E71668" w:rsidP="006742C4">
            <w:pPr>
              <w:pStyle w:val="TableText"/>
              <w:keepNext/>
              <w:keepLines/>
              <w:jc w:val="center"/>
              <w:rPr>
                <w:i/>
              </w:rPr>
            </w:pPr>
            <w:r w:rsidRPr="00205340">
              <w:rPr>
                <w:i/>
              </w:rPr>
              <w:t xml:space="preserve">Moderate risk of bias (non-randomised, </w:t>
            </w:r>
            <w:proofErr w:type="gramStart"/>
            <w:r w:rsidRPr="00205340">
              <w:rPr>
                <w:i/>
              </w:rPr>
              <w:t>open-label</w:t>
            </w:r>
            <w:proofErr w:type="gramEnd"/>
            <w:r w:rsidRPr="00205340">
              <w:rPr>
                <w:i/>
              </w:rPr>
              <w:t>, with low generali</w:t>
            </w:r>
            <w:r w:rsidR="00C86E75" w:rsidRPr="00205340">
              <w:rPr>
                <w:i/>
              </w:rPr>
              <w:t>s</w:t>
            </w:r>
            <w:r w:rsidRPr="00205340">
              <w:rPr>
                <w:i/>
              </w:rPr>
              <w:t>ability to Australian context)</w:t>
            </w:r>
          </w:p>
        </w:tc>
        <w:tc>
          <w:tcPr>
            <w:tcW w:w="873" w:type="pct"/>
            <w:vMerge w:val="restart"/>
            <w:vAlign w:val="center"/>
          </w:tcPr>
          <w:p w14:paraId="4FD8A7FC" w14:textId="5F594A14" w:rsidR="00E71668" w:rsidRPr="00205340" w:rsidRDefault="00630C9A" w:rsidP="006742C4">
            <w:pPr>
              <w:pStyle w:val="TableText"/>
              <w:keepNext/>
              <w:keepLines/>
              <w:jc w:val="center"/>
            </w:pPr>
            <w:r w:rsidRPr="00205340">
              <w:t xml:space="preserve">Severe </w:t>
            </w:r>
            <w:r w:rsidR="00E71668" w:rsidRPr="00205340">
              <w:t>HMA, no inhibitors</w:t>
            </w:r>
            <w:r w:rsidR="00E71668" w:rsidRPr="00205340">
              <w:br/>
              <w:t>PPX</w:t>
            </w:r>
          </w:p>
        </w:tc>
        <w:tc>
          <w:tcPr>
            <w:tcW w:w="1097" w:type="pct"/>
            <w:vMerge w:val="restart"/>
            <w:vAlign w:val="center"/>
          </w:tcPr>
          <w:p w14:paraId="45B1587F" w14:textId="6BBDD215" w:rsidR="00E71668" w:rsidRPr="00205340" w:rsidRDefault="00E71668" w:rsidP="006742C4">
            <w:pPr>
              <w:pStyle w:val="TableText"/>
              <w:keepNext/>
              <w:keepLines/>
              <w:jc w:val="center"/>
            </w:pPr>
            <w:r w:rsidRPr="00205340">
              <w:t xml:space="preserve">ABR, joint bleeds, target joint bleeds, HJHS, </w:t>
            </w:r>
            <w:proofErr w:type="spellStart"/>
            <w:r w:rsidRPr="00205340">
              <w:t>HRQoL</w:t>
            </w:r>
            <w:proofErr w:type="spellEnd"/>
            <w:r w:rsidRPr="00205340">
              <w:t>, total factor/ bypass consumption</w:t>
            </w:r>
            <w:r w:rsidR="00C86E75" w:rsidRPr="00205340">
              <w:t>,</w:t>
            </w:r>
            <w:r w:rsidRPr="00205340">
              <w:br/>
              <w:t xml:space="preserve">AEs, SAEs, immunogenicity (ADAs and </w:t>
            </w:r>
            <w:proofErr w:type="spellStart"/>
            <w:r w:rsidRPr="00205340">
              <w:t>NAbs</w:t>
            </w:r>
            <w:proofErr w:type="spellEnd"/>
            <w:r w:rsidRPr="00205340">
              <w:t>)</w:t>
            </w:r>
          </w:p>
        </w:tc>
        <w:tc>
          <w:tcPr>
            <w:tcW w:w="698" w:type="pct"/>
            <w:vMerge w:val="restart"/>
            <w:vAlign w:val="center"/>
          </w:tcPr>
          <w:p w14:paraId="3F9CD3D5" w14:textId="122852DF" w:rsidR="00E71668" w:rsidRPr="00205340" w:rsidRDefault="00E71668" w:rsidP="006742C4">
            <w:pPr>
              <w:pStyle w:val="TableText"/>
              <w:keepNext/>
              <w:keepLines/>
              <w:jc w:val="center"/>
            </w:pPr>
            <w:r w:rsidRPr="00205340">
              <w:t xml:space="preserve">Yes; </w:t>
            </w:r>
            <w:r w:rsidR="00D372C1" w:rsidRPr="00205340">
              <w:t xml:space="preserve">see </w:t>
            </w:r>
            <w:r w:rsidR="00B06E1D" w:rsidRPr="00205340">
              <w:t xml:space="preserve">Section </w:t>
            </w:r>
            <w:r w:rsidR="00B06E1D" w:rsidRPr="00205340">
              <w:fldChar w:fldCharType="begin" w:fldLock="1"/>
            </w:r>
            <w:r w:rsidR="00B06E1D" w:rsidRPr="00205340">
              <w:instrText xml:space="preserve"> REF _Ref217389680 \h </w:instrText>
            </w:r>
            <w:r w:rsidR="00205340">
              <w:instrText xml:space="preserve"> \* MERGEFORMAT </w:instrText>
            </w:r>
            <w:r w:rsidR="00B06E1D" w:rsidRPr="00205340">
              <w:fldChar w:fldCharType="separate"/>
            </w:r>
            <w:r w:rsidR="00B06E1D" w:rsidRPr="00205340">
              <w:t>11 (Economic evaluation</w:t>
            </w:r>
            <w:r w:rsidR="00B06E1D" w:rsidRPr="00205340">
              <w:fldChar w:fldCharType="end"/>
            </w:r>
            <w:r w:rsidR="00B06E1D" w:rsidRPr="00205340">
              <w:t>)</w:t>
            </w:r>
          </w:p>
        </w:tc>
      </w:tr>
      <w:tr w:rsidR="009575DF" w:rsidRPr="00205340" w14:paraId="6E4E23A7" w14:textId="77777777" w:rsidTr="00000617">
        <w:trPr>
          <w:cantSplit/>
          <w:jc w:val="center"/>
        </w:trPr>
        <w:tc>
          <w:tcPr>
            <w:tcW w:w="652" w:type="pct"/>
            <w:vAlign w:val="center"/>
          </w:tcPr>
          <w:p w14:paraId="45E15921" w14:textId="388C5005" w:rsidR="00E71668" w:rsidRPr="00205340" w:rsidRDefault="00E71668" w:rsidP="006742C4">
            <w:pPr>
              <w:pStyle w:val="TableText"/>
              <w:keepNext/>
              <w:keepLines/>
            </w:pPr>
            <w:r w:rsidRPr="00205340">
              <w:t>BASIS LTE</w:t>
            </w:r>
          </w:p>
        </w:tc>
        <w:tc>
          <w:tcPr>
            <w:tcW w:w="431" w:type="pct"/>
            <w:vAlign w:val="center"/>
          </w:tcPr>
          <w:p w14:paraId="71251CEE" w14:textId="3E3F0DF8" w:rsidR="00E71668" w:rsidRPr="00205340" w:rsidRDefault="00E71668" w:rsidP="006742C4">
            <w:pPr>
              <w:pStyle w:val="TableText"/>
              <w:keepNext/>
              <w:keepLines/>
              <w:jc w:val="center"/>
            </w:pPr>
            <w:r w:rsidRPr="00205340">
              <w:t>65</w:t>
            </w:r>
          </w:p>
        </w:tc>
        <w:tc>
          <w:tcPr>
            <w:tcW w:w="1038" w:type="pct"/>
            <w:vAlign w:val="center"/>
          </w:tcPr>
          <w:p w14:paraId="37D3BD6A" w14:textId="60CD1630" w:rsidR="00E71668" w:rsidRPr="00205340" w:rsidRDefault="00E71668" w:rsidP="006742C4">
            <w:pPr>
              <w:pStyle w:val="TableText"/>
              <w:keepNext/>
              <w:keepLines/>
              <w:jc w:val="center"/>
            </w:pPr>
            <w:r w:rsidRPr="00205340">
              <w:t>Extension study of above</w:t>
            </w:r>
            <w:r w:rsidR="00D372C1" w:rsidRPr="00205340">
              <w:t>; additional 16 months of follow-up at the time of the interim CSR, and 18.9 months of additional follow-up at the time of the ISTH Congress in June 2025</w:t>
            </w:r>
          </w:p>
        </w:tc>
        <w:tc>
          <w:tcPr>
            <w:tcW w:w="211" w:type="pct"/>
            <w:vMerge/>
            <w:vAlign w:val="center"/>
          </w:tcPr>
          <w:p w14:paraId="51165529" w14:textId="5D731E61" w:rsidR="00E71668" w:rsidRPr="00205340" w:rsidRDefault="00E71668" w:rsidP="006742C4">
            <w:pPr>
              <w:pStyle w:val="TableText"/>
              <w:keepNext/>
              <w:keepLines/>
              <w:jc w:val="center"/>
              <w:rPr>
                <w:i/>
              </w:rPr>
            </w:pPr>
          </w:p>
        </w:tc>
        <w:tc>
          <w:tcPr>
            <w:tcW w:w="873" w:type="pct"/>
            <w:vMerge/>
            <w:vAlign w:val="center"/>
          </w:tcPr>
          <w:p w14:paraId="60CDF4F0" w14:textId="5E942BF4" w:rsidR="00E71668" w:rsidRPr="00205340" w:rsidRDefault="00E71668" w:rsidP="006742C4">
            <w:pPr>
              <w:pStyle w:val="TableText"/>
              <w:keepNext/>
              <w:keepLines/>
              <w:jc w:val="center"/>
            </w:pPr>
          </w:p>
        </w:tc>
        <w:tc>
          <w:tcPr>
            <w:tcW w:w="1097" w:type="pct"/>
            <w:vMerge/>
            <w:vAlign w:val="center"/>
          </w:tcPr>
          <w:p w14:paraId="583A7C5E" w14:textId="5D609DD7" w:rsidR="00E71668" w:rsidRPr="00205340" w:rsidRDefault="00E71668" w:rsidP="006742C4">
            <w:pPr>
              <w:pStyle w:val="TableText"/>
              <w:keepNext/>
              <w:keepLines/>
              <w:jc w:val="center"/>
            </w:pPr>
          </w:p>
        </w:tc>
        <w:tc>
          <w:tcPr>
            <w:tcW w:w="698" w:type="pct"/>
            <w:vMerge/>
            <w:vAlign w:val="center"/>
          </w:tcPr>
          <w:p w14:paraId="56C2128A" w14:textId="0CB6D76D" w:rsidR="00E71668" w:rsidRPr="00205340" w:rsidRDefault="00E71668" w:rsidP="006742C4">
            <w:pPr>
              <w:pStyle w:val="TableText"/>
              <w:keepNext/>
              <w:keepLines/>
              <w:jc w:val="center"/>
            </w:pPr>
          </w:p>
        </w:tc>
      </w:tr>
      <w:tr w:rsidR="00CD4314" w:rsidRPr="00205340" w14:paraId="18721D60" w14:textId="77777777" w:rsidTr="00A10A85">
        <w:trPr>
          <w:cantSplit/>
          <w:jc w:val="center"/>
        </w:trPr>
        <w:tc>
          <w:tcPr>
            <w:tcW w:w="5000" w:type="pct"/>
            <w:gridSpan w:val="7"/>
            <w:vAlign w:val="center"/>
          </w:tcPr>
          <w:p w14:paraId="3DC061BB" w14:textId="45ADC7CA" w:rsidR="00CD4314" w:rsidRPr="00205340" w:rsidRDefault="00FE68EB" w:rsidP="006742C4">
            <w:pPr>
              <w:pStyle w:val="In-tableHeading"/>
              <w:keepLines/>
              <w:rPr>
                <w:lang w:val="en-AU"/>
              </w:rPr>
            </w:pPr>
            <w:r w:rsidRPr="00205340">
              <w:rPr>
                <w:lang w:val="en-AU"/>
              </w:rPr>
              <w:t>Emicizumab</w:t>
            </w:r>
            <w:r w:rsidR="000D0D51" w:rsidRPr="00205340">
              <w:rPr>
                <w:lang w:val="en-AU"/>
              </w:rPr>
              <w:t xml:space="preserve"> versus no prophylaxis</w:t>
            </w:r>
          </w:p>
        </w:tc>
      </w:tr>
      <w:tr w:rsidR="009575DF" w:rsidRPr="00205340" w14:paraId="188C0142" w14:textId="77777777" w:rsidTr="00000617">
        <w:trPr>
          <w:cantSplit/>
          <w:jc w:val="center"/>
        </w:trPr>
        <w:tc>
          <w:tcPr>
            <w:tcW w:w="652" w:type="pct"/>
            <w:vAlign w:val="center"/>
          </w:tcPr>
          <w:p w14:paraId="5EE4EEFE" w14:textId="4155D66F" w:rsidR="006F39E2" w:rsidRPr="00205340" w:rsidRDefault="00CD4314" w:rsidP="006742C4">
            <w:pPr>
              <w:pStyle w:val="TableText"/>
              <w:keepNext/>
              <w:keepLines/>
            </w:pPr>
            <w:r w:rsidRPr="00205340">
              <w:t>HAVEN 3</w:t>
            </w:r>
            <w:r w:rsidR="00BD7EF8" w:rsidRPr="00205340">
              <w:t xml:space="preserve"> </w:t>
            </w:r>
            <w:r w:rsidR="003036EC" w:rsidRPr="00205340">
              <w:br/>
            </w:r>
            <w:r w:rsidR="00BD7EF8" w:rsidRPr="00205340">
              <w:t>(</w:t>
            </w:r>
            <w:r w:rsidR="00C16E1A" w:rsidRPr="00205340">
              <w:t xml:space="preserve">Group </w:t>
            </w:r>
            <w:r w:rsidR="00BD7EF8" w:rsidRPr="00205340">
              <w:t>D)</w:t>
            </w:r>
          </w:p>
        </w:tc>
        <w:tc>
          <w:tcPr>
            <w:tcW w:w="431" w:type="pct"/>
            <w:vAlign w:val="center"/>
          </w:tcPr>
          <w:p w14:paraId="0FB1631D" w14:textId="50DD0A87" w:rsidR="00CD4314" w:rsidRPr="00205340" w:rsidRDefault="003036EC" w:rsidP="006742C4">
            <w:pPr>
              <w:pStyle w:val="TableText"/>
              <w:keepNext/>
              <w:keepLines/>
            </w:pPr>
            <w:r w:rsidRPr="00205340">
              <w:t>63</w:t>
            </w:r>
          </w:p>
        </w:tc>
        <w:tc>
          <w:tcPr>
            <w:tcW w:w="1038" w:type="pct"/>
            <w:vAlign w:val="center"/>
          </w:tcPr>
          <w:p w14:paraId="23340509" w14:textId="5E0FE013" w:rsidR="00CD4314" w:rsidRPr="00205340" w:rsidRDefault="0003464F" w:rsidP="006742C4">
            <w:pPr>
              <w:pStyle w:val="TableText"/>
              <w:keepNext/>
              <w:keepLines/>
              <w:jc w:val="center"/>
            </w:pPr>
            <w:r w:rsidRPr="00205340">
              <w:t>Before and after case series (one-way cross-over)</w:t>
            </w:r>
          </w:p>
        </w:tc>
        <w:tc>
          <w:tcPr>
            <w:tcW w:w="211" w:type="pct"/>
            <w:vAlign w:val="center"/>
          </w:tcPr>
          <w:p w14:paraId="1DB1F846" w14:textId="3C4FB102" w:rsidR="00CD4314" w:rsidRPr="00205340" w:rsidRDefault="00C00A03" w:rsidP="006742C4">
            <w:pPr>
              <w:pStyle w:val="TableText"/>
              <w:keepNext/>
              <w:keepLines/>
              <w:jc w:val="center"/>
              <w:rPr>
                <w:i/>
              </w:rPr>
            </w:pPr>
            <w:r w:rsidRPr="00205340">
              <w:rPr>
                <w:i/>
              </w:rPr>
              <w:t>Not stated</w:t>
            </w:r>
          </w:p>
        </w:tc>
        <w:tc>
          <w:tcPr>
            <w:tcW w:w="873" w:type="pct"/>
            <w:vAlign w:val="center"/>
          </w:tcPr>
          <w:p w14:paraId="299012EE" w14:textId="0B34ED1D" w:rsidR="00CD4314" w:rsidRPr="00205340" w:rsidRDefault="00027EBF" w:rsidP="006742C4">
            <w:pPr>
              <w:pStyle w:val="TableText"/>
              <w:keepNext/>
              <w:keepLines/>
              <w:jc w:val="center"/>
            </w:pPr>
            <w:r w:rsidRPr="00205340">
              <w:t xml:space="preserve">Severe </w:t>
            </w:r>
            <w:r w:rsidR="000F5F9A" w:rsidRPr="00205340">
              <w:t>HMA</w:t>
            </w:r>
            <w:r w:rsidR="008D43F9" w:rsidRPr="00205340">
              <w:t>, no inhibitors</w:t>
            </w:r>
          </w:p>
          <w:p w14:paraId="4F8E4C47" w14:textId="59CE9BC1" w:rsidR="00D458EA" w:rsidRPr="00205340" w:rsidRDefault="00D458EA" w:rsidP="006742C4">
            <w:pPr>
              <w:pStyle w:val="TableText"/>
              <w:keepNext/>
              <w:keepLines/>
              <w:jc w:val="center"/>
            </w:pPr>
            <w:r w:rsidRPr="00205340">
              <w:t>PPX</w:t>
            </w:r>
          </w:p>
        </w:tc>
        <w:tc>
          <w:tcPr>
            <w:tcW w:w="1097" w:type="pct"/>
            <w:vAlign w:val="center"/>
          </w:tcPr>
          <w:p w14:paraId="21740B8B" w14:textId="6E036ED4" w:rsidR="00750128" w:rsidRPr="00205340" w:rsidRDefault="00750128" w:rsidP="006742C4">
            <w:pPr>
              <w:pStyle w:val="TableText"/>
              <w:keepNext/>
              <w:keepLines/>
              <w:jc w:val="center"/>
            </w:pPr>
            <w:r w:rsidRPr="00205340">
              <w:t xml:space="preserve">ABR, </w:t>
            </w:r>
            <w:r w:rsidR="008301DB" w:rsidRPr="00205340">
              <w:t>joint bleeds,</w:t>
            </w:r>
          </w:p>
          <w:p w14:paraId="21111823" w14:textId="3D3B6AA2" w:rsidR="00CD4314" w:rsidRPr="00205340" w:rsidRDefault="00750128" w:rsidP="006742C4">
            <w:pPr>
              <w:pStyle w:val="TableText"/>
              <w:keepNext/>
              <w:keepLines/>
              <w:jc w:val="center"/>
            </w:pPr>
            <w:r w:rsidRPr="00205340">
              <w:t xml:space="preserve">AEs, SAEs </w:t>
            </w:r>
          </w:p>
        </w:tc>
        <w:tc>
          <w:tcPr>
            <w:tcW w:w="698" w:type="pct"/>
            <w:vAlign w:val="center"/>
          </w:tcPr>
          <w:p w14:paraId="27D7B01D" w14:textId="65477E45" w:rsidR="00CD4314" w:rsidRPr="00205340" w:rsidRDefault="00E71668" w:rsidP="006742C4">
            <w:pPr>
              <w:pStyle w:val="TableText"/>
              <w:keepNext/>
              <w:keepLines/>
              <w:jc w:val="center"/>
            </w:pPr>
            <w:r w:rsidRPr="00205340">
              <w:t>-</w:t>
            </w:r>
          </w:p>
        </w:tc>
      </w:tr>
      <w:tr w:rsidR="007224E1" w:rsidRPr="00205340" w14:paraId="40DAB81F" w14:textId="77777777" w:rsidTr="00A10A85">
        <w:trPr>
          <w:cantSplit/>
          <w:jc w:val="center"/>
        </w:trPr>
        <w:tc>
          <w:tcPr>
            <w:tcW w:w="5000" w:type="pct"/>
            <w:gridSpan w:val="7"/>
            <w:vAlign w:val="center"/>
          </w:tcPr>
          <w:p w14:paraId="7E73F068" w14:textId="48CE8889" w:rsidR="007224E1" w:rsidRPr="00205340" w:rsidRDefault="007224E1" w:rsidP="006742C4">
            <w:pPr>
              <w:pStyle w:val="In-tableHeading"/>
              <w:keepLines/>
              <w:rPr>
                <w:lang w:val="en-AU"/>
              </w:rPr>
            </w:pPr>
            <w:r w:rsidRPr="00205340">
              <w:rPr>
                <w:lang w:val="en-AU"/>
              </w:rPr>
              <w:t>Marstacimab versus FIX prophylaxis (</w:t>
            </w:r>
            <w:r w:rsidR="00E17757" w:rsidRPr="00205340">
              <w:rPr>
                <w:lang w:val="en-AU"/>
              </w:rPr>
              <w:t>EHL/SHL</w:t>
            </w:r>
            <w:r w:rsidRPr="00205340">
              <w:rPr>
                <w:lang w:val="en-AU"/>
              </w:rPr>
              <w:t xml:space="preserve"> not defined)</w:t>
            </w:r>
          </w:p>
        </w:tc>
      </w:tr>
      <w:tr w:rsidR="009575DF" w:rsidRPr="00205340" w14:paraId="22473129" w14:textId="77777777" w:rsidTr="00000617">
        <w:trPr>
          <w:cantSplit/>
          <w:jc w:val="center"/>
        </w:trPr>
        <w:tc>
          <w:tcPr>
            <w:tcW w:w="652" w:type="pct"/>
            <w:vAlign w:val="center"/>
          </w:tcPr>
          <w:p w14:paraId="21D65E4C" w14:textId="77777777" w:rsidR="00E71668" w:rsidRPr="00205340" w:rsidRDefault="00E71668" w:rsidP="006742C4">
            <w:pPr>
              <w:pStyle w:val="TableText"/>
              <w:keepNext/>
              <w:keepLines/>
            </w:pPr>
            <w:r w:rsidRPr="00205340">
              <w:t>BASIS</w:t>
            </w:r>
          </w:p>
        </w:tc>
        <w:tc>
          <w:tcPr>
            <w:tcW w:w="431" w:type="pct"/>
            <w:vAlign w:val="center"/>
          </w:tcPr>
          <w:p w14:paraId="37EC45B4" w14:textId="7C147300" w:rsidR="00E71668" w:rsidRPr="00205340" w:rsidRDefault="00E71668" w:rsidP="006742C4">
            <w:pPr>
              <w:pStyle w:val="TableText"/>
              <w:keepNext/>
              <w:keepLines/>
              <w:jc w:val="center"/>
            </w:pPr>
            <w:r w:rsidRPr="00205340">
              <w:t>18</w:t>
            </w:r>
          </w:p>
        </w:tc>
        <w:tc>
          <w:tcPr>
            <w:tcW w:w="1038" w:type="pct"/>
            <w:vAlign w:val="center"/>
          </w:tcPr>
          <w:p w14:paraId="7E3AD7CA" w14:textId="027D4C55" w:rsidR="00E71668" w:rsidRPr="00205340" w:rsidRDefault="00E71668" w:rsidP="006742C4">
            <w:pPr>
              <w:pStyle w:val="TableText"/>
              <w:keepNext/>
              <w:keepLines/>
              <w:jc w:val="center"/>
            </w:pPr>
            <w:r w:rsidRPr="00205340">
              <w:t>Before and after case series (one-way cross-over)</w:t>
            </w:r>
            <w:r w:rsidR="00AE4005" w:rsidRPr="00205340">
              <w:t>; 6-month OP during which participants received FIX and 12-month ATP in which participants crossed over to marstacimab</w:t>
            </w:r>
          </w:p>
        </w:tc>
        <w:tc>
          <w:tcPr>
            <w:tcW w:w="211" w:type="pct"/>
            <w:vMerge w:val="restart"/>
            <w:vAlign w:val="center"/>
          </w:tcPr>
          <w:p w14:paraId="32755293" w14:textId="5EF9396F" w:rsidR="00E71668" w:rsidRPr="00205340" w:rsidRDefault="00E71668" w:rsidP="006742C4">
            <w:pPr>
              <w:pStyle w:val="TableText"/>
              <w:keepNext/>
              <w:keepLines/>
              <w:jc w:val="center"/>
              <w:rPr>
                <w:i/>
              </w:rPr>
            </w:pPr>
            <w:r w:rsidRPr="00205340">
              <w:rPr>
                <w:i/>
              </w:rPr>
              <w:t xml:space="preserve">Moderate risk of bias (non-randomised, </w:t>
            </w:r>
            <w:proofErr w:type="gramStart"/>
            <w:r w:rsidRPr="00205340">
              <w:rPr>
                <w:i/>
              </w:rPr>
              <w:t>open-label</w:t>
            </w:r>
            <w:proofErr w:type="gramEnd"/>
            <w:r w:rsidRPr="00205340">
              <w:rPr>
                <w:i/>
              </w:rPr>
              <w:t>, with low generali</w:t>
            </w:r>
            <w:r w:rsidR="00C86E75" w:rsidRPr="00205340">
              <w:rPr>
                <w:i/>
              </w:rPr>
              <w:t>s</w:t>
            </w:r>
            <w:r w:rsidRPr="00205340">
              <w:rPr>
                <w:i/>
              </w:rPr>
              <w:t>ability to Australian context)</w:t>
            </w:r>
          </w:p>
        </w:tc>
        <w:tc>
          <w:tcPr>
            <w:tcW w:w="873" w:type="pct"/>
            <w:vMerge w:val="restart"/>
            <w:vAlign w:val="center"/>
          </w:tcPr>
          <w:p w14:paraId="59EDA459" w14:textId="45AFF021" w:rsidR="00E71668" w:rsidRPr="00205340" w:rsidRDefault="00473E0F" w:rsidP="006742C4">
            <w:pPr>
              <w:pStyle w:val="TableText"/>
              <w:keepNext/>
              <w:keepLines/>
              <w:jc w:val="center"/>
            </w:pPr>
            <w:r w:rsidRPr="00205340">
              <w:t>Severe or moderately severe HMB</w:t>
            </w:r>
            <w:r w:rsidR="00E71668" w:rsidRPr="00205340">
              <w:t>, no inhibitors</w:t>
            </w:r>
            <w:r w:rsidR="00E71668" w:rsidRPr="00205340">
              <w:br/>
              <w:t>PPX</w:t>
            </w:r>
            <w:r w:rsidR="00AE4005" w:rsidRPr="00205340">
              <w:br/>
              <w:t>(one patient enrolled with moderately severe HMB; not included in outcomes analysis)</w:t>
            </w:r>
          </w:p>
        </w:tc>
        <w:tc>
          <w:tcPr>
            <w:tcW w:w="1097" w:type="pct"/>
            <w:vMerge w:val="restart"/>
            <w:vAlign w:val="center"/>
          </w:tcPr>
          <w:p w14:paraId="0CC6C719" w14:textId="5982EBBE" w:rsidR="00E71668" w:rsidRPr="00205340" w:rsidRDefault="00E71668" w:rsidP="006742C4">
            <w:pPr>
              <w:pStyle w:val="TableText"/>
              <w:keepNext/>
              <w:keepLines/>
              <w:jc w:val="center"/>
            </w:pPr>
            <w:r w:rsidRPr="00205340">
              <w:t xml:space="preserve">ABR, joint bleeds, target joint bleeds, HJHS, </w:t>
            </w:r>
            <w:proofErr w:type="spellStart"/>
            <w:r w:rsidRPr="00205340">
              <w:t>HRQoL</w:t>
            </w:r>
            <w:proofErr w:type="spellEnd"/>
            <w:r w:rsidRPr="00205340">
              <w:t>, total factor/ bypass consumption</w:t>
            </w:r>
            <w:r w:rsidR="00C86E75" w:rsidRPr="00205340">
              <w:t>,</w:t>
            </w:r>
            <w:r w:rsidRPr="00205340">
              <w:br/>
              <w:t xml:space="preserve">AEs, SAEs, immunogenicity (ADAs and </w:t>
            </w:r>
            <w:proofErr w:type="spellStart"/>
            <w:r w:rsidRPr="00205340">
              <w:t>NAbs</w:t>
            </w:r>
            <w:proofErr w:type="spellEnd"/>
            <w:r w:rsidRPr="00205340">
              <w:t>)</w:t>
            </w:r>
          </w:p>
        </w:tc>
        <w:tc>
          <w:tcPr>
            <w:tcW w:w="698" w:type="pct"/>
            <w:vMerge w:val="restart"/>
            <w:vAlign w:val="center"/>
          </w:tcPr>
          <w:p w14:paraId="40D0B89D" w14:textId="2FFFE2CB" w:rsidR="00E71668" w:rsidRPr="00205340" w:rsidRDefault="00B06E1D" w:rsidP="006742C4">
            <w:pPr>
              <w:pStyle w:val="TableText"/>
              <w:keepNext/>
              <w:keepLines/>
              <w:jc w:val="center"/>
            </w:pPr>
            <w:r w:rsidRPr="00205340">
              <w:t xml:space="preserve">Yes; see Section </w:t>
            </w:r>
            <w:r w:rsidRPr="00205340">
              <w:fldChar w:fldCharType="begin" w:fldLock="1"/>
            </w:r>
            <w:r w:rsidRPr="00205340">
              <w:instrText xml:space="preserve"> REF _Ref217389680 \h </w:instrText>
            </w:r>
            <w:r w:rsidR="00205340">
              <w:instrText xml:space="preserve"> \* MERGEFORMAT </w:instrText>
            </w:r>
            <w:r w:rsidRPr="00205340">
              <w:fldChar w:fldCharType="separate"/>
            </w:r>
            <w:r w:rsidRPr="00205340">
              <w:t>11 (Economic evaluation</w:t>
            </w:r>
            <w:r w:rsidRPr="00205340">
              <w:fldChar w:fldCharType="end"/>
            </w:r>
            <w:r w:rsidRPr="00205340">
              <w:t>)</w:t>
            </w:r>
          </w:p>
        </w:tc>
      </w:tr>
      <w:tr w:rsidR="009575DF" w:rsidRPr="00205340" w14:paraId="2D521420" w14:textId="77777777" w:rsidTr="00000617">
        <w:trPr>
          <w:cantSplit/>
          <w:jc w:val="center"/>
        </w:trPr>
        <w:tc>
          <w:tcPr>
            <w:tcW w:w="652" w:type="pct"/>
            <w:vAlign w:val="center"/>
          </w:tcPr>
          <w:p w14:paraId="2035A85F" w14:textId="77777777" w:rsidR="00E71668" w:rsidRPr="00205340" w:rsidRDefault="00E71668" w:rsidP="006742C4">
            <w:pPr>
              <w:pStyle w:val="TableText"/>
              <w:keepNext/>
              <w:keepLines/>
            </w:pPr>
            <w:r w:rsidRPr="00205340">
              <w:t>BASIS LTE</w:t>
            </w:r>
          </w:p>
        </w:tc>
        <w:tc>
          <w:tcPr>
            <w:tcW w:w="431" w:type="pct"/>
            <w:vAlign w:val="center"/>
          </w:tcPr>
          <w:p w14:paraId="4588FA03" w14:textId="2F0224CB" w:rsidR="00E71668" w:rsidRPr="00205340" w:rsidRDefault="00E71668" w:rsidP="006742C4">
            <w:pPr>
              <w:pStyle w:val="TableText"/>
              <w:keepNext/>
              <w:keepLines/>
              <w:jc w:val="center"/>
            </w:pPr>
            <w:r w:rsidRPr="00205340">
              <w:t>18</w:t>
            </w:r>
          </w:p>
        </w:tc>
        <w:tc>
          <w:tcPr>
            <w:tcW w:w="1038" w:type="pct"/>
            <w:vAlign w:val="center"/>
          </w:tcPr>
          <w:p w14:paraId="32EC1317" w14:textId="55718EA9" w:rsidR="00E71668" w:rsidRPr="00205340" w:rsidRDefault="00E71668" w:rsidP="006742C4">
            <w:pPr>
              <w:pStyle w:val="TableText"/>
              <w:keepNext/>
              <w:keepLines/>
              <w:jc w:val="center"/>
            </w:pPr>
            <w:r w:rsidRPr="00205340">
              <w:t>Extension study of above</w:t>
            </w:r>
            <w:r w:rsidR="00AE4005" w:rsidRPr="00205340">
              <w:t>; additional 16 months of follow-up at the time of the interim CSR, and 18.9 months of additional follow-up at the time of the ISTH Congress in June 2025</w:t>
            </w:r>
          </w:p>
        </w:tc>
        <w:tc>
          <w:tcPr>
            <w:tcW w:w="211" w:type="pct"/>
            <w:vMerge/>
            <w:vAlign w:val="center"/>
          </w:tcPr>
          <w:p w14:paraId="25A53691" w14:textId="77777777" w:rsidR="00E71668" w:rsidRPr="00205340" w:rsidRDefault="00E71668" w:rsidP="006742C4">
            <w:pPr>
              <w:pStyle w:val="TableText"/>
              <w:keepNext/>
              <w:keepLines/>
              <w:jc w:val="center"/>
              <w:rPr>
                <w:i/>
              </w:rPr>
            </w:pPr>
          </w:p>
        </w:tc>
        <w:tc>
          <w:tcPr>
            <w:tcW w:w="873" w:type="pct"/>
            <w:vMerge/>
            <w:vAlign w:val="center"/>
          </w:tcPr>
          <w:p w14:paraId="4E2B3104" w14:textId="523C0FA8" w:rsidR="00E71668" w:rsidRPr="00205340" w:rsidRDefault="00E71668" w:rsidP="006742C4">
            <w:pPr>
              <w:pStyle w:val="TableText"/>
              <w:keepNext/>
              <w:keepLines/>
              <w:jc w:val="center"/>
            </w:pPr>
          </w:p>
        </w:tc>
        <w:tc>
          <w:tcPr>
            <w:tcW w:w="1097" w:type="pct"/>
            <w:vMerge/>
            <w:vAlign w:val="center"/>
          </w:tcPr>
          <w:p w14:paraId="6A044636" w14:textId="390364BA" w:rsidR="00E71668" w:rsidRPr="00205340" w:rsidRDefault="00E71668" w:rsidP="006742C4">
            <w:pPr>
              <w:pStyle w:val="TableText"/>
              <w:keepNext/>
              <w:keepLines/>
              <w:jc w:val="center"/>
            </w:pPr>
          </w:p>
        </w:tc>
        <w:tc>
          <w:tcPr>
            <w:tcW w:w="698" w:type="pct"/>
            <w:vMerge/>
            <w:vAlign w:val="center"/>
          </w:tcPr>
          <w:p w14:paraId="410664B4" w14:textId="77777777" w:rsidR="00E71668" w:rsidRPr="00205340" w:rsidRDefault="00E71668" w:rsidP="006742C4">
            <w:pPr>
              <w:pStyle w:val="TableText"/>
              <w:keepNext/>
              <w:keepLines/>
              <w:jc w:val="center"/>
            </w:pPr>
          </w:p>
        </w:tc>
      </w:tr>
    </w:tbl>
    <w:p w14:paraId="3CCCCBE1" w14:textId="699E2D83" w:rsidR="005F491F" w:rsidRPr="00205340" w:rsidRDefault="006236CA" w:rsidP="006742C4">
      <w:pPr>
        <w:pStyle w:val="TableFigureFooter"/>
        <w:keepNext/>
        <w:keepLines/>
        <w:rPr>
          <w:sz w:val="20"/>
        </w:rPr>
      </w:pPr>
      <w:bookmarkStart w:id="16" w:name="_Hlk68276176"/>
      <w:bookmarkEnd w:id="15"/>
      <w:r w:rsidRPr="00205340">
        <w:t>ABR = annualised bleeding rate;</w:t>
      </w:r>
      <w:r w:rsidR="00AF1CD3" w:rsidRPr="00205340">
        <w:t xml:space="preserve"> ADA = anti-drug antibodies;</w:t>
      </w:r>
      <w:r w:rsidRPr="00205340">
        <w:t xml:space="preserve"> </w:t>
      </w:r>
      <w:r w:rsidR="009A6D8E" w:rsidRPr="00205340">
        <w:t xml:space="preserve">AE = adverse events; </w:t>
      </w:r>
      <w:r w:rsidR="005F491F" w:rsidRPr="00205340">
        <w:t>ATP = active treatment phase; CSR = clinical study report;</w:t>
      </w:r>
      <w:r w:rsidR="00D533C0" w:rsidRPr="00205340">
        <w:t xml:space="preserve"> </w:t>
      </w:r>
      <w:r w:rsidR="00956ACE" w:rsidRPr="00205340">
        <w:t>DB = double blind;</w:t>
      </w:r>
      <w:r w:rsidR="00E17757" w:rsidRPr="00205340">
        <w:t xml:space="preserve"> EHL = Extended half-life;</w:t>
      </w:r>
      <w:r w:rsidR="001A738C" w:rsidRPr="00205340">
        <w:t xml:space="preserve"> </w:t>
      </w:r>
      <w:r w:rsidR="001729E3" w:rsidRPr="00205340">
        <w:t>HJHS = H</w:t>
      </w:r>
      <w:r w:rsidR="00C86E75" w:rsidRPr="00205340">
        <w:t>a</w:t>
      </w:r>
      <w:r w:rsidR="001729E3" w:rsidRPr="00205340">
        <w:t xml:space="preserve">emophilia Joint Health Score; </w:t>
      </w:r>
      <w:proofErr w:type="spellStart"/>
      <w:r w:rsidR="001A738C" w:rsidRPr="00205340">
        <w:t>HRQoL</w:t>
      </w:r>
      <w:proofErr w:type="spellEnd"/>
      <w:r w:rsidR="001A738C" w:rsidRPr="00205340">
        <w:t xml:space="preserve"> = health-related quality of life; </w:t>
      </w:r>
      <w:r w:rsidR="00B23477" w:rsidRPr="00205340">
        <w:t xml:space="preserve">HMA </w:t>
      </w:r>
      <w:r w:rsidR="00B54DB0" w:rsidRPr="00205340">
        <w:t xml:space="preserve">= </w:t>
      </w:r>
      <w:r w:rsidR="00B23477" w:rsidRPr="00205340">
        <w:t xml:space="preserve">haemophilia A; HMB = haemophilia B; </w:t>
      </w:r>
      <w:r w:rsidR="005F491F" w:rsidRPr="00205340">
        <w:t xml:space="preserve">ISTH = International Society on Thrombosis and Haemostasis; </w:t>
      </w:r>
      <w:proofErr w:type="spellStart"/>
      <w:r w:rsidR="00AF1CD3" w:rsidRPr="00205340">
        <w:t>NAbs</w:t>
      </w:r>
      <w:proofErr w:type="spellEnd"/>
      <w:r w:rsidR="00AF1CD3" w:rsidRPr="00205340">
        <w:t xml:space="preserve"> = neutralising antibodies;</w:t>
      </w:r>
      <w:r w:rsidR="00956ACE" w:rsidRPr="00205340">
        <w:t xml:space="preserve"> OL = open label; </w:t>
      </w:r>
      <w:proofErr w:type="spellStart"/>
      <w:r w:rsidR="007A21E8" w:rsidRPr="00205340">
        <w:t>OnD</w:t>
      </w:r>
      <w:proofErr w:type="spellEnd"/>
      <w:r w:rsidR="007A21E8" w:rsidRPr="00205340">
        <w:t xml:space="preserve"> = On-demand; </w:t>
      </w:r>
      <w:r w:rsidR="005F491F" w:rsidRPr="00205340">
        <w:t xml:space="preserve">OP = observational phase; </w:t>
      </w:r>
      <w:r w:rsidR="006A4A27" w:rsidRPr="00205340">
        <w:t>PPX = prophylaxis</w:t>
      </w:r>
      <w:r w:rsidR="00956ACE" w:rsidRPr="00205340">
        <w:t xml:space="preserve">; </w:t>
      </w:r>
      <w:r w:rsidR="009A39B1" w:rsidRPr="00205340">
        <w:t>SAE = serious adverse events</w:t>
      </w:r>
      <w:r w:rsidR="004569DD" w:rsidRPr="00205340">
        <w:t xml:space="preserve"> (specifically: thrombotic events, severe hypersensitivity</w:t>
      </w:r>
      <w:r w:rsidR="00D22EE9" w:rsidRPr="00205340">
        <w:t>,</w:t>
      </w:r>
      <w:r w:rsidR="004569DD" w:rsidRPr="00205340">
        <w:t xml:space="preserve"> and anaphylactic reactions)</w:t>
      </w:r>
      <w:r w:rsidR="009A39B1" w:rsidRPr="00205340">
        <w:t xml:space="preserve">; </w:t>
      </w:r>
      <w:r w:rsidR="00977DE7" w:rsidRPr="00205340">
        <w:t>SHL = standard half-life</w:t>
      </w:r>
    </w:p>
    <w:p w14:paraId="3B9FC2AD" w14:textId="6E6C6AFA" w:rsidR="00772829" w:rsidRPr="00205340" w:rsidRDefault="00772829" w:rsidP="005C116D">
      <w:pPr>
        <w:pStyle w:val="Heading2"/>
        <w:numPr>
          <w:ilvl w:val="0"/>
          <w:numId w:val="29"/>
        </w:numPr>
        <w:ind w:hanging="720"/>
      </w:pPr>
      <w:bookmarkStart w:id="17" w:name="_Toc69491423"/>
      <w:bookmarkStart w:id="18" w:name="_Ref214995185"/>
      <w:bookmarkStart w:id="19" w:name="_Ref214995205"/>
      <w:bookmarkStart w:id="20" w:name="_Ref214995236"/>
      <w:bookmarkStart w:id="21" w:name="_Ref214995556"/>
      <w:bookmarkStart w:id="22" w:name="_Ref214995564"/>
      <w:bookmarkStart w:id="23" w:name="_Ref214995574"/>
      <w:bookmarkStart w:id="24" w:name="_Ref214995600"/>
      <w:bookmarkStart w:id="25" w:name="_Ref214995604"/>
      <w:bookmarkStart w:id="26" w:name="_Ref217389484"/>
      <w:bookmarkStart w:id="27" w:name="_Ref217389492"/>
      <w:bookmarkEnd w:id="16"/>
      <w:r w:rsidRPr="00205340">
        <w:lastRenderedPageBreak/>
        <w:t>Comparative safety</w:t>
      </w:r>
      <w:bookmarkEnd w:id="17"/>
      <w:bookmarkEnd w:id="18"/>
      <w:bookmarkEnd w:id="19"/>
      <w:bookmarkEnd w:id="20"/>
      <w:bookmarkEnd w:id="21"/>
      <w:bookmarkEnd w:id="22"/>
      <w:bookmarkEnd w:id="23"/>
      <w:bookmarkEnd w:id="24"/>
      <w:bookmarkEnd w:id="25"/>
      <w:bookmarkEnd w:id="26"/>
      <w:bookmarkEnd w:id="27"/>
    </w:p>
    <w:p w14:paraId="1762ABCE" w14:textId="77777777" w:rsidR="005D28BD" w:rsidRPr="00205340" w:rsidRDefault="005D28BD" w:rsidP="005D28BD">
      <w:pPr>
        <w:pStyle w:val="Heading3"/>
      </w:pPr>
      <w:r w:rsidRPr="00205340">
        <w:t>Haemophilia A</w:t>
      </w:r>
    </w:p>
    <w:p w14:paraId="3F65CACA" w14:textId="77777777" w:rsidR="005D28BD" w:rsidRPr="00205340" w:rsidRDefault="005D28BD" w:rsidP="005D28BD">
      <w:pPr>
        <w:pStyle w:val="Heading4"/>
      </w:pPr>
      <w:r w:rsidRPr="00205340">
        <w:t>Marstacimab versus emicizumab</w:t>
      </w:r>
    </w:p>
    <w:p w14:paraId="53FA403B" w14:textId="7033D5D9" w:rsidR="001B4B98" w:rsidRPr="00205340" w:rsidRDefault="001B4B98" w:rsidP="00135F99">
      <w:r w:rsidRPr="00205340">
        <w:t>The ADAR provided a side-by-side qualitative comparison of safety endpoints for marstacimab and emicizumab, stating that an ITC of safety outcomes for marstacimab versus emicizumab was inappropriate due to the level of heterogeneity between BASIS and HAVEN 3 for the assessment methods, timing and reporting of safety outcomes.</w:t>
      </w:r>
    </w:p>
    <w:p w14:paraId="60D64B57" w14:textId="06AC5EEA" w:rsidR="00BF3E9A" w:rsidRPr="00205340" w:rsidRDefault="00FD6AD6" w:rsidP="00135F99">
      <w:r w:rsidRPr="00205340">
        <w:t xml:space="preserve">Based on </w:t>
      </w:r>
      <w:r w:rsidR="00A970C2" w:rsidRPr="00205340">
        <w:t>a side-by-side</w:t>
      </w:r>
      <w:r w:rsidRPr="00205340">
        <w:t xml:space="preserve"> comparison of safety endpoints</w:t>
      </w:r>
      <w:r w:rsidR="00E922D5" w:rsidRPr="00205340">
        <w:t xml:space="preserve"> between the BASIS </w:t>
      </w:r>
      <w:r w:rsidR="00C86E75" w:rsidRPr="00205340">
        <w:t xml:space="preserve">(marstacimab) </w:t>
      </w:r>
      <w:r w:rsidR="00A2201C" w:rsidRPr="00205340">
        <w:t xml:space="preserve">and HAVEN 3 </w:t>
      </w:r>
      <w:r w:rsidR="00C86E75" w:rsidRPr="00205340">
        <w:t xml:space="preserve">(emicizumab) </w:t>
      </w:r>
      <w:r w:rsidR="00A2201C" w:rsidRPr="00205340">
        <w:t xml:space="preserve">trials, </w:t>
      </w:r>
      <w:r w:rsidR="00F43CE3" w:rsidRPr="00205340">
        <w:t>no substantive</w:t>
      </w:r>
      <w:r w:rsidR="007A2486" w:rsidRPr="00205340">
        <w:t xml:space="preserve"> difference</w:t>
      </w:r>
      <w:r w:rsidR="00F43CE3" w:rsidRPr="00205340">
        <w:t>s</w:t>
      </w:r>
      <w:r w:rsidR="007A2486" w:rsidRPr="00205340">
        <w:t xml:space="preserve"> in safety outcomes between </w:t>
      </w:r>
      <w:r w:rsidR="00C86E75" w:rsidRPr="00205340">
        <w:t xml:space="preserve">treated </w:t>
      </w:r>
      <w:r w:rsidR="007A2486" w:rsidRPr="00205340">
        <w:t xml:space="preserve">patients </w:t>
      </w:r>
      <w:r w:rsidR="00F43CE3" w:rsidRPr="00205340">
        <w:t>were observed</w:t>
      </w:r>
      <w:r w:rsidR="00FB2CC1" w:rsidRPr="00205340">
        <w:t xml:space="preserve"> </w:t>
      </w:r>
      <w:r w:rsidR="00C43E47" w:rsidRPr="00205340">
        <w:t>(</w:t>
      </w:r>
      <w:r w:rsidR="002C5B86" w:rsidRPr="00205340">
        <w:fldChar w:fldCharType="begin" w:fldLock="1"/>
      </w:r>
      <w:r w:rsidR="002C5B86" w:rsidRPr="00205340">
        <w:instrText xml:space="preserve"> REF _Ref227156404 \h </w:instrText>
      </w:r>
      <w:r w:rsidR="00205340">
        <w:instrText xml:space="preserve"> \* MERGEFORMAT </w:instrText>
      </w:r>
      <w:r w:rsidR="002C5B86" w:rsidRPr="00205340">
        <w:fldChar w:fldCharType="separate"/>
      </w:r>
      <w:r w:rsidR="002C5B86" w:rsidRPr="00205340">
        <w:t xml:space="preserve">Table </w:t>
      </w:r>
      <w:r w:rsidR="002C5B86" w:rsidRPr="00205340">
        <w:rPr>
          <w:noProof/>
        </w:rPr>
        <w:t>3</w:t>
      </w:r>
      <w:r w:rsidR="002C5B86" w:rsidRPr="00205340">
        <w:fldChar w:fldCharType="end"/>
      </w:r>
      <w:r w:rsidR="00C43E47" w:rsidRPr="00205340">
        <w:t>)</w:t>
      </w:r>
      <w:r w:rsidR="007A2486" w:rsidRPr="00205340">
        <w:t>.</w:t>
      </w:r>
      <w:r w:rsidR="0092683C" w:rsidRPr="00205340">
        <w:t xml:space="preserve"> </w:t>
      </w:r>
      <w:r w:rsidR="007D4E5D" w:rsidRPr="00205340">
        <w:t>Group D</w:t>
      </w:r>
      <w:r w:rsidR="009622DC" w:rsidRPr="00205340">
        <w:t xml:space="preserve"> refers to the </w:t>
      </w:r>
      <w:r w:rsidR="007D4E5D" w:rsidRPr="00205340">
        <w:t xml:space="preserve">group </w:t>
      </w:r>
      <w:r w:rsidR="00AD1716" w:rsidRPr="00205340">
        <w:t xml:space="preserve">in </w:t>
      </w:r>
      <w:r w:rsidR="007D4E5D" w:rsidRPr="00205340">
        <w:t>HAVEN 3</w:t>
      </w:r>
      <w:r w:rsidR="00EA3C6D" w:rsidRPr="00205340">
        <w:t xml:space="preserve"> receiving prophylaxis with emicizumab</w:t>
      </w:r>
      <w:r w:rsidR="009622DC" w:rsidRPr="00205340">
        <w:t>.</w:t>
      </w:r>
      <w:r w:rsidR="007D4E5D" w:rsidRPr="00205340">
        <w:t xml:space="preserve"> </w:t>
      </w:r>
      <w:r w:rsidR="001B0EFB" w:rsidRPr="00205340">
        <w:t xml:space="preserve">The </w:t>
      </w:r>
      <w:r w:rsidR="00C049F1" w:rsidRPr="00205340">
        <w:t>number</w:t>
      </w:r>
      <w:r w:rsidR="001B0EFB" w:rsidRPr="00205340">
        <w:t xml:space="preserve"> of</w:t>
      </w:r>
      <w:r w:rsidR="00A079A8" w:rsidRPr="00205340">
        <w:t xml:space="preserve"> s</w:t>
      </w:r>
      <w:r w:rsidR="0092683C" w:rsidRPr="00205340">
        <w:t>erious adverse events</w:t>
      </w:r>
      <w:r w:rsidR="00C16E1A" w:rsidRPr="00205340">
        <w:t xml:space="preserve"> (SAEs)</w:t>
      </w:r>
      <w:r w:rsidR="0092683C" w:rsidRPr="00205340">
        <w:t xml:space="preserve">, treatment-related SAEs and discontinuations due to </w:t>
      </w:r>
      <w:r w:rsidR="00C16E1A" w:rsidRPr="00205340">
        <w:t>adverse events (</w:t>
      </w:r>
      <w:r w:rsidR="0092683C" w:rsidRPr="00205340">
        <w:t>AEs</w:t>
      </w:r>
      <w:r w:rsidR="00C16E1A" w:rsidRPr="00205340">
        <w:t>)</w:t>
      </w:r>
      <w:r w:rsidR="0092683C" w:rsidRPr="00205340">
        <w:t xml:space="preserve"> </w:t>
      </w:r>
      <w:r w:rsidR="00A079A8" w:rsidRPr="00205340">
        <w:t>were</w:t>
      </w:r>
      <w:r w:rsidR="0092683C" w:rsidRPr="00205340">
        <w:t xml:space="preserve"> similar between trials.</w:t>
      </w:r>
    </w:p>
    <w:p w14:paraId="0C28E194" w14:textId="36AD2E3D" w:rsidR="005D28BD" w:rsidRPr="00205340" w:rsidRDefault="0092683C" w:rsidP="00135F99">
      <w:r w:rsidRPr="00205340">
        <w:t xml:space="preserve">Findings should be interpreted </w:t>
      </w:r>
      <w:r w:rsidR="00C86E75" w:rsidRPr="00205340">
        <w:t>cautiously</w:t>
      </w:r>
      <w:r w:rsidR="00E4347D" w:rsidRPr="00205340">
        <w:t xml:space="preserve"> due to the heterogeneity </w:t>
      </w:r>
      <w:r w:rsidR="002F6E88" w:rsidRPr="00205340">
        <w:t xml:space="preserve">in assessment methods </w:t>
      </w:r>
      <w:r w:rsidR="00AD1716" w:rsidRPr="00205340">
        <w:t xml:space="preserve">used in </w:t>
      </w:r>
      <w:r w:rsidR="002F6E88" w:rsidRPr="00205340">
        <w:t xml:space="preserve">the </w:t>
      </w:r>
      <w:r w:rsidR="00E4347D" w:rsidRPr="00205340">
        <w:t xml:space="preserve">BASIS and HAVEN 3 </w:t>
      </w:r>
      <w:r w:rsidR="002F6E88" w:rsidRPr="00205340">
        <w:t>trials</w:t>
      </w:r>
      <w:r w:rsidR="00E4347D" w:rsidRPr="00205340">
        <w:t xml:space="preserve">, </w:t>
      </w:r>
      <w:r w:rsidR="002F6E88" w:rsidRPr="00205340">
        <w:t xml:space="preserve">as well as differences in the </w:t>
      </w:r>
      <w:r w:rsidR="00E4347D" w:rsidRPr="00205340">
        <w:t xml:space="preserve">timing and reporting of safety outcomes. Median treatment exposure also differed between </w:t>
      </w:r>
      <w:r w:rsidR="00FB2CC1" w:rsidRPr="00205340">
        <w:t xml:space="preserve">the </w:t>
      </w:r>
      <w:r w:rsidR="00E4347D" w:rsidRPr="00205340">
        <w:t>trials</w:t>
      </w:r>
      <w:r w:rsidR="00FB2CC1" w:rsidRPr="00205340">
        <w:t>.</w:t>
      </w:r>
      <w:r w:rsidR="00E4347D" w:rsidRPr="00205340">
        <w:t xml:space="preserve"> </w:t>
      </w:r>
      <w:r w:rsidR="009E2752" w:rsidRPr="00205340">
        <w:t xml:space="preserve">In HAVEN 3, patients were exposed to </w:t>
      </w:r>
      <w:r w:rsidR="00E4347D" w:rsidRPr="00205340">
        <w:t xml:space="preserve">emicizumab </w:t>
      </w:r>
      <w:r w:rsidR="009E2752" w:rsidRPr="00205340">
        <w:t xml:space="preserve">treatment for </w:t>
      </w:r>
      <w:r w:rsidR="00A970C2" w:rsidRPr="00205340">
        <w:t xml:space="preserve">33 </w:t>
      </w:r>
      <w:r w:rsidR="009E2752" w:rsidRPr="00205340">
        <w:t xml:space="preserve">weeks, while in the BASIS trial, </w:t>
      </w:r>
      <w:r w:rsidR="00E4347D" w:rsidRPr="00205340">
        <w:t xml:space="preserve">exposure to marstacimab </w:t>
      </w:r>
      <w:r w:rsidR="009E2752" w:rsidRPr="00205340">
        <w:t xml:space="preserve">was </w:t>
      </w:r>
      <w:r w:rsidR="00AD1716" w:rsidRPr="00205340">
        <w:t xml:space="preserve">for </w:t>
      </w:r>
      <w:r w:rsidR="009E2752" w:rsidRPr="00205340">
        <w:t>52 weeks.</w:t>
      </w:r>
    </w:p>
    <w:p w14:paraId="0AC77693" w14:textId="2D0A69DD" w:rsidR="00462A90" w:rsidRPr="00205340" w:rsidRDefault="00462A90" w:rsidP="00462A90">
      <w:pPr>
        <w:pStyle w:val="Caption"/>
      </w:pPr>
      <w:bookmarkStart w:id="28" w:name="_Ref227156404"/>
      <w:r w:rsidRPr="00205340">
        <w:t xml:space="preserve">Table </w:t>
      </w:r>
      <w:fldSimple w:instr=" SEQ Table \* ARABIC ">
        <w:r w:rsidR="002C6A9B" w:rsidRPr="00205340">
          <w:rPr>
            <w:noProof/>
          </w:rPr>
          <w:t>3</w:t>
        </w:r>
      </w:fldSimple>
      <w:bookmarkEnd w:id="28"/>
      <w:r w:rsidRPr="00205340">
        <w:t xml:space="preserve"> Side-by-side comparison of the safety of emicizumab and marstacimab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945"/>
        <w:gridCol w:w="3491"/>
      </w:tblGrid>
      <w:tr w:rsidR="007F0F4D" w:rsidRPr="00205340" w14:paraId="7F19E8C9" w14:textId="77777777" w:rsidTr="00C86F73">
        <w:tc>
          <w:tcPr>
            <w:tcW w:w="1431" w:type="pct"/>
            <w:vMerge w:val="restart"/>
            <w:shd w:val="clear" w:color="auto" w:fill="D9D9D9" w:themeFill="background1" w:themeFillShade="D9"/>
            <w:vAlign w:val="bottom"/>
          </w:tcPr>
          <w:p w14:paraId="5EC6BCDD" w14:textId="77777777" w:rsidR="00C86F73" w:rsidRPr="00205340" w:rsidRDefault="00C86F73" w:rsidP="006742C4">
            <w:pPr>
              <w:pStyle w:val="TableHeading"/>
              <w:keepLines/>
              <w:spacing w:before="0" w:after="0"/>
              <w:rPr>
                <w:rFonts w:cstheme="minorHAnsi"/>
                <w:szCs w:val="20"/>
              </w:rPr>
            </w:pPr>
            <w:r w:rsidRPr="00205340">
              <w:rPr>
                <w:rFonts w:cstheme="minorHAnsi"/>
                <w:szCs w:val="20"/>
              </w:rPr>
              <w:t>Variable</w:t>
            </w:r>
          </w:p>
        </w:tc>
        <w:tc>
          <w:tcPr>
            <w:tcW w:w="1633" w:type="pct"/>
            <w:shd w:val="clear" w:color="auto" w:fill="D9D9D9" w:themeFill="background1" w:themeFillShade="D9"/>
            <w:vAlign w:val="bottom"/>
          </w:tcPr>
          <w:p w14:paraId="2BC19854" w14:textId="360D5380" w:rsidR="00C86F73" w:rsidRPr="00205340" w:rsidRDefault="00C86F73" w:rsidP="006742C4">
            <w:pPr>
              <w:pStyle w:val="TableHeading"/>
              <w:keepLines/>
              <w:spacing w:before="0" w:after="0"/>
              <w:jc w:val="center"/>
              <w:rPr>
                <w:rFonts w:cstheme="minorHAnsi"/>
                <w:szCs w:val="20"/>
              </w:rPr>
            </w:pPr>
            <w:r w:rsidRPr="00205340">
              <w:rPr>
                <w:rFonts w:cstheme="minorHAnsi"/>
                <w:szCs w:val="20"/>
              </w:rPr>
              <w:t xml:space="preserve">HAVEN 3 </w:t>
            </w:r>
          </w:p>
        </w:tc>
        <w:tc>
          <w:tcPr>
            <w:tcW w:w="1936" w:type="pct"/>
            <w:shd w:val="clear" w:color="auto" w:fill="D9D9D9" w:themeFill="background1" w:themeFillShade="D9"/>
            <w:vAlign w:val="bottom"/>
          </w:tcPr>
          <w:p w14:paraId="3697F835" w14:textId="1452B955" w:rsidR="00C86F73" w:rsidRPr="00205340" w:rsidRDefault="00C86F73" w:rsidP="006742C4">
            <w:pPr>
              <w:pStyle w:val="TableHeading"/>
              <w:keepLines/>
              <w:spacing w:before="0" w:after="0"/>
              <w:jc w:val="center"/>
              <w:rPr>
                <w:rFonts w:cstheme="minorHAnsi"/>
                <w:szCs w:val="20"/>
              </w:rPr>
            </w:pPr>
            <w:r w:rsidRPr="00205340">
              <w:rPr>
                <w:rFonts w:cstheme="minorHAnsi"/>
                <w:szCs w:val="20"/>
              </w:rPr>
              <w:t>BASIS ATP</w:t>
            </w:r>
          </w:p>
        </w:tc>
      </w:tr>
      <w:tr w:rsidR="007F0F4D" w:rsidRPr="00205340" w14:paraId="4204A677" w14:textId="77777777" w:rsidTr="00C86F73">
        <w:tc>
          <w:tcPr>
            <w:tcW w:w="1431" w:type="pct"/>
            <w:vMerge/>
            <w:shd w:val="clear" w:color="auto" w:fill="D9D9D9" w:themeFill="background1" w:themeFillShade="D9"/>
            <w:vAlign w:val="bottom"/>
          </w:tcPr>
          <w:p w14:paraId="20045790" w14:textId="77777777" w:rsidR="00C86F73" w:rsidRPr="00205340" w:rsidRDefault="00C86F73" w:rsidP="006742C4">
            <w:pPr>
              <w:pStyle w:val="TableHeading"/>
              <w:keepLines/>
              <w:spacing w:before="0" w:after="0"/>
              <w:rPr>
                <w:rFonts w:cstheme="minorHAnsi"/>
                <w:szCs w:val="20"/>
              </w:rPr>
            </w:pPr>
          </w:p>
        </w:tc>
        <w:tc>
          <w:tcPr>
            <w:tcW w:w="1633" w:type="pct"/>
            <w:shd w:val="clear" w:color="auto" w:fill="D9D9D9" w:themeFill="background1" w:themeFillShade="D9"/>
            <w:vAlign w:val="bottom"/>
          </w:tcPr>
          <w:p w14:paraId="61A0028E" w14:textId="33D849A7" w:rsidR="00C86F73" w:rsidRPr="00205340" w:rsidRDefault="00C86F73" w:rsidP="006742C4">
            <w:pPr>
              <w:pStyle w:val="TableHeading"/>
              <w:keepLines/>
              <w:spacing w:before="0" w:after="0"/>
              <w:jc w:val="center"/>
              <w:rPr>
                <w:rFonts w:cstheme="minorHAnsi"/>
                <w:szCs w:val="20"/>
              </w:rPr>
            </w:pPr>
            <w:r w:rsidRPr="00205340">
              <w:rPr>
                <w:rFonts w:cstheme="minorHAnsi"/>
                <w:szCs w:val="20"/>
              </w:rPr>
              <w:t>Group D (emicizumab)</w:t>
            </w:r>
          </w:p>
          <w:p w14:paraId="528EFA38" w14:textId="77777777" w:rsidR="00C86F73" w:rsidRPr="00205340" w:rsidRDefault="00C86F73" w:rsidP="006742C4">
            <w:pPr>
              <w:pStyle w:val="TableHeading"/>
              <w:keepLines/>
              <w:spacing w:before="0" w:after="0"/>
              <w:jc w:val="center"/>
              <w:rPr>
                <w:rFonts w:cstheme="minorHAnsi"/>
                <w:szCs w:val="20"/>
              </w:rPr>
            </w:pPr>
            <w:r w:rsidRPr="00205340">
              <w:rPr>
                <w:rFonts w:cstheme="minorHAnsi"/>
                <w:szCs w:val="20"/>
              </w:rPr>
              <w:t>N=63</w:t>
            </w:r>
          </w:p>
        </w:tc>
        <w:tc>
          <w:tcPr>
            <w:tcW w:w="1937" w:type="pct"/>
            <w:shd w:val="clear" w:color="auto" w:fill="D9D9D9" w:themeFill="background1" w:themeFillShade="D9"/>
            <w:vAlign w:val="bottom"/>
          </w:tcPr>
          <w:p w14:paraId="50C07011" w14:textId="001F6F78" w:rsidR="00C86F73" w:rsidRPr="00205340" w:rsidRDefault="00C86F73" w:rsidP="006742C4">
            <w:pPr>
              <w:pStyle w:val="TableHeading"/>
              <w:keepLines/>
              <w:spacing w:before="0" w:after="0"/>
              <w:jc w:val="center"/>
              <w:rPr>
                <w:rFonts w:cstheme="minorHAnsi"/>
                <w:szCs w:val="20"/>
              </w:rPr>
            </w:pPr>
            <w:r w:rsidRPr="00205340">
              <w:rPr>
                <w:rFonts w:cstheme="minorHAnsi"/>
                <w:szCs w:val="20"/>
              </w:rPr>
              <w:t>Non-inhibitor population with prophylaxis at OP (marstacimab)</w:t>
            </w:r>
          </w:p>
          <w:p w14:paraId="0198125A" w14:textId="77777777" w:rsidR="00C86F73" w:rsidRPr="00205340" w:rsidRDefault="00C86F73" w:rsidP="006742C4">
            <w:pPr>
              <w:pStyle w:val="TableHeading"/>
              <w:keepLines/>
              <w:spacing w:before="0" w:after="0"/>
              <w:jc w:val="center"/>
              <w:rPr>
                <w:rFonts w:cstheme="minorHAnsi"/>
                <w:szCs w:val="20"/>
              </w:rPr>
            </w:pPr>
            <w:r w:rsidRPr="00205340">
              <w:rPr>
                <w:rFonts w:cstheme="minorHAnsi"/>
                <w:szCs w:val="20"/>
              </w:rPr>
              <w:t>N=83</w:t>
            </w:r>
          </w:p>
        </w:tc>
      </w:tr>
      <w:tr w:rsidR="007F0F4D" w:rsidRPr="00205340" w14:paraId="41E9D272" w14:textId="77777777" w:rsidTr="00C86F73">
        <w:tc>
          <w:tcPr>
            <w:tcW w:w="1431" w:type="pct"/>
            <w:vAlign w:val="center"/>
          </w:tcPr>
          <w:p w14:paraId="4772FDAC" w14:textId="77777777" w:rsidR="00C86F73" w:rsidRPr="00205340" w:rsidRDefault="00C86F73" w:rsidP="006742C4">
            <w:pPr>
              <w:pStyle w:val="TableText"/>
              <w:keepNext/>
              <w:keepLines/>
              <w:spacing w:before="0" w:after="0"/>
              <w:rPr>
                <w:rFonts w:cstheme="minorHAnsi"/>
                <w:szCs w:val="20"/>
              </w:rPr>
            </w:pPr>
            <w:r w:rsidRPr="00205340">
              <w:rPr>
                <w:rFonts w:cstheme="minorHAnsi"/>
                <w:szCs w:val="20"/>
              </w:rPr>
              <w:t>Median duration of exposure, weeks (range)</w:t>
            </w:r>
          </w:p>
        </w:tc>
        <w:tc>
          <w:tcPr>
            <w:tcW w:w="1633" w:type="pct"/>
          </w:tcPr>
          <w:p w14:paraId="217A77A4" w14:textId="77777777" w:rsidR="00C86F73" w:rsidRPr="00205340" w:rsidRDefault="00C86F73" w:rsidP="006742C4">
            <w:pPr>
              <w:pStyle w:val="TableText"/>
              <w:keepNext/>
              <w:keepLines/>
              <w:spacing w:before="0" w:after="0"/>
              <w:jc w:val="center"/>
              <w:rPr>
                <w:rFonts w:cstheme="minorHAnsi"/>
                <w:szCs w:val="20"/>
              </w:rPr>
            </w:pPr>
            <w:r w:rsidRPr="00205340">
              <w:rPr>
                <w:rFonts w:cstheme="minorHAnsi"/>
                <w:szCs w:val="20"/>
              </w:rPr>
              <w:t>33.1 (18.0, 48.1)</w:t>
            </w:r>
          </w:p>
        </w:tc>
        <w:tc>
          <w:tcPr>
            <w:tcW w:w="1937" w:type="pct"/>
          </w:tcPr>
          <w:p w14:paraId="017007D9" w14:textId="55B9B89F" w:rsidR="00C86F73" w:rsidRPr="00205340" w:rsidRDefault="00C86F73" w:rsidP="006742C4">
            <w:pPr>
              <w:pStyle w:val="TableText"/>
              <w:keepNext/>
              <w:keepLines/>
              <w:spacing w:before="0" w:after="0"/>
              <w:jc w:val="center"/>
              <w:rPr>
                <w:rFonts w:cstheme="minorHAnsi"/>
                <w:szCs w:val="20"/>
                <w:vertAlign w:val="superscript"/>
              </w:rPr>
            </w:pPr>
            <w:r w:rsidRPr="00205340">
              <w:rPr>
                <w:rFonts w:cstheme="minorHAnsi"/>
                <w:szCs w:val="20"/>
              </w:rPr>
              <w:t>52.0 (4.0, 56.0)</w:t>
            </w:r>
          </w:p>
        </w:tc>
      </w:tr>
      <w:tr w:rsidR="007F0F4D" w:rsidRPr="00205340" w14:paraId="76356322" w14:textId="77777777" w:rsidTr="00C86F73">
        <w:tc>
          <w:tcPr>
            <w:tcW w:w="1431" w:type="pct"/>
            <w:vAlign w:val="center"/>
          </w:tcPr>
          <w:p w14:paraId="423B2540" w14:textId="77777777" w:rsidR="00C86F73" w:rsidRPr="00205340" w:rsidRDefault="00C86F73" w:rsidP="006742C4">
            <w:pPr>
              <w:pStyle w:val="TableText"/>
              <w:keepNext/>
              <w:keepLines/>
              <w:spacing w:before="0" w:after="0"/>
              <w:rPr>
                <w:rFonts w:cstheme="minorHAnsi"/>
                <w:szCs w:val="20"/>
              </w:rPr>
            </w:pPr>
            <w:r w:rsidRPr="00205340">
              <w:rPr>
                <w:rFonts w:cstheme="minorHAnsi"/>
                <w:szCs w:val="20"/>
              </w:rPr>
              <w:t>AEs, n</w:t>
            </w:r>
          </w:p>
        </w:tc>
        <w:tc>
          <w:tcPr>
            <w:tcW w:w="1633" w:type="pct"/>
          </w:tcPr>
          <w:p w14:paraId="7210D247" w14:textId="77777777" w:rsidR="00C86F73" w:rsidRPr="00205340" w:rsidRDefault="00C86F73" w:rsidP="006742C4">
            <w:pPr>
              <w:pStyle w:val="TableText"/>
              <w:keepNext/>
              <w:keepLines/>
              <w:spacing w:before="0" w:after="0"/>
              <w:jc w:val="center"/>
              <w:rPr>
                <w:rFonts w:cstheme="minorHAnsi"/>
                <w:szCs w:val="20"/>
              </w:rPr>
            </w:pPr>
            <w:r w:rsidRPr="00205340">
              <w:rPr>
                <w:rFonts w:cstheme="minorHAnsi"/>
                <w:szCs w:val="20"/>
              </w:rPr>
              <w:t>236</w:t>
            </w:r>
          </w:p>
        </w:tc>
        <w:tc>
          <w:tcPr>
            <w:tcW w:w="1937" w:type="pct"/>
          </w:tcPr>
          <w:p w14:paraId="1A20C514" w14:textId="77777777" w:rsidR="00C86F73" w:rsidRPr="00205340" w:rsidRDefault="00C86F73" w:rsidP="006742C4">
            <w:pPr>
              <w:pStyle w:val="TableText"/>
              <w:keepNext/>
              <w:keepLines/>
              <w:spacing w:before="0" w:after="0"/>
              <w:jc w:val="center"/>
              <w:rPr>
                <w:rFonts w:cstheme="minorHAnsi"/>
                <w:szCs w:val="20"/>
              </w:rPr>
            </w:pPr>
            <w:r w:rsidRPr="00205340">
              <w:rPr>
                <w:rFonts w:cstheme="minorHAnsi"/>
                <w:szCs w:val="20"/>
              </w:rPr>
              <w:t>262</w:t>
            </w:r>
          </w:p>
        </w:tc>
      </w:tr>
      <w:tr w:rsidR="007F0F4D" w:rsidRPr="00205340" w14:paraId="24816FCC" w14:textId="77777777" w:rsidTr="00C86F73">
        <w:tc>
          <w:tcPr>
            <w:tcW w:w="1431" w:type="pct"/>
            <w:vAlign w:val="center"/>
          </w:tcPr>
          <w:p w14:paraId="79290B81" w14:textId="77777777" w:rsidR="00C86F73" w:rsidRPr="00205340" w:rsidRDefault="00C86F73" w:rsidP="006742C4">
            <w:pPr>
              <w:pStyle w:val="TableText"/>
              <w:spacing w:before="0" w:after="0"/>
              <w:rPr>
                <w:rFonts w:cstheme="minorHAnsi"/>
                <w:szCs w:val="20"/>
              </w:rPr>
            </w:pPr>
            <w:r w:rsidRPr="00205340">
              <w:rPr>
                <w:rFonts w:cstheme="minorHAnsi"/>
                <w:szCs w:val="20"/>
              </w:rPr>
              <w:t>Participants with AEs, n (%)</w:t>
            </w:r>
          </w:p>
        </w:tc>
        <w:tc>
          <w:tcPr>
            <w:tcW w:w="1633" w:type="pct"/>
          </w:tcPr>
          <w:p w14:paraId="36AB5351" w14:textId="77777777" w:rsidR="00C86F73" w:rsidRPr="00205340" w:rsidRDefault="00C86F73" w:rsidP="006742C4">
            <w:pPr>
              <w:pStyle w:val="TableText"/>
              <w:spacing w:before="0" w:after="0"/>
              <w:jc w:val="center"/>
              <w:rPr>
                <w:rFonts w:cstheme="minorHAnsi"/>
                <w:szCs w:val="20"/>
              </w:rPr>
            </w:pPr>
            <w:r w:rsidRPr="00205340">
              <w:rPr>
                <w:rFonts w:cstheme="minorHAnsi"/>
                <w:szCs w:val="20"/>
              </w:rPr>
              <w:t>NR</w:t>
            </w:r>
          </w:p>
        </w:tc>
        <w:tc>
          <w:tcPr>
            <w:tcW w:w="1937" w:type="pct"/>
          </w:tcPr>
          <w:p w14:paraId="7E5BD82F" w14:textId="77777777" w:rsidR="00C86F73" w:rsidRPr="00205340" w:rsidRDefault="00C86F73" w:rsidP="006742C4">
            <w:pPr>
              <w:pStyle w:val="TableText"/>
              <w:spacing w:before="0" w:after="0"/>
              <w:jc w:val="center"/>
              <w:rPr>
                <w:rFonts w:cstheme="minorHAnsi"/>
                <w:szCs w:val="20"/>
              </w:rPr>
            </w:pPr>
            <w:r w:rsidRPr="00205340">
              <w:rPr>
                <w:rFonts w:cstheme="minorHAnsi"/>
                <w:szCs w:val="20"/>
              </w:rPr>
              <w:t>62 (74.7)</w:t>
            </w:r>
          </w:p>
        </w:tc>
      </w:tr>
      <w:tr w:rsidR="007F0F4D" w:rsidRPr="00205340" w14:paraId="05B4654E" w14:textId="77777777" w:rsidTr="00C86F73">
        <w:tc>
          <w:tcPr>
            <w:tcW w:w="1431" w:type="pct"/>
            <w:vAlign w:val="center"/>
          </w:tcPr>
          <w:p w14:paraId="14AAAE2B" w14:textId="77777777" w:rsidR="00C86F73" w:rsidRPr="00205340" w:rsidRDefault="00C86F73" w:rsidP="006742C4">
            <w:pPr>
              <w:pStyle w:val="TableText"/>
              <w:spacing w:before="0" w:after="0"/>
              <w:rPr>
                <w:rFonts w:cstheme="minorHAnsi"/>
                <w:szCs w:val="20"/>
              </w:rPr>
            </w:pPr>
            <w:r w:rsidRPr="00205340">
              <w:rPr>
                <w:rFonts w:cstheme="minorHAnsi"/>
                <w:szCs w:val="20"/>
              </w:rPr>
              <w:t xml:space="preserve">   Injection site reaction</w:t>
            </w:r>
          </w:p>
        </w:tc>
        <w:tc>
          <w:tcPr>
            <w:tcW w:w="1633" w:type="pct"/>
          </w:tcPr>
          <w:p w14:paraId="72E85EEA" w14:textId="77777777" w:rsidR="00C86F73" w:rsidRPr="00205340" w:rsidRDefault="00C86F73" w:rsidP="006742C4">
            <w:pPr>
              <w:pStyle w:val="TableText"/>
              <w:spacing w:before="0" w:after="0"/>
              <w:jc w:val="center"/>
              <w:rPr>
                <w:rFonts w:cstheme="minorHAnsi"/>
                <w:bCs/>
                <w:szCs w:val="20"/>
              </w:rPr>
            </w:pPr>
            <w:r w:rsidRPr="00205340">
              <w:rPr>
                <w:rFonts w:cstheme="minorHAnsi"/>
                <w:bCs/>
                <w:szCs w:val="20"/>
              </w:rPr>
              <w:t>20 (31.7)</w:t>
            </w:r>
          </w:p>
        </w:tc>
        <w:tc>
          <w:tcPr>
            <w:tcW w:w="1937" w:type="pct"/>
          </w:tcPr>
          <w:p w14:paraId="0633A101" w14:textId="77777777" w:rsidR="00C86F73" w:rsidRPr="00205340" w:rsidRDefault="00C86F73" w:rsidP="006742C4">
            <w:pPr>
              <w:pStyle w:val="TableText"/>
              <w:spacing w:before="0" w:after="0"/>
              <w:jc w:val="center"/>
              <w:rPr>
                <w:rFonts w:cstheme="minorHAnsi"/>
                <w:szCs w:val="20"/>
              </w:rPr>
            </w:pPr>
            <w:r w:rsidRPr="00205340">
              <w:rPr>
                <w:rFonts w:cstheme="minorHAnsi"/>
                <w:szCs w:val="20"/>
              </w:rPr>
              <w:t>9 (10.8)</w:t>
            </w:r>
          </w:p>
        </w:tc>
      </w:tr>
      <w:tr w:rsidR="007F0F4D" w:rsidRPr="00205340" w14:paraId="23DD82ED" w14:textId="77777777" w:rsidTr="00C86F73">
        <w:tc>
          <w:tcPr>
            <w:tcW w:w="1431" w:type="pct"/>
            <w:vAlign w:val="center"/>
          </w:tcPr>
          <w:p w14:paraId="749F0ED1" w14:textId="77777777" w:rsidR="00C86F73" w:rsidRPr="00205340" w:rsidRDefault="00C86F73" w:rsidP="006742C4">
            <w:pPr>
              <w:pStyle w:val="TableText"/>
              <w:spacing w:before="0" w:after="0"/>
              <w:rPr>
                <w:rFonts w:cstheme="minorHAnsi"/>
                <w:szCs w:val="20"/>
              </w:rPr>
            </w:pPr>
            <w:r w:rsidRPr="00205340">
              <w:rPr>
                <w:rFonts w:cstheme="minorHAnsi"/>
                <w:szCs w:val="20"/>
              </w:rPr>
              <w:t xml:space="preserve">   Upper respiratory infection</w:t>
            </w:r>
          </w:p>
        </w:tc>
        <w:tc>
          <w:tcPr>
            <w:tcW w:w="1633" w:type="pct"/>
          </w:tcPr>
          <w:p w14:paraId="15084B95" w14:textId="77777777" w:rsidR="00C86F73" w:rsidRPr="00205340" w:rsidRDefault="00C86F73" w:rsidP="006742C4">
            <w:pPr>
              <w:pStyle w:val="TableText"/>
              <w:spacing w:before="0" w:after="0"/>
              <w:jc w:val="center"/>
              <w:rPr>
                <w:rFonts w:cstheme="minorHAnsi"/>
                <w:bCs/>
                <w:szCs w:val="20"/>
              </w:rPr>
            </w:pPr>
            <w:r w:rsidRPr="00205340">
              <w:rPr>
                <w:rFonts w:cstheme="minorHAnsi"/>
                <w:bCs/>
                <w:szCs w:val="20"/>
              </w:rPr>
              <w:t>8 (12.7)</w:t>
            </w:r>
          </w:p>
        </w:tc>
        <w:tc>
          <w:tcPr>
            <w:tcW w:w="1937" w:type="pct"/>
          </w:tcPr>
          <w:p w14:paraId="4527D32F" w14:textId="77777777" w:rsidR="00C86F73" w:rsidRPr="00205340" w:rsidRDefault="00C86F73" w:rsidP="006742C4">
            <w:pPr>
              <w:pStyle w:val="TableText"/>
              <w:spacing w:before="0" w:after="0"/>
              <w:jc w:val="center"/>
              <w:rPr>
                <w:rFonts w:cstheme="minorHAnsi"/>
                <w:szCs w:val="20"/>
              </w:rPr>
            </w:pPr>
            <w:r w:rsidRPr="00205340">
              <w:rPr>
                <w:rFonts w:cstheme="minorHAnsi"/>
                <w:szCs w:val="20"/>
              </w:rPr>
              <w:t>1 (1.2)</w:t>
            </w:r>
          </w:p>
        </w:tc>
      </w:tr>
      <w:tr w:rsidR="007F0F4D" w:rsidRPr="00205340" w14:paraId="5752F7DD" w14:textId="77777777" w:rsidTr="00C86F73">
        <w:tc>
          <w:tcPr>
            <w:tcW w:w="1431" w:type="pct"/>
            <w:vAlign w:val="center"/>
          </w:tcPr>
          <w:p w14:paraId="03F47134" w14:textId="77777777" w:rsidR="00C86F73" w:rsidRPr="00205340" w:rsidRDefault="00C86F73" w:rsidP="006742C4">
            <w:pPr>
              <w:pStyle w:val="TableText"/>
              <w:spacing w:before="0" w:after="0"/>
              <w:rPr>
                <w:rFonts w:cstheme="minorHAnsi"/>
                <w:szCs w:val="20"/>
              </w:rPr>
            </w:pPr>
            <w:r w:rsidRPr="00205340">
              <w:rPr>
                <w:rFonts w:cstheme="minorHAnsi"/>
                <w:szCs w:val="20"/>
              </w:rPr>
              <w:t xml:space="preserve">   Nasopharyngitis</w:t>
            </w:r>
          </w:p>
        </w:tc>
        <w:tc>
          <w:tcPr>
            <w:tcW w:w="1633" w:type="pct"/>
          </w:tcPr>
          <w:p w14:paraId="53A786B8" w14:textId="77777777" w:rsidR="00C86F73" w:rsidRPr="00205340" w:rsidRDefault="00C86F73" w:rsidP="006742C4">
            <w:pPr>
              <w:pStyle w:val="TableText"/>
              <w:spacing w:before="0" w:after="0"/>
              <w:jc w:val="center"/>
              <w:rPr>
                <w:rFonts w:cstheme="minorHAnsi"/>
                <w:bCs/>
                <w:szCs w:val="20"/>
              </w:rPr>
            </w:pPr>
            <w:r w:rsidRPr="00205340">
              <w:rPr>
                <w:rFonts w:cstheme="minorHAnsi"/>
                <w:bCs/>
                <w:szCs w:val="20"/>
              </w:rPr>
              <w:t>10 (15.9)</w:t>
            </w:r>
          </w:p>
        </w:tc>
        <w:tc>
          <w:tcPr>
            <w:tcW w:w="1937" w:type="pct"/>
          </w:tcPr>
          <w:p w14:paraId="5259BA75" w14:textId="77777777" w:rsidR="00C86F73" w:rsidRPr="00205340" w:rsidRDefault="00C86F73" w:rsidP="006742C4">
            <w:pPr>
              <w:pStyle w:val="TableText"/>
              <w:spacing w:before="0" w:after="0"/>
              <w:jc w:val="center"/>
              <w:rPr>
                <w:rFonts w:cstheme="minorHAnsi"/>
                <w:szCs w:val="20"/>
              </w:rPr>
            </w:pPr>
            <w:r w:rsidRPr="00205340">
              <w:rPr>
                <w:rFonts w:cstheme="minorHAnsi"/>
                <w:szCs w:val="20"/>
              </w:rPr>
              <w:t>0</w:t>
            </w:r>
          </w:p>
        </w:tc>
      </w:tr>
      <w:tr w:rsidR="007F0F4D" w:rsidRPr="00205340" w14:paraId="572F133A" w14:textId="77777777" w:rsidTr="00C86F73">
        <w:tc>
          <w:tcPr>
            <w:tcW w:w="1431" w:type="pct"/>
            <w:vAlign w:val="center"/>
          </w:tcPr>
          <w:p w14:paraId="24FBBF90" w14:textId="77777777" w:rsidR="00C86F73" w:rsidRPr="00205340" w:rsidRDefault="00C86F73" w:rsidP="006742C4">
            <w:pPr>
              <w:pStyle w:val="TableText"/>
              <w:spacing w:before="0" w:after="0"/>
              <w:rPr>
                <w:rFonts w:cstheme="minorHAnsi"/>
                <w:szCs w:val="20"/>
              </w:rPr>
            </w:pPr>
            <w:r w:rsidRPr="00205340">
              <w:rPr>
                <w:rFonts w:cstheme="minorHAnsi"/>
                <w:szCs w:val="20"/>
              </w:rPr>
              <w:t xml:space="preserve">   Arthralgia</w:t>
            </w:r>
          </w:p>
        </w:tc>
        <w:tc>
          <w:tcPr>
            <w:tcW w:w="1633" w:type="pct"/>
          </w:tcPr>
          <w:p w14:paraId="68F0CED4" w14:textId="77777777" w:rsidR="00C86F73" w:rsidRPr="00205340" w:rsidRDefault="00C86F73" w:rsidP="006742C4">
            <w:pPr>
              <w:pStyle w:val="TableText"/>
              <w:spacing w:before="0" w:after="0"/>
              <w:jc w:val="center"/>
              <w:rPr>
                <w:rFonts w:cstheme="minorHAnsi"/>
                <w:bCs/>
                <w:szCs w:val="20"/>
              </w:rPr>
            </w:pPr>
            <w:r w:rsidRPr="00205340">
              <w:rPr>
                <w:rFonts w:cstheme="minorHAnsi"/>
                <w:bCs/>
                <w:szCs w:val="20"/>
              </w:rPr>
              <w:t>14 (22.2)</w:t>
            </w:r>
          </w:p>
        </w:tc>
        <w:tc>
          <w:tcPr>
            <w:tcW w:w="1937" w:type="pct"/>
          </w:tcPr>
          <w:p w14:paraId="79E4BCE2" w14:textId="77777777" w:rsidR="00C86F73" w:rsidRPr="00205340" w:rsidRDefault="00C86F73" w:rsidP="006742C4">
            <w:pPr>
              <w:pStyle w:val="TableText"/>
              <w:spacing w:before="0" w:after="0"/>
              <w:jc w:val="center"/>
              <w:rPr>
                <w:rFonts w:cstheme="minorHAnsi"/>
                <w:szCs w:val="20"/>
              </w:rPr>
            </w:pPr>
            <w:r w:rsidRPr="00205340">
              <w:rPr>
                <w:rFonts w:cstheme="minorHAnsi"/>
                <w:szCs w:val="20"/>
              </w:rPr>
              <w:t>3 (3.6)</w:t>
            </w:r>
          </w:p>
        </w:tc>
      </w:tr>
      <w:tr w:rsidR="007F0F4D" w:rsidRPr="00205340" w14:paraId="31B3BF67" w14:textId="77777777" w:rsidTr="00C86F73">
        <w:tc>
          <w:tcPr>
            <w:tcW w:w="1431" w:type="pct"/>
            <w:vAlign w:val="center"/>
          </w:tcPr>
          <w:p w14:paraId="44016BEA" w14:textId="77777777" w:rsidR="00C86F73" w:rsidRPr="00205340" w:rsidRDefault="00C86F73" w:rsidP="006742C4">
            <w:pPr>
              <w:pStyle w:val="TableText"/>
              <w:spacing w:before="0" w:after="0"/>
              <w:rPr>
                <w:rFonts w:cstheme="minorHAnsi"/>
                <w:szCs w:val="20"/>
              </w:rPr>
            </w:pPr>
            <w:r w:rsidRPr="00205340">
              <w:rPr>
                <w:rFonts w:cstheme="minorHAnsi"/>
                <w:szCs w:val="20"/>
              </w:rPr>
              <w:t xml:space="preserve">   Headache</w:t>
            </w:r>
          </w:p>
        </w:tc>
        <w:tc>
          <w:tcPr>
            <w:tcW w:w="1633" w:type="pct"/>
          </w:tcPr>
          <w:p w14:paraId="0595D3AB" w14:textId="77777777" w:rsidR="00C86F73" w:rsidRPr="00205340" w:rsidRDefault="00C86F73" w:rsidP="006742C4">
            <w:pPr>
              <w:pStyle w:val="TableText"/>
              <w:spacing w:before="0" w:after="0"/>
              <w:jc w:val="center"/>
              <w:rPr>
                <w:rFonts w:cstheme="minorHAnsi"/>
                <w:bCs/>
                <w:szCs w:val="20"/>
              </w:rPr>
            </w:pPr>
            <w:r w:rsidRPr="00205340">
              <w:rPr>
                <w:rFonts w:cstheme="minorHAnsi"/>
                <w:bCs/>
                <w:szCs w:val="20"/>
              </w:rPr>
              <w:t>5 (7.9)</w:t>
            </w:r>
          </w:p>
        </w:tc>
        <w:tc>
          <w:tcPr>
            <w:tcW w:w="1937" w:type="pct"/>
          </w:tcPr>
          <w:p w14:paraId="12646CEF" w14:textId="77777777" w:rsidR="00C86F73" w:rsidRPr="00205340" w:rsidRDefault="00C86F73" w:rsidP="006742C4">
            <w:pPr>
              <w:pStyle w:val="TableText"/>
              <w:spacing w:before="0" w:after="0"/>
              <w:jc w:val="center"/>
              <w:rPr>
                <w:rFonts w:cstheme="minorHAnsi"/>
                <w:szCs w:val="20"/>
              </w:rPr>
            </w:pPr>
            <w:r w:rsidRPr="00205340">
              <w:rPr>
                <w:rFonts w:cstheme="minorHAnsi"/>
                <w:szCs w:val="20"/>
              </w:rPr>
              <w:t>6 (7.2)</w:t>
            </w:r>
          </w:p>
        </w:tc>
      </w:tr>
      <w:tr w:rsidR="007F0F4D" w:rsidRPr="00205340" w14:paraId="3E88656A" w14:textId="77777777" w:rsidTr="00C86F73">
        <w:tc>
          <w:tcPr>
            <w:tcW w:w="1431" w:type="pct"/>
            <w:vAlign w:val="center"/>
          </w:tcPr>
          <w:p w14:paraId="57C29D32" w14:textId="77777777" w:rsidR="00C86F73" w:rsidRPr="00205340" w:rsidRDefault="00C86F73" w:rsidP="006742C4">
            <w:pPr>
              <w:pStyle w:val="TableText"/>
              <w:spacing w:before="0" w:after="0"/>
              <w:rPr>
                <w:rFonts w:cstheme="minorHAnsi"/>
                <w:szCs w:val="20"/>
              </w:rPr>
            </w:pPr>
            <w:r w:rsidRPr="00205340">
              <w:rPr>
                <w:rFonts w:cstheme="minorHAnsi"/>
                <w:szCs w:val="20"/>
              </w:rPr>
              <w:t xml:space="preserve">   COVID-19</w:t>
            </w:r>
          </w:p>
        </w:tc>
        <w:tc>
          <w:tcPr>
            <w:tcW w:w="1633" w:type="pct"/>
          </w:tcPr>
          <w:p w14:paraId="60156BA4" w14:textId="77777777" w:rsidR="00C86F73" w:rsidRPr="00205340" w:rsidRDefault="00C86F73" w:rsidP="006742C4">
            <w:pPr>
              <w:pStyle w:val="TableText"/>
              <w:spacing w:before="0" w:after="0"/>
              <w:jc w:val="center"/>
              <w:rPr>
                <w:rFonts w:cstheme="minorHAnsi"/>
                <w:bCs/>
                <w:szCs w:val="20"/>
              </w:rPr>
            </w:pPr>
            <w:r w:rsidRPr="00205340">
              <w:rPr>
                <w:rFonts w:cstheme="minorHAnsi"/>
                <w:bCs/>
                <w:szCs w:val="20"/>
              </w:rPr>
              <w:t>NR</w:t>
            </w:r>
          </w:p>
        </w:tc>
        <w:tc>
          <w:tcPr>
            <w:tcW w:w="1937" w:type="pct"/>
          </w:tcPr>
          <w:p w14:paraId="1F093023" w14:textId="77777777" w:rsidR="00C86F73" w:rsidRPr="00205340" w:rsidRDefault="00C86F73" w:rsidP="006742C4">
            <w:pPr>
              <w:pStyle w:val="TableText"/>
              <w:spacing w:before="0" w:after="0"/>
              <w:jc w:val="center"/>
              <w:rPr>
                <w:rFonts w:cstheme="minorHAnsi"/>
                <w:szCs w:val="20"/>
              </w:rPr>
            </w:pPr>
            <w:r w:rsidRPr="00205340">
              <w:rPr>
                <w:rFonts w:cstheme="minorHAnsi"/>
                <w:szCs w:val="20"/>
              </w:rPr>
              <w:t>18 (21.7)</w:t>
            </w:r>
          </w:p>
        </w:tc>
      </w:tr>
      <w:tr w:rsidR="007F0F4D" w:rsidRPr="00205340" w14:paraId="41361558" w14:textId="77777777" w:rsidTr="00C86F73">
        <w:tc>
          <w:tcPr>
            <w:tcW w:w="1431" w:type="pct"/>
            <w:vAlign w:val="center"/>
          </w:tcPr>
          <w:p w14:paraId="11A75DEA" w14:textId="77777777" w:rsidR="00C86F73" w:rsidRPr="00205340" w:rsidRDefault="00C86F73" w:rsidP="006742C4">
            <w:pPr>
              <w:pStyle w:val="TableText"/>
              <w:spacing w:before="0" w:after="0"/>
              <w:rPr>
                <w:rFonts w:cstheme="minorHAnsi"/>
                <w:szCs w:val="20"/>
              </w:rPr>
            </w:pPr>
            <w:r w:rsidRPr="00205340">
              <w:rPr>
                <w:rFonts w:cstheme="minorHAnsi"/>
                <w:szCs w:val="20"/>
              </w:rPr>
              <w:t xml:space="preserve">   Contusion</w:t>
            </w:r>
          </w:p>
        </w:tc>
        <w:tc>
          <w:tcPr>
            <w:tcW w:w="1633" w:type="pct"/>
          </w:tcPr>
          <w:p w14:paraId="5CCA9BA5" w14:textId="77777777" w:rsidR="00C86F73" w:rsidRPr="00205340" w:rsidRDefault="00C86F73" w:rsidP="006742C4">
            <w:pPr>
              <w:pStyle w:val="TableText"/>
              <w:spacing w:before="0" w:after="0"/>
              <w:jc w:val="center"/>
              <w:rPr>
                <w:rFonts w:cstheme="minorHAnsi"/>
                <w:bCs/>
                <w:szCs w:val="20"/>
              </w:rPr>
            </w:pPr>
            <w:r w:rsidRPr="00205340">
              <w:rPr>
                <w:rFonts w:cstheme="minorHAnsi"/>
                <w:bCs/>
                <w:szCs w:val="20"/>
              </w:rPr>
              <w:t>NR</w:t>
            </w:r>
          </w:p>
        </w:tc>
        <w:tc>
          <w:tcPr>
            <w:tcW w:w="1937" w:type="pct"/>
          </w:tcPr>
          <w:p w14:paraId="20D25C92" w14:textId="77777777" w:rsidR="00C86F73" w:rsidRPr="00205340" w:rsidRDefault="00C86F73" w:rsidP="006742C4">
            <w:pPr>
              <w:pStyle w:val="TableText"/>
              <w:spacing w:before="0" w:after="0"/>
              <w:jc w:val="center"/>
              <w:rPr>
                <w:rFonts w:cstheme="minorHAnsi"/>
                <w:szCs w:val="20"/>
              </w:rPr>
            </w:pPr>
            <w:r w:rsidRPr="00205340">
              <w:rPr>
                <w:rFonts w:cstheme="minorHAnsi"/>
                <w:szCs w:val="20"/>
              </w:rPr>
              <w:t>5 (6.0)</w:t>
            </w:r>
          </w:p>
        </w:tc>
      </w:tr>
      <w:tr w:rsidR="007F0F4D" w:rsidRPr="00205340" w14:paraId="61800746" w14:textId="77777777" w:rsidTr="00C86F73">
        <w:tc>
          <w:tcPr>
            <w:tcW w:w="1431" w:type="pct"/>
            <w:vAlign w:val="center"/>
          </w:tcPr>
          <w:p w14:paraId="52DDB5AC" w14:textId="77777777" w:rsidR="00C86F73" w:rsidRPr="00205340" w:rsidRDefault="00C86F73" w:rsidP="006742C4">
            <w:pPr>
              <w:pStyle w:val="TableText"/>
              <w:spacing w:before="0" w:after="0"/>
              <w:rPr>
                <w:rFonts w:cstheme="minorHAnsi"/>
                <w:szCs w:val="20"/>
              </w:rPr>
            </w:pPr>
            <w:r w:rsidRPr="00205340">
              <w:rPr>
                <w:rFonts w:cstheme="minorHAnsi"/>
                <w:szCs w:val="20"/>
              </w:rPr>
              <w:t xml:space="preserve">   Dental caries</w:t>
            </w:r>
          </w:p>
        </w:tc>
        <w:tc>
          <w:tcPr>
            <w:tcW w:w="1633" w:type="pct"/>
          </w:tcPr>
          <w:p w14:paraId="1E8F661F" w14:textId="77777777" w:rsidR="00C86F73" w:rsidRPr="00205340" w:rsidRDefault="00C86F73" w:rsidP="006742C4">
            <w:pPr>
              <w:pStyle w:val="TableText"/>
              <w:spacing w:before="0" w:after="0"/>
              <w:jc w:val="center"/>
              <w:rPr>
                <w:rFonts w:cstheme="minorHAnsi"/>
                <w:bCs/>
                <w:szCs w:val="20"/>
              </w:rPr>
            </w:pPr>
            <w:r w:rsidRPr="00205340">
              <w:rPr>
                <w:rFonts w:cstheme="minorHAnsi"/>
                <w:bCs/>
                <w:szCs w:val="20"/>
              </w:rPr>
              <w:t>NR</w:t>
            </w:r>
          </w:p>
        </w:tc>
        <w:tc>
          <w:tcPr>
            <w:tcW w:w="1937" w:type="pct"/>
          </w:tcPr>
          <w:p w14:paraId="7CC9B70A" w14:textId="77777777" w:rsidR="00C86F73" w:rsidRPr="00205340" w:rsidRDefault="00C86F73" w:rsidP="006742C4">
            <w:pPr>
              <w:pStyle w:val="TableText"/>
              <w:spacing w:before="0" w:after="0"/>
              <w:jc w:val="center"/>
              <w:rPr>
                <w:rFonts w:cstheme="minorHAnsi"/>
                <w:szCs w:val="20"/>
              </w:rPr>
            </w:pPr>
            <w:r w:rsidRPr="00205340">
              <w:rPr>
                <w:rFonts w:cstheme="minorHAnsi"/>
                <w:szCs w:val="20"/>
              </w:rPr>
              <w:t>4 (4.8)</w:t>
            </w:r>
          </w:p>
        </w:tc>
      </w:tr>
      <w:tr w:rsidR="007F0F4D" w:rsidRPr="00205340" w14:paraId="69708EF5" w14:textId="77777777" w:rsidTr="00C86F73">
        <w:tc>
          <w:tcPr>
            <w:tcW w:w="1431" w:type="pct"/>
            <w:vAlign w:val="center"/>
          </w:tcPr>
          <w:p w14:paraId="07A3E006" w14:textId="77777777" w:rsidR="00C86F73" w:rsidRPr="00205340" w:rsidRDefault="00C86F73" w:rsidP="006742C4">
            <w:pPr>
              <w:pStyle w:val="TableText"/>
              <w:spacing w:before="0" w:after="0"/>
              <w:rPr>
                <w:rFonts w:cstheme="minorHAnsi"/>
                <w:szCs w:val="20"/>
              </w:rPr>
            </w:pPr>
            <w:r w:rsidRPr="00205340">
              <w:rPr>
                <w:rFonts w:cstheme="minorHAnsi"/>
                <w:szCs w:val="20"/>
              </w:rPr>
              <w:t xml:space="preserve">   </w:t>
            </w:r>
            <w:proofErr w:type="spellStart"/>
            <w:r w:rsidRPr="00205340">
              <w:rPr>
                <w:rFonts w:cstheme="minorHAnsi"/>
                <w:szCs w:val="20"/>
              </w:rPr>
              <w:t>Pruritis</w:t>
            </w:r>
            <w:proofErr w:type="spellEnd"/>
          </w:p>
        </w:tc>
        <w:tc>
          <w:tcPr>
            <w:tcW w:w="1633" w:type="pct"/>
          </w:tcPr>
          <w:p w14:paraId="34D6069E" w14:textId="77777777" w:rsidR="00C86F73" w:rsidRPr="00205340" w:rsidRDefault="00C86F73" w:rsidP="006742C4">
            <w:pPr>
              <w:pStyle w:val="TableText"/>
              <w:spacing w:before="0" w:after="0"/>
              <w:jc w:val="center"/>
              <w:rPr>
                <w:rFonts w:cstheme="minorHAnsi"/>
                <w:bCs/>
                <w:szCs w:val="20"/>
              </w:rPr>
            </w:pPr>
            <w:r w:rsidRPr="00205340">
              <w:rPr>
                <w:rFonts w:cstheme="minorHAnsi"/>
                <w:bCs/>
                <w:szCs w:val="20"/>
              </w:rPr>
              <w:t>NR</w:t>
            </w:r>
          </w:p>
        </w:tc>
        <w:tc>
          <w:tcPr>
            <w:tcW w:w="1937" w:type="pct"/>
          </w:tcPr>
          <w:p w14:paraId="5D1428DD" w14:textId="77777777" w:rsidR="00C86F73" w:rsidRPr="00205340" w:rsidRDefault="00C86F73" w:rsidP="006742C4">
            <w:pPr>
              <w:pStyle w:val="TableText"/>
              <w:spacing w:before="0" w:after="0"/>
              <w:jc w:val="center"/>
              <w:rPr>
                <w:rFonts w:cstheme="minorHAnsi"/>
                <w:szCs w:val="20"/>
              </w:rPr>
            </w:pPr>
            <w:r w:rsidRPr="00205340">
              <w:rPr>
                <w:rFonts w:cstheme="minorHAnsi"/>
                <w:szCs w:val="20"/>
              </w:rPr>
              <w:t>2 (2.4)</w:t>
            </w:r>
          </w:p>
        </w:tc>
      </w:tr>
      <w:tr w:rsidR="007F0F4D" w:rsidRPr="00205340" w14:paraId="4D71D22E" w14:textId="77777777" w:rsidTr="00C86F73">
        <w:tc>
          <w:tcPr>
            <w:tcW w:w="1431" w:type="pct"/>
            <w:vAlign w:val="center"/>
          </w:tcPr>
          <w:p w14:paraId="1E2943B1" w14:textId="77777777" w:rsidR="00C86F73" w:rsidRPr="00205340" w:rsidRDefault="00C86F73" w:rsidP="006742C4">
            <w:pPr>
              <w:pStyle w:val="TableText"/>
              <w:spacing w:before="0" w:after="0"/>
              <w:rPr>
                <w:rFonts w:cstheme="minorHAnsi"/>
                <w:szCs w:val="20"/>
              </w:rPr>
            </w:pPr>
            <w:r w:rsidRPr="00205340">
              <w:rPr>
                <w:rFonts w:cstheme="minorHAnsi"/>
                <w:szCs w:val="20"/>
              </w:rPr>
              <w:t>SAEs, n</w:t>
            </w:r>
          </w:p>
        </w:tc>
        <w:tc>
          <w:tcPr>
            <w:tcW w:w="1633" w:type="pct"/>
          </w:tcPr>
          <w:p w14:paraId="3016AC5A" w14:textId="77777777" w:rsidR="00C86F73" w:rsidRPr="00205340" w:rsidRDefault="00C86F73" w:rsidP="006742C4">
            <w:pPr>
              <w:pStyle w:val="TableText"/>
              <w:spacing w:before="0" w:after="0"/>
              <w:jc w:val="center"/>
              <w:rPr>
                <w:rFonts w:cstheme="minorHAnsi"/>
                <w:bCs/>
                <w:szCs w:val="20"/>
              </w:rPr>
            </w:pPr>
            <w:r w:rsidRPr="00205340">
              <w:rPr>
                <w:rFonts w:cstheme="minorHAnsi"/>
                <w:bCs/>
                <w:szCs w:val="20"/>
              </w:rPr>
              <w:t>10</w:t>
            </w:r>
          </w:p>
        </w:tc>
        <w:tc>
          <w:tcPr>
            <w:tcW w:w="1937" w:type="pct"/>
          </w:tcPr>
          <w:p w14:paraId="2D205BE3" w14:textId="77777777" w:rsidR="00C86F73" w:rsidRPr="00205340" w:rsidRDefault="00C86F73" w:rsidP="006742C4">
            <w:pPr>
              <w:pStyle w:val="TableText"/>
              <w:spacing w:before="0" w:after="0"/>
              <w:jc w:val="center"/>
              <w:rPr>
                <w:rFonts w:cstheme="minorHAnsi"/>
                <w:szCs w:val="20"/>
              </w:rPr>
            </w:pPr>
            <w:r w:rsidRPr="00205340">
              <w:rPr>
                <w:rFonts w:cstheme="minorHAnsi"/>
                <w:szCs w:val="20"/>
              </w:rPr>
              <w:t>8</w:t>
            </w:r>
          </w:p>
        </w:tc>
      </w:tr>
      <w:tr w:rsidR="007F0F4D" w:rsidRPr="00205340" w14:paraId="72835228" w14:textId="77777777" w:rsidTr="00C86F73">
        <w:tc>
          <w:tcPr>
            <w:tcW w:w="1431" w:type="pct"/>
            <w:vAlign w:val="center"/>
          </w:tcPr>
          <w:p w14:paraId="229909D3" w14:textId="77777777" w:rsidR="00C86F73" w:rsidRPr="00205340" w:rsidRDefault="00C86F73" w:rsidP="006742C4">
            <w:pPr>
              <w:pStyle w:val="TableText"/>
              <w:spacing w:before="0" w:after="0"/>
              <w:rPr>
                <w:rFonts w:cstheme="minorHAnsi"/>
                <w:szCs w:val="20"/>
              </w:rPr>
            </w:pPr>
            <w:r w:rsidRPr="00205340">
              <w:rPr>
                <w:rFonts w:cstheme="minorHAnsi"/>
                <w:szCs w:val="20"/>
              </w:rPr>
              <w:t>Participants with SAEs, n (%)</w:t>
            </w:r>
          </w:p>
        </w:tc>
        <w:tc>
          <w:tcPr>
            <w:tcW w:w="1633" w:type="pct"/>
          </w:tcPr>
          <w:p w14:paraId="641AB8B2" w14:textId="77777777" w:rsidR="00C86F73" w:rsidRPr="00205340" w:rsidRDefault="00C86F73" w:rsidP="006742C4">
            <w:pPr>
              <w:pStyle w:val="TableText"/>
              <w:spacing w:before="0" w:after="0"/>
              <w:jc w:val="center"/>
              <w:rPr>
                <w:rFonts w:cstheme="minorHAnsi"/>
                <w:bCs/>
                <w:szCs w:val="20"/>
              </w:rPr>
            </w:pPr>
            <w:r w:rsidRPr="00205340">
              <w:rPr>
                <w:rFonts w:cstheme="minorHAnsi"/>
                <w:bCs/>
                <w:szCs w:val="20"/>
              </w:rPr>
              <w:t>NR</w:t>
            </w:r>
          </w:p>
        </w:tc>
        <w:tc>
          <w:tcPr>
            <w:tcW w:w="1937" w:type="pct"/>
          </w:tcPr>
          <w:p w14:paraId="7220E1CC" w14:textId="77777777" w:rsidR="00C86F73" w:rsidRPr="00205340" w:rsidRDefault="00C86F73" w:rsidP="006742C4">
            <w:pPr>
              <w:pStyle w:val="TableText"/>
              <w:spacing w:before="0" w:after="0"/>
              <w:jc w:val="center"/>
              <w:rPr>
                <w:rFonts w:cstheme="minorHAnsi"/>
                <w:szCs w:val="20"/>
              </w:rPr>
            </w:pPr>
            <w:r w:rsidRPr="00205340">
              <w:rPr>
                <w:rFonts w:cstheme="minorHAnsi"/>
                <w:szCs w:val="20"/>
              </w:rPr>
              <w:t>7 (8.4)</w:t>
            </w:r>
          </w:p>
        </w:tc>
      </w:tr>
      <w:tr w:rsidR="007F0F4D" w:rsidRPr="00205340" w14:paraId="50A63815" w14:textId="77777777" w:rsidTr="00C86F73">
        <w:tc>
          <w:tcPr>
            <w:tcW w:w="1431" w:type="pct"/>
            <w:vAlign w:val="center"/>
          </w:tcPr>
          <w:p w14:paraId="32F3BCE5" w14:textId="77777777" w:rsidR="00C86F73" w:rsidRPr="00205340" w:rsidRDefault="00C86F73" w:rsidP="006742C4">
            <w:pPr>
              <w:pStyle w:val="TableText"/>
              <w:spacing w:before="0" w:after="0"/>
              <w:rPr>
                <w:rFonts w:cstheme="minorHAnsi"/>
                <w:szCs w:val="20"/>
              </w:rPr>
            </w:pPr>
            <w:r w:rsidRPr="00205340">
              <w:rPr>
                <w:rFonts w:cstheme="minorHAnsi"/>
                <w:szCs w:val="20"/>
              </w:rPr>
              <w:t xml:space="preserve">Participants with </w:t>
            </w:r>
            <w:proofErr w:type="spellStart"/>
            <w:r w:rsidRPr="00205340">
              <w:rPr>
                <w:rFonts w:cstheme="minorHAnsi"/>
                <w:szCs w:val="20"/>
              </w:rPr>
              <w:t>tx</w:t>
            </w:r>
            <w:proofErr w:type="spellEnd"/>
            <w:r w:rsidRPr="00205340">
              <w:rPr>
                <w:rFonts w:cstheme="minorHAnsi"/>
                <w:szCs w:val="20"/>
              </w:rPr>
              <w:t>-related SAEs, n (%)</w:t>
            </w:r>
          </w:p>
        </w:tc>
        <w:tc>
          <w:tcPr>
            <w:tcW w:w="1633" w:type="pct"/>
          </w:tcPr>
          <w:p w14:paraId="4BA27A7A" w14:textId="77777777" w:rsidR="00C86F73" w:rsidRPr="00205340" w:rsidRDefault="00C86F73" w:rsidP="006742C4">
            <w:pPr>
              <w:pStyle w:val="TableText"/>
              <w:spacing w:before="0" w:after="0"/>
              <w:jc w:val="center"/>
              <w:rPr>
                <w:rFonts w:cstheme="minorHAnsi"/>
                <w:bCs/>
                <w:szCs w:val="20"/>
              </w:rPr>
            </w:pPr>
            <w:r w:rsidRPr="00205340">
              <w:rPr>
                <w:rFonts w:cstheme="minorHAnsi"/>
                <w:bCs/>
                <w:szCs w:val="20"/>
              </w:rPr>
              <w:t>0</w:t>
            </w:r>
          </w:p>
        </w:tc>
        <w:tc>
          <w:tcPr>
            <w:tcW w:w="1937" w:type="pct"/>
          </w:tcPr>
          <w:p w14:paraId="71E3F11F" w14:textId="77777777" w:rsidR="00C86F73" w:rsidRPr="00205340" w:rsidRDefault="00C86F73" w:rsidP="006742C4">
            <w:pPr>
              <w:pStyle w:val="TableText"/>
              <w:spacing w:before="0" w:after="0"/>
              <w:jc w:val="center"/>
              <w:rPr>
                <w:rFonts w:cstheme="minorHAnsi"/>
                <w:szCs w:val="20"/>
              </w:rPr>
            </w:pPr>
            <w:r w:rsidRPr="00205340">
              <w:rPr>
                <w:rFonts w:cstheme="minorHAnsi"/>
                <w:szCs w:val="20"/>
              </w:rPr>
              <w:t>1 (1.2)</w:t>
            </w:r>
          </w:p>
        </w:tc>
      </w:tr>
      <w:tr w:rsidR="007F0F4D" w:rsidRPr="00205340" w14:paraId="5B6159E4" w14:textId="77777777" w:rsidTr="00C86F73">
        <w:tc>
          <w:tcPr>
            <w:tcW w:w="1431" w:type="pct"/>
            <w:vAlign w:val="center"/>
          </w:tcPr>
          <w:p w14:paraId="13C2675B" w14:textId="77777777" w:rsidR="00C86F73" w:rsidRPr="00205340" w:rsidRDefault="00C86F73" w:rsidP="006742C4">
            <w:pPr>
              <w:pStyle w:val="TableText"/>
              <w:spacing w:before="0" w:after="0"/>
              <w:rPr>
                <w:rFonts w:cstheme="minorHAnsi"/>
                <w:szCs w:val="20"/>
              </w:rPr>
            </w:pPr>
            <w:r w:rsidRPr="00205340">
              <w:rPr>
                <w:rFonts w:cstheme="minorHAnsi"/>
                <w:szCs w:val="20"/>
              </w:rPr>
              <w:t xml:space="preserve">Participants with AEs leading to </w:t>
            </w:r>
            <w:proofErr w:type="spellStart"/>
            <w:r w:rsidRPr="00205340">
              <w:rPr>
                <w:rFonts w:cstheme="minorHAnsi"/>
                <w:szCs w:val="20"/>
              </w:rPr>
              <w:t>tx</w:t>
            </w:r>
            <w:proofErr w:type="spellEnd"/>
            <w:r w:rsidRPr="00205340">
              <w:rPr>
                <w:rFonts w:cstheme="minorHAnsi"/>
                <w:szCs w:val="20"/>
              </w:rPr>
              <w:t xml:space="preserve"> discontinuation, n (%)</w:t>
            </w:r>
          </w:p>
        </w:tc>
        <w:tc>
          <w:tcPr>
            <w:tcW w:w="1633" w:type="pct"/>
          </w:tcPr>
          <w:p w14:paraId="2403CCDA" w14:textId="77777777" w:rsidR="00C86F73" w:rsidRPr="00205340" w:rsidRDefault="00C86F73" w:rsidP="006742C4">
            <w:pPr>
              <w:pStyle w:val="TableText"/>
              <w:spacing w:before="0" w:after="0"/>
              <w:jc w:val="center"/>
              <w:rPr>
                <w:rFonts w:cstheme="minorHAnsi"/>
                <w:bCs/>
                <w:szCs w:val="20"/>
              </w:rPr>
            </w:pPr>
            <w:r w:rsidRPr="00205340">
              <w:rPr>
                <w:rFonts w:cstheme="minorHAnsi"/>
                <w:bCs/>
                <w:szCs w:val="20"/>
              </w:rPr>
              <w:t>0</w:t>
            </w:r>
          </w:p>
        </w:tc>
        <w:tc>
          <w:tcPr>
            <w:tcW w:w="1937" w:type="pct"/>
          </w:tcPr>
          <w:p w14:paraId="00691BEF" w14:textId="77777777" w:rsidR="00C86F73" w:rsidRPr="00205340" w:rsidRDefault="00C86F73" w:rsidP="006742C4">
            <w:pPr>
              <w:pStyle w:val="TableText"/>
              <w:spacing w:before="0" w:after="0"/>
              <w:jc w:val="center"/>
              <w:rPr>
                <w:rFonts w:cstheme="minorHAnsi"/>
                <w:szCs w:val="20"/>
              </w:rPr>
            </w:pPr>
            <w:r w:rsidRPr="00205340">
              <w:rPr>
                <w:rFonts w:cstheme="minorHAnsi"/>
                <w:szCs w:val="20"/>
              </w:rPr>
              <w:t>1 (1.2)</w:t>
            </w:r>
          </w:p>
        </w:tc>
      </w:tr>
    </w:tbl>
    <w:p w14:paraId="3EECFFC9" w14:textId="7CA93345" w:rsidR="000252B3" w:rsidRPr="00205340" w:rsidRDefault="000252B3" w:rsidP="00BA4E96">
      <w:pPr>
        <w:pStyle w:val="LastLineundertable"/>
        <w:spacing w:after="0" w:line="240" w:lineRule="auto"/>
        <w:rPr>
          <w:rFonts w:ascii="Arial Narrow" w:hAnsi="Arial Narrow"/>
          <w:i w:val="0"/>
          <w:iCs/>
          <w:sz w:val="18"/>
          <w:szCs w:val="18"/>
        </w:rPr>
      </w:pPr>
      <w:r w:rsidRPr="00205340">
        <w:rPr>
          <w:rFonts w:ascii="Arial Narrow" w:hAnsi="Arial Narrow"/>
          <w:i w:val="0"/>
          <w:iCs/>
          <w:sz w:val="18"/>
          <w:szCs w:val="18"/>
        </w:rPr>
        <w:t xml:space="preserve">Source: ADAR 1806 Table </w:t>
      </w:r>
      <w:r w:rsidR="00C64316" w:rsidRPr="00205340">
        <w:rPr>
          <w:rFonts w:ascii="Arial Narrow" w:hAnsi="Arial Narrow"/>
          <w:i w:val="0"/>
          <w:iCs/>
          <w:sz w:val="18"/>
          <w:szCs w:val="18"/>
        </w:rPr>
        <w:t>38</w:t>
      </w:r>
    </w:p>
    <w:p w14:paraId="7F664218" w14:textId="7045C03E" w:rsidR="003A169C" w:rsidRPr="00205340" w:rsidRDefault="003A169C" w:rsidP="00BA4E96">
      <w:pPr>
        <w:pStyle w:val="LastLineundertable"/>
        <w:spacing w:after="0" w:line="240" w:lineRule="auto"/>
        <w:rPr>
          <w:rFonts w:ascii="Arial Narrow" w:hAnsi="Arial Narrow"/>
          <w:sz w:val="18"/>
          <w:szCs w:val="18"/>
        </w:rPr>
      </w:pPr>
      <w:r w:rsidRPr="00205340">
        <w:rPr>
          <w:rFonts w:ascii="Arial Narrow" w:hAnsi="Arial Narrow"/>
          <w:i w:val="0"/>
          <w:iCs/>
          <w:sz w:val="18"/>
          <w:szCs w:val="18"/>
        </w:rPr>
        <w:t xml:space="preserve">AE = adverse events; ATP = active treatment phase; NR = not reported; OP = observational phase; SAEs = serious adverse events; </w:t>
      </w:r>
      <w:proofErr w:type="spellStart"/>
      <w:r w:rsidRPr="00205340">
        <w:rPr>
          <w:rFonts w:ascii="Arial Narrow" w:hAnsi="Arial Narrow"/>
          <w:i w:val="0"/>
          <w:iCs/>
          <w:sz w:val="18"/>
          <w:szCs w:val="18"/>
        </w:rPr>
        <w:t>tx</w:t>
      </w:r>
      <w:proofErr w:type="spellEnd"/>
      <w:r w:rsidRPr="00205340">
        <w:rPr>
          <w:rFonts w:ascii="Arial Narrow" w:hAnsi="Arial Narrow"/>
          <w:i w:val="0"/>
          <w:iCs/>
          <w:sz w:val="18"/>
          <w:szCs w:val="18"/>
        </w:rPr>
        <w:t xml:space="preserve"> = treatment</w:t>
      </w:r>
    </w:p>
    <w:p w14:paraId="5B9624E2" w14:textId="7AF724DA" w:rsidR="00930D55" w:rsidRPr="00205340" w:rsidRDefault="00930D55" w:rsidP="00930D55">
      <w:pPr>
        <w:pStyle w:val="Heading4"/>
      </w:pPr>
      <w:r w:rsidRPr="00205340">
        <w:lastRenderedPageBreak/>
        <w:t xml:space="preserve">Marstacimab versus </w:t>
      </w:r>
      <w:r w:rsidR="00FD49F9" w:rsidRPr="00205340">
        <w:t>EHL FVIII prophylaxis</w:t>
      </w:r>
    </w:p>
    <w:p w14:paraId="38E8C3B9" w14:textId="511A6CB8" w:rsidR="005D28BD" w:rsidRPr="00205340" w:rsidRDefault="00AD1716" w:rsidP="00135F99">
      <w:pPr>
        <w:jc w:val="both"/>
      </w:pPr>
      <w:r w:rsidRPr="00205340">
        <w:t xml:space="preserve">The </w:t>
      </w:r>
      <w:r w:rsidR="002B4E36" w:rsidRPr="00205340">
        <w:t xml:space="preserve">safety analysis </w:t>
      </w:r>
      <w:r w:rsidR="003F6AC5" w:rsidRPr="00205340">
        <w:t xml:space="preserve">of marstacimab vs </w:t>
      </w:r>
      <w:r w:rsidRPr="00205340">
        <w:t xml:space="preserve">EHL </w:t>
      </w:r>
      <w:r w:rsidR="003F6AC5" w:rsidRPr="00205340">
        <w:t xml:space="preserve">FVIII </w:t>
      </w:r>
      <w:r w:rsidR="00D638B2" w:rsidRPr="00205340">
        <w:t xml:space="preserve">prophylaxis </w:t>
      </w:r>
      <w:r w:rsidRPr="00205340">
        <w:t xml:space="preserve">was not evaluable due to the </w:t>
      </w:r>
      <w:r w:rsidR="002B4E36" w:rsidRPr="00205340">
        <w:t>pool</w:t>
      </w:r>
      <w:r w:rsidRPr="00205340">
        <w:t>ing of</w:t>
      </w:r>
      <w:r w:rsidR="002B4E36" w:rsidRPr="00205340">
        <w:t xml:space="preserve"> data for HMA and HMB</w:t>
      </w:r>
      <w:r w:rsidR="003F6AC5" w:rsidRPr="00205340">
        <w:t>.</w:t>
      </w:r>
    </w:p>
    <w:p w14:paraId="0EA8094E" w14:textId="69FF1506" w:rsidR="006E0A71" w:rsidRPr="00205340" w:rsidRDefault="006E0A71" w:rsidP="006E0A71">
      <w:pPr>
        <w:pStyle w:val="Heading3"/>
      </w:pPr>
      <w:r w:rsidRPr="00205340">
        <w:t>Haemophilia B</w:t>
      </w:r>
    </w:p>
    <w:p w14:paraId="5F79A1FE" w14:textId="3F87AD6E" w:rsidR="006E0A71" w:rsidRPr="00205340" w:rsidRDefault="006E0A71" w:rsidP="006E0A71">
      <w:pPr>
        <w:pStyle w:val="Heading4"/>
      </w:pPr>
      <w:r w:rsidRPr="00205340">
        <w:t xml:space="preserve">Marstacimab versus </w:t>
      </w:r>
      <w:r w:rsidR="00F95DA6" w:rsidRPr="00205340">
        <w:t xml:space="preserve">EHL </w:t>
      </w:r>
      <w:r w:rsidRPr="00205340">
        <w:t>FIX prophylaxis</w:t>
      </w:r>
    </w:p>
    <w:p w14:paraId="6DE52953" w14:textId="6BFEE3CF" w:rsidR="00F95DA6" w:rsidRPr="00205340" w:rsidRDefault="00AD1716" w:rsidP="00135F99">
      <w:r w:rsidRPr="00205340">
        <w:t xml:space="preserve">The </w:t>
      </w:r>
      <w:r w:rsidR="00F95DA6" w:rsidRPr="00205340">
        <w:t xml:space="preserve">safety analysis of marstacimab vs </w:t>
      </w:r>
      <w:r w:rsidRPr="00205340">
        <w:t>EHL</w:t>
      </w:r>
      <w:r w:rsidR="00F95DA6" w:rsidRPr="00205340">
        <w:t xml:space="preserve"> FIX prophylaxis </w:t>
      </w:r>
      <w:r w:rsidRPr="00205340">
        <w:t>was not evaluable due to the</w:t>
      </w:r>
      <w:r w:rsidR="00F95DA6" w:rsidRPr="00205340">
        <w:t xml:space="preserve"> pool</w:t>
      </w:r>
      <w:r w:rsidRPr="00205340">
        <w:t>ing of</w:t>
      </w:r>
      <w:r w:rsidR="00F95DA6" w:rsidRPr="00205340">
        <w:t xml:space="preserve"> data for HMA and HMB.</w:t>
      </w:r>
    </w:p>
    <w:p w14:paraId="4661962E" w14:textId="10224487" w:rsidR="00C16945" w:rsidRPr="00205340" w:rsidRDefault="00C16945" w:rsidP="00135F99">
      <w:pPr>
        <w:pStyle w:val="Heading3"/>
      </w:pPr>
      <w:r w:rsidRPr="00205340">
        <w:t xml:space="preserve">Haemophilia </w:t>
      </w:r>
      <w:r w:rsidR="00650B8D" w:rsidRPr="00205340">
        <w:t xml:space="preserve">A and </w:t>
      </w:r>
      <w:r w:rsidRPr="00205340">
        <w:t>B</w:t>
      </w:r>
      <w:r w:rsidR="00650B8D" w:rsidRPr="00205340">
        <w:t xml:space="preserve"> combined</w:t>
      </w:r>
    </w:p>
    <w:p w14:paraId="0D263ABC" w14:textId="1DC1F055" w:rsidR="006E0A71" w:rsidRPr="00205340" w:rsidRDefault="00AD1716" w:rsidP="00135F99">
      <w:r w:rsidRPr="00205340">
        <w:t xml:space="preserve">The pooled </w:t>
      </w:r>
      <w:r w:rsidR="00210AC2" w:rsidRPr="00205340">
        <w:t xml:space="preserve">adverse events </w:t>
      </w:r>
      <w:r w:rsidRPr="00205340">
        <w:t xml:space="preserve">observed </w:t>
      </w:r>
      <w:r w:rsidR="00A13F0E" w:rsidRPr="00205340">
        <w:t>for HMA and HMB</w:t>
      </w:r>
      <w:r w:rsidRPr="00205340">
        <w:t xml:space="preserve">, </w:t>
      </w:r>
      <w:r w:rsidR="00A26C5D" w:rsidRPr="00205340">
        <w:t>occurr</w:t>
      </w:r>
      <w:r w:rsidRPr="00205340">
        <w:t>ing</w:t>
      </w:r>
      <w:r w:rsidR="00A26C5D" w:rsidRPr="00205340">
        <w:t xml:space="preserve"> </w:t>
      </w:r>
      <w:r w:rsidR="0038512A" w:rsidRPr="00205340">
        <w:t xml:space="preserve">during the factor prophylaxis and active marstacimab treatment phases </w:t>
      </w:r>
      <w:r w:rsidR="00210AC2" w:rsidRPr="00205340">
        <w:t>in the BASIS trial</w:t>
      </w:r>
      <w:r w:rsidRPr="00205340">
        <w:t>,</w:t>
      </w:r>
      <w:r w:rsidR="00A26C5D" w:rsidRPr="00205340">
        <w:t xml:space="preserve"> </w:t>
      </w:r>
      <w:r w:rsidR="00EC06E7" w:rsidRPr="00205340">
        <w:t xml:space="preserve">are </w:t>
      </w:r>
      <w:r w:rsidRPr="00205340">
        <w:t>given</w:t>
      </w:r>
      <w:r w:rsidR="00A26C5D" w:rsidRPr="00205340">
        <w:t xml:space="preserve"> in</w:t>
      </w:r>
      <w:r w:rsidR="002C5B86" w:rsidRPr="00205340">
        <w:t xml:space="preserve"> </w:t>
      </w:r>
      <w:r w:rsidR="002C5B86" w:rsidRPr="00205340">
        <w:fldChar w:fldCharType="begin" w:fldLock="1"/>
      </w:r>
      <w:r w:rsidR="002C5B86" w:rsidRPr="00205340">
        <w:instrText xml:space="preserve"> REF _Ref215002544 \h </w:instrText>
      </w:r>
      <w:r w:rsidR="00205340">
        <w:instrText xml:space="preserve"> \* MERGEFORMAT </w:instrText>
      </w:r>
      <w:r w:rsidR="002C5B86" w:rsidRPr="00205340">
        <w:fldChar w:fldCharType="separate"/>
      </w:r>
      <w:r w:rsidR="002C5B86" w:rsidRPr="00205340">
        <w:t xml:space="preserve">Table </w:t>
      </w:r>
      <w:r w:rsidR="002C5B86" w:rsidRPr="00205340">
        <w:rPr>
          <w:noProof/>
        </w:rPr>
        <w:t>4</w:t>
      </w:r>
      <w:r w:rsidR="002C5B86" w:rsidRPr="00205340">
        <w:fldChar w:fldCharType="end"/>
      </w:r>
      <w:r w:rsidR="00EC06E7" w:rsidRPr="00205340">
        <w:t xml:space="preserve">. </w:t>
      </w:r>
    </w:p>
    <w:p w14:paraId="2236A095" w14:textId="4FB874E0" w:rsidR="006A5A7D" w:rsidRPr="00205340" w:rsidRDefault="00210AC2" w:rsidP="00210AC2">
      <w:pPr>
        <w:pStyle w:val="Caption"/>
        <w:rPr>
          <w:rFonts w:cstheme="minorHAnsi"/>
          <w:b w:val="0"/>
          <w:bCs w:val="0"/>
        </w:rPr>
      </w:pPr>
      <w:bookmarkStart w:id="29" w:name="_Ref215002544"/>
      <w:r w:rsidRPr="00205340">
        <w:t xml:space="preserve">Table </w:t>
      </w:r>
      <w:fldSimple w:instr=" SEQ Table \* ARABIC ">
        <w:r w:rsidR="002C6A9B" w:rsidRPr="00205340">
          <w:rPr>
            <w:noProof/>
          </w:rPr>
          <w:t>4</w:t>
        </w:r>
      </w:fldSimple>
      <w:bookmarkEnd w:id="29"/>
      <w:r w:rsidRPr="00205340">
        <w:tab/>
      </w:r>
      <w:r w:rsidR="006A5A7D" w:rsidRPr="00205340">
        <w:rPr>
          <w:rFonts w:cstheme="minorHAnsi"/>
        </w:rPr>
        <w:t>Summary of all-caus</w:t>
      </w:r>
      <w:r w:rsidR="005161FB" w:rsidRPr="00205340">
        <w:rPr>
          <w:rFonts w:cstheme="minorHAnsi"/>
        </w:rPr>
        <w:t>e</w:t>
      </w:r>
      <w:r w:rsidR="006A5A7D" w:rsidRPr="00205340">
        <w:rPr>
          <w:rFonts w:cstheme="minorHAnsi"/>
        </w:rPr>
        <w:t xml:space="preserve"> AEs in BASIS </w:t>
      </w:r>
      <w:r w:rsidR="00D02393" w:rsidRPr="00205340">
        <w:rPr>
          <w:rFonts w:cstheme="minorHAnsi"/>
        </w:rPr>
        <w:t>trial, pooled for HMA and HMB</w:t>
      </w:r>
      <w:r w:rsidR="002222ED" w:rsidRPr="00205340">
        <w:rPr>
          <w:rFonts w:cstheme="minorHAnsi"/>
        </w:rPr>
        <w:t xml:space="preserve"> non-inhibitor cohort</w:t>
      </w:r>
      <w:r w:rsidR="00D02393" w:rsidRPr="00205340">
        <w:rPr>
          <w:rFonts w:cstheme="minorHAnsi"/>
        </w:rPr>
        <w:t xml:space="preserve">, </w:t>
      </w:r>
      <w:r w:rsidR="006A5A7D" w:rsidRPr="00205340">
        <w:rPr>
          <w:rFonts w:cstheme="minorHAnsi"/>
        </w:rPr>
        <w:t>by age group, All Safety Set</w:t>
      </w:r>
    </w:p>
    <w:tbl>
      <w:tblPr>
        <w:tblW w:w="5000" w:type="pct"/>
        <w:tblCellMar>
          <w:left w:w="0" w:type="dxa"/>
          <w:right w:w="0" w:type="dxa"/>
        </w:tblCellMar>
        <w:tblLook w:val="01E0" w:firstRow="1" w:lastRow="1" w:firstColumn="1" w:lastColumn="1" w:noHBand="0" w:noVBand="0"/>
      </w:tblPr>
      <w:tblGrid>
        <w:gridCol w:w="1845"/>
        <w:gridCol w:w="1197"/>
        <w:gridCol w:w="1195"/>
        <w:gridCol w:w="1195"/>
        <w:gridCol w:w="1195"/>
        <w:gridCol w:w="1195"/>
        <w:gridCol w:w="1190"/>
      </w:tblGrid>
      <w:tr w:rsidR="0065629D" w:rsidRPr="00205340" w14:paraId="7D6663EF" w14:textId="77777777" w:rsidTr="003B473C">
        <w:trPr>
          <w:trHeight w:val="20"/>
          <w:tblHeader/>
        </w:trPr>
        <w:tc>
          <w:tcPr>
            <w:tcW w:w="1024" w:type="pct"/>
            <w:vMerge w:val="restart"/>
            <w:tcBorders>
              <w:top w:val="single" w:sz="4" w:space="0" w:color="auto"/>
              <w:left w:val="single" w:sz="6" w:space="0" w:color="000000"/>
              <w:right w:val="single" w:sz="6" w:space="0" w:color="000000"/>
            </w:tcBorders>
            <w:shd w:val="clear" w:color="auto" w:fill="D9D9D9" w:themeFill="background1" w:themeFillShade="D9"/>
            <w:vAlign w:val="bottom"/>
          </w:tcPr>
          <w:p w14:paraId="24BB3DC9" w14:textId="77777777" w:rsidR="006A5A7D" w:rsidRPr="00205340" w:rsidRDefault="006A5A7D">
            <w:pPr>
              <w:keepNext/>
              <w:keepLines/>
              <w:spacing w:before="60" w:after="60" w:line="240" w:lineRule="auto"/>
              <w:ind w:firstLine="45"/>
              <w:rPr>
                <w:rFonts w:ascii="Arial Narrow" w:hAnsi="Arial Narrow" w:cstheme="minorHAnsi"/>
                <w:b/>
                <w:bCs/>
                <w:sz w:val="20"/>
                <w:szCs w:val="20"/>
                <w:vertAlign w:val="superscript"/>
              </w:rPr>
            </w:pPr>
            <w:r w:rsidRPr="00205340">
              <w:rPr>
                <w:rFonts w:ascii="Arial Narrow" w:hAnsi="Arial Narrow" w:cstheme="minorHAnsi"/>
                <w:b/>
                <w:bCs/>
                <w:sz w:val="20"/>
                <w:szCs w:val="20"/>
              </w:rPr>
              <w:t>n</w:t>
            </w:r>
            <w:r w:rsidRPr="00205340">
              <w:rPr>
                <w:rFonts w:ascii="Arial Narrow" w:hAnsi="Arial Narrow" w:cstheme="minorHAnsi"/>
                <w:b/>
                <w:bCs/>
                <w:sz w:val="20"/>
                <w:szCs w:val="20"/>
                <w:vertAlign w:val="superscript"/>
              </w:rPr>
              <w:t>1</w:t>
            </w:r>
          </w:p>
        </w:tc>
        <w:tc>
          <w:tcPr>
            <w:tcW w:w="1327" w:type="pct"/>
            <w:gridSpan w:val="2"/>
            <w:tcBorders>
              <w:top w:val="single" w:sz="5" w:space="0" w:color="000000"/>
              <w:left w:val="single" w:sz="6" w:space="0" w:color="000000"/>
              <w:bottom w:val="single" w:sz="6" w:space="0" w:color="000000"/>
              <w:right w:val="single" w:sz="5" w:space="0" w:color="000000"/>
            </w:tcBorders>
            <w:shd w:val="clear" w:color="auto" w:fill="D9D9D9"/>
          </w:tcPr>
          <w:p w14:paraId="3E3E1E86" w14:textId="77777777" w:rsidR="006A5A7D" w:rsidRPr="00205340" w:rsidRDefault="006A5A7D">
            <w:pPr>
              <w:keepNext/>
              <w:keepLines/>
              <w:spacing w:before="60" w:after="60" w:line="240" w:lineRule="auto"/>
              <w:ind w:firstLine="45"/>
              <w:jc w:val="center"/>
              <w:rPr>
                <w:rFonts w:ascii="Arial Narrow" w:hAnsi="Arial Narrow" w:cstheme="minorHAnsi"/>
                <w:b/>
                <w:bCs/>
                <w:sz w:val="20"/>
                <w:szCs w:val="20"/>
              </w:rPr>
            </w:pPr>
            <w:r w:rsidRPr="00205340">
              <w:rPr>
                <w:rFonts w:ascii="Arial Narrow" w:hAnsi="Arial Narrow" w:cstheme="minorHAnsi"/>
                <w:b/>
                <w:bCs/>
                <w:sz w:val="20"/>
                <w:szCs w:val="20"/>
              </w:rPr>
              <w:t>Adults (18 to &lt;75 yrs)</w:t>
            </w:r>
          </w:p>
        </w:tc>
        <w:tc>
          <w:tcPr>
            <w:tcW w:w="1326" w:type="pct"/>
            <w:gridSpan w:val="2"/>
            <w:tcBorders>
              <w:top w:val="single" w:sz="5" w:space="0" w:color="000000"/>
              <w:left w:val="single" w:sz="5" w:space="0" w:color="000000"/>
              <w:bottom w:val="single" w:sz="6" w:space="0" w:color="000000"/>
              <w:right w:val="single" w:sz="5" w:space="0" w:color="000000"/>
            </w:tcBorders>
            <w:shd w:val="clear" w:color="auto" w:fill="D9D9D9"/>
          </w:tcPr>
          <w:p w14:paraId="7025DC59" w14:textId="77777777" w:rsidR="006A5A7D" w:rsidRPr="00205340" w:rsidRDefault="006A5A7D">
            <w:pPr>
              <w:keepNext/>
              <w:keepLines/>
              <w:spacing w:before="60" w:after="60" w:line="240" w:lineRule="auto"/>
              <w:ind w:firstLine="45"/>
              <w:jc w:val="center"/>
              <w:rPr>
                <w:rFonts w:ascii="Arial Narrow" w:hAnsi="Arial Narrow" w:cstheme="minorHAnsi"/>
                <w:b/>
                <w:bCs/>
                <w:sz w:val="20"/>
                <w:szCs w:val="20"/>
              </w:rPr>
            </w:pPr>
            <w:r w:rsidRPr="00205340">
              <w:rPr>
                <w:rFonts w:ascii="Arial Narrow" w:hAnsi="Arial Narrow" w:cstheme="minorHAnsi"/>
                <w:b/>
                <w:bCs/>
                <w:sz w:val="20"/>
                <w:szCs w:val="20"/>
              </w:rPr>
              <w:t>Adolescents (12 to &lt;18 yrs)</w:t>
            </w:r>
          </w:p>
        </w:tc>
        <w:tc>
          <w:tcPr>
            <w:tcW w:w="1324" w:type="pct"/>
            <w:gridSpan w:val="2"/>
            <w:tcBorders>
              <w:top w:val="single" w:sz="5" w:space="0" w:color="000000"/>
              <w:left w:val="single" w:sz="5" w:space="0" w:color="000000"/>
              <w:bottom w:val="single" w:sz="6" w:space="0" w:color="000000"/>
              <w:right w:val="single" w:sz="5" w:space="0" w:color="000000"/>
            </w:tcBorders>
            <w:shd w:val="clear" w:color="auto" w:fill="D9D9D9"/>
          </w:tcPr>
          <w:p w14:paraId="7783266F" w14:textId="77777777" w:rsidR="006A5A7D" w:rsidRPr="00205340" w:rsidRDefault="006A5A7D">
            <w:pPr>
              <w:keepNext/>
              <w:keepLines/>
              <w:spacing w:before="60" w:after="60" w:line="240" w:lineRule="auto"/>
              <w:ind w:firstLine="45"/>
              <w:jc w:val="center"/>
              <w:rPr>
                <w:rFonts w:ascii="Arial Narrow" w:hAnsi="Arial Narrow" w:cstheme="minorHAnsi"/>
                <w:b/>
                <w:bCs/>
                <w:sz w:val="20"/>
                <w:szCs w:val="20"/>
              </w:rPr>
            </w:pPr>
            <w:r w:rsidRPr="00205340">
              <w:rPr>
                <w:rFonts w:ascii="Arial Narrow" w:hAnsi="Arial Narrow" w:cstheme="minorHAnsi"/>
                <w:b/>
                <w:bCs/>
                <w:sz w:val="20"/>
                <w:szCs w:val="20"/>
              </w:rPr>
              <w:t>All</w:t>
            </w:r>
          </w:p>
        </w:tc>
      </w:tr>
      <w:tr w:rsidR="0010559C" w:rsidRPr="00205340" w14:paraId="1C5AE7B9" w14:textId="77777777" w:rsidTr="003B473C">
        <w:trPr>
          <w:trHeight w:val="20"/>
          <w:tblHeader/>
        </w:trPr>
        <w:tc>
          <w:tcPr>
            <w:tcW w:w="1024" w:type="pct"/>
            <w:vMerge/>
            <w:tcBorders>
              <w:left w:val="single" w:sz="6" w:space="0" w:color="000000"/>
              <w:right w:val="single" w:sz="6" w:space="0" w:color="000000"/>
            </w:tcBorders>
            <w:shd w:val="clear" w:color="auto" w:fill="D9D9D9" w:themeFill="background1" w:themeFillShade="D9"/>
          </w:tcPr>
          <w:p w14:paraId="5C14D284" w14:textId="77777777" w:rsidR="006A5A7D" w:rsidRPr="00205340" w:rsidRDefault="006A5A7D">
            <w:pPr>
              <w:keepNext/>
              <w:keepLines/>
              <w:spacing w:before="60" w:after="60" w:line="240" w:lineRule="auto"/>
              <w:ind w:firstLine="45"/>
              <w:rPr>
                <w:rFonts w:ascii="Arial Narrow" w:hAnsi="Arial Narrow" w:cstheme="minorHAnsi"/>
                <w:b/>
                <w:bCs/>
                <w:sz w:val="20"/>
                <w:szCs w:val="20"/>
              </w:rPr>
            </w:pPr>
          </w:p>
        </w:tc>
        <w:tc>
          <w:tcPr>
            <w:tcW w:w="664" w:type="pct"/>
            <w:tcBorders>
              <w:top w:val="single" w:sz="5" w:space="0" w:color="000000"/>
              <w:left w:val="single" w:sz="6" w:space="0" w:color="000000"/>
              <w:bottom w:val="single" w:sz="6" w:space="0" w:color="000000"/>
              <w:right w:val="single" w:sz="5" w:space="0" w:color="000000"/>
            </w:tcBorders>
            <w:shd w:val="clear" w:color="auto" w:fill="D9D9D9"/>
          </w:tcPr>
          <w:p w14:paraId="25DCF430" w14:textId="680B5DF5" w:rsidR="006A5A7D" w:rsidRPr="00205340" w:rsidRDefault="006A5A7D">
            <w:pPr>
              <w:keepNext/>
              <w:keepLines/>
              <w:spacing w:before="60" w:after="60" w:line="240" w:lineRule="auto"/>
              <w:ind w:firstLine="45"/>
              <w:jc w:val="center"/>
              <w:rPr>
                <w:rFonts w:ascii="Arial Narrow" w:hAnsi="Arial Narrow" w:cstheme="minorHAnsi"/>
                <w:b/>
                <w:bCs/>
                <w:sz w:val="20"/>
                <w:szCs w:val="20"/>
              </w:rPr>
            </w:pPr>
            <w:r w:rsidRPr="00205340">
              <w:rPr>
                <w:rFonts w:ascii="Arial Narrow" w:hAnsi="Arial Narrow" w:cstheme="minorHAnsi"/>
                <w:b/>
                <w:bCs/>
                <w:sz w:val="20"/>
                <w:szCs w:val="20"/>
              </w:rPr>
              <w:t>OP</w:t>
            </w:r>
            <w:r w:rsidR="00EA3C6D" w:rsidRPr="00205340">
              <w:rPr>
                <w:rFonts w:ascii="Arial Narrow" w:hAnsi="Arial Narrow" w:cstheme="minorHAnsi"/>
                <w:b/>
                <w:bCs/>
                <w:sz w:val="20"/>
                <w:szCs w:val="20"/>
              </w:rPr>
              <w:t xml:space="preserve"> (factor prophylaxis)</w:t>
            </w:r>
          </w:p>
          <w:p w14:paraId="28908DEF" w14:textId="77777777" w:rsidR="006A5A7D" w:rsidRPr="00205340" w:rsidRDefault="006A5A7D">
            <w:pPr>
              <w:keepNext/>
              <w:keepLines/>
              <w:spacing w:before="60" w:after="60" w:line="240" w:lineRule="auto"/>
              <w:ind w:firstLine="45"/>
              <w:jc w:val="center"/>
              <w:rPr>
                <w:rFonts w:ascii="Arial Narrow" w:hAnsi="Arial Narrow" w:cstheme="minorHAnsi"/>
                <w:b/>
                <w:bCs/>
                <w:sz w:val="20"/>
                <w:szCs w:val="20"/>
              </w:rPr>
            </w:pPr>
            <w:r w:rsidRPr="00205340">
              <w:rPr>
                <w:rFonts w:ascii="Arial Narrow" w:hAnsi="Arial Narrow" w:cstheme="minorHAnsi"/>
                <w:b/>
                <w:bCs/>
                <w:sz w:val="20"/>
                <w:szCs w:val="20"/>
              </w:rPr>
              <w:t>N=73</w:t>
            </w:r>
          </w:p>
        </w:tc>
        <w:tc>
          <w:tcPr>
            <w:tcW w:w="663" w:type="pct"/>
            <w:tcBorders>
              <w:top w:val="single" w:sz="5" w:space="0" w:color="000000"/>
              <w:left w:val="single" w:sz="5" w:space="0" w:color="000000"/>
              <w:bottom w:val="single" w:sz="6" w:space="0" w:color="000000"/>
              <w:right w:val="single" w:sz="5" w:space="0" w:color="000000"/>
            </w:tcBorders>
            <w:shd w:val="clear" w:color="auto" w:fill="D9D9D9"/>
          </w:tcPr>
          <w:p w14:paraId="4CA1E204" w14:textId="57FB9C80" w:rsidR="006A5A7D" w:rsidRPr="00205340" w:rsidRDefault="006A5A7D">
            <w:pPr>
              <w:keepNext/>
              <w:keepLines/>
              <w:spacing w:before="60" w:after="60" w:line="240" w:lineRule="auto"/>
              <w:ind w:firstLine="45"/>
              <w:jc w:val="center"/>
              <w:rPr>
                <w:rFonts w:ascii="Arial Narrow" w:hAnsi="Arial Narrow" w:cstheme="minorHAnsi"/>
                <w:b/>
                <w:bCs/>
                <w:sz w:val="20"/>
                <w:szCs w:val="20"/>
              </w:rPr>
            </w:pPr>
            <w:r w:rsidRPr="00205340">
              <w:rPr>
                <w:rFonts w:ascii="Arial Narrow" w:hAnsi="Arial Narrow" w:cstheme="minorHAnsi"/>
                <w:b/>
                <w:bCs/>
                <w:sz w:val="20"/>
                <w:szCs w:val="20"/>
              </w:rPr>
              <w:t>ATP</w:t>
            </w:r>
            <w:r w:rsidR="00EA3C6D" w:rsidRPr="00205340">
              <w:rPr>
                <w:rFonts w:ascii="Arial Narrow" w:hAnsi="Arial Narrow" w:cstheme="minorHAnsi"/>
                <w:b/>
                <w:bCs/>
                <w:sz w:val="20"/>
                <w:szCs w:val="20"/>
              </w:rPr>
              <w:t xml:space="preserve"> (marstacimab)</w:t>
            </w:r>
          </w:p>
          <w:p w14:paraId="79688546" w14:textId="77777777" w:rsidR="006A5A7D" w:rsidRPr="00205340" w:rsidRDefault="006A5A7D">
            <w:pPr>
              <w:keepNext/>
              <w:keepLines/>
              <w:spacing w:before="60" w:after="60" w:line="240" w:lineRule="auto"/>
              <w:ind w:firstLine="45"/>
              <w:jc w:val="center"/>
              <w:rPr>
                <w:rFonts w:ascii="Arial Narrow" w:hAnsi="Arial Narrow" w:cstheme="minorHAnsi"/>
                <w:b/>
                <w:bCs/>
                <w:sz w:val="20"/>
                <w:szCs w:val="20"/>
              </w:rPr>
            </w:pPr>
            <w:r w:rsidRPr="00205340">
              <w:rPr>
                <w:rFonts w:ascii="Arial Narrow" w:hAnsi="Arial Narrow" w:cstheme="minorHAnsi"/>
                <w:b/>
                <w:bCs/>
                <w:sz w:val="20"/>
                <w:szCs w:val="20"/>
              </w:rPr>
              <w:t>N=66</w:t>
            </w:r>
          </w:p>
        </w:tc>
        <w:tc>
          <w:tcPr>
            <w:tcW w:w="663" w:type="pct"/>
            <w:tcBorders>
              <w:top w:val="single" w:sz="5" w:space="0" w:color="000000"/>
              <w:left w:val="single" w:sz="5" w:space="0" w:color="000000"/>
              <w:bottom w:val="single" w:sz="6" w:space="0" w:color="000000"/>
              <w:right w:val="single" w:sz="5" w:space="0" w:color="000000"/>
            </w:tcBorders>
            <w:shd w:val="clear" w:color="auto" w:fill="D9D9D9"/>
          </w:tcPr>
          <w:p w14:paraId="39CDB5C2" w14:textId="6E907C42" w:rsidR="006A5A7D" w:rsidRPr="00205340" w:rsidRDefault="006A5A7D">
            <w:pPr>
              <w:keepNext/>
              <w:keepLines/>
              <w:spacing w:before="60" w:after="60" w:line="240" w:lineRule="auto"/>
              <w:ind w:firstLine="45"/>
              <w:jc w:val="center"/>
              <w:rPr>
                <w:rFonts w:ascii="Arial Narrow" w:hAnsi="Arial Narrow" w:cstheme="minorHAnsi"/>
                <w:b/>
                <w:bCs/>
                <w:sz w:val="20"/>
                <w:szCs w:val="20"/>
              </w:rPr>
            </w:pPr>
            <w:r w:rsidRPr="00205340">
              <w:rPr>
                <w:rFonts w:ascii="Arial Narrow" w:hAnsi="Arial Narrow" w:cstheme="minorHAnsi"/>
                <w:b/>
                <w:bCs/>
                <w:sz w:val="20"/>
                <w:szCs w:val="20"/>
              </w:rPr>
              <w:t>OP</w:t>
            </w:r>
            <w:r w:rsidR="00EA3C6D" w:rsidRPr="00205340">
              <w:rPr>
                <w:rFonts w:ascii="Arial Narrow" w:hAnsi="Arial Narrow" w:cstheme="minorHAnsi"/>
                <w:b/>
                <w:bCs/>
                <w:sz w:val="20"/>
                <w:szCs w:val="20"/>
              </w:rPr>
              <w:t xml:space="preserve"> (factor prophylaxis)</w:t>
            </w:r>
          </w:p>
          <w:p w14:paraId="23C29989" w14:textId="77777777" w:rsidR="006A5A7D" w:rsidRPr="00205340" w:rsidRDefault="006A5A7D">
            <w:pPr>
              <w:keepNext/>
              <w:keepLines/>
              <w:spacing w:before="60" w:after="60" w:line="240" w:lineRule="auto"/>
              <w:ind w:firstLine="45"/>
              <w:jc w:val="center"/>
              <w:rPr>
                <w:rFonts w:ascii="Arial Narrow" w:hAnsi="Arial Narrow" w:cstheme="minorHAnsi"/>
                <w:b/>
                <w:bCs/>
                <w:sz w:val="20"/>
                <w:szCs w:val="20"/>
              </w:rPr>
            </w:pPr>
            <w:r w:rsidRPr="00205340">
              <w:rPr>
                <w:rFonts w:ascii="Arial Narrow" w:hAnsi="Arial Narrow" w:cstheme="minorHAnsi"/>
                <w:b/>
                <w:bCs/>
                <w:sz w:val="20"/>
                <w:szCs w:val="20"/>
              </w:rPr>
              <w:t>N=18</w:t>
            </w:r>
          </w:p>
        </w:tc>
        <w:tc>
          <w:tcPr>
            <w:tcW w:w="663" w:type="pct"/>
            <w:tcBorders>
              <w:top w:val="single" w:sz="5" w:space="0" w:color="000000"/>
              <w:left w:val="single" w:sz="5" w:space="0" w:color="000000"/>
              <w:bottom w:val="single" w:sz="6" w:space="0" w:color="000000"/>
              <w:right w:val="single" w:sz="5" w:space="0" w:color="000000"/>
            </w:tcBorders>
            <w:shd w:val="clear" w:color="auto" w:fill="D9D9D9"/>
          </w:tcPr>
          <w:p w14:paraId="7B88F03D" w14:textId="7CB48A99" w:rsidR="006A5A7D" w:rsidRPr="00205340" w:rsidRDefault="006A5A7D">
            <w:pPr>
              <w:keepNext/>
              <w:keepLines/>
              <w:spacing w:before="60" w:after="60" w:line="240" w:lineRule="auto"/>
              <w:ind w:firstLine="45"/>
              <w:jc w:val="center"/>
              <w:rPr>
                <w:rFonts w:ascii="Arial Narrow" w:hAnsi="Arial Narrow" w:cstheme="minorHAnsi"/>
                <w:b/>
                <w:bCs/>
                <w:sz w:val="20"/>
                <w:szCs w:val="20"/>
              </w:rPr>
            </w:pPr>
            <w:r w:rsidRPr="00205340">
              <w:rPr>
                <w:rFonts w:ascii="Arial Narrow" w:hAnsi="Arial Narrow" w:cstheme="minorHAnsi"/>
                <w:b/>
                <w:bCs/>
                <w:sz w:val="20"/>
                <w:szCs w:val="20"/>
              </w:rPr>
              <w:t>ATP</w:t>
            </w:r>
            <w:r w:rsidR="00EA3C6D" w:rsidRPr="00205340">
              <w:rPr>
                <w:rFonts w:ascii="Arial Narrow" w:hAnsi="Arial Narrow" w:cstheme="minorHAnsi"/>
                <w:b/>
                <w:bCs/>
                <w:sz w:val="20"/>
                <w:szCs w:val="20"/>
              </w:rPr>
              <w:t xml:space="preserve"> (marstacimab)</w:t>
            </w:r>
          </w:p>
          <w:p w14:paraId="4F753B56" w14:textId="77777777" w:rsidR="006A5A7D" w:rsidRPr="00205340" w:rsidRDefault="006A5A7D">
            <w:pPr>
              <w:keepNext/>
              <w:keepLines/>
              <w:spacing w:before="60" w:after="60" w:line="240" w:lineRule="auto"/>
              <w:ind w:firstLine="45"/>
              <w:jc w:val="center"/>
              <w:rPr>
                <w:rFonts w:ascii="Arial Narrow" w:hAnsi="Arial Narrow" w:cstheme="minorHAnsi"/>
                <w:b/>
                <w:bCs/>
                <w:sz w:val="20"/>
                <w:szCs w:val="20"/>
              </w:rPr>
            </w:pPr>
            <w:r w:rsidRPr="00205340">
              <w:rPr>
                <w:rFonts w:ascii="Arial Narrow" w:hAnsi="Arial Narrow" w:cstheme="minorHAnsi"/>
                <w:b/>
                <w:bCs/>
                <w:sz w:val="20"/>
                <w:szCs w:val="20"/>
              </w:rPr>
              <w:t>N=17</w:t>
            </w:r>
          </w:p>
        </w:tc>
        <w:tc>
          <w:tcPr>
            <w:tcW w:w="663" w:type="pct"/>
            <w:tcBorders>
              <w:top w:val="single" w:sz="5" w:space="0" w:color="000000"/>
              <w:left w:val="single" w:sz="5" w:space="0" w:color="000000"/>
              <w:bottom w:val="single" w:sz="6" w:space="0" w:color="000000"/>
              <w:right w:val="single" w:sz="5" w:space="0" w:color="000000"/>
            </w:tcBorders>
            <w:shd w:val="clear" w:color="auto" w:fill="D9D9D9"/>
          </w:tcPr>
          <w:p w14:paraId="5F7230BA" w14:textId="47ED05DB" w:rsidR="006A5A7D" w:rsidRPr="00205340" w:rsidRDefault="006A5A7D">
            <w:pPr>
              <w:keepNext/>
              <w:keepLines/>
              <w:spacing w:before="60" w:after="60" w:line="240" w:lineRule="auto"/>
              <w:ind w:firstLine="45"/>
              <w:jc w:val="center"/>
              <w:rPr>
                <w:rFonts w:ascii="Arial Narrow" w:hAnsi="Arial Narrow" w:cstheme="minorHAnsi"/>
                <w:b/>
                <w:bCs/>
                <w:sz w:val="20"/>
                <w:szCs w:val="20"/>
              </w:rPr>
            </w:pPr>
            <w:r w:rsidRPr="00205340">
              <w:rPr>
                <w:rFonts w:ascii="Arial Narrow" w:hAnsi="Arial Narrow" w:cstheme="minorHAnsi"/>
                <w:b/>
                <w:bCs/>
                <w:sz w:val="20"/>
                <w:szCs w:val="20"/>
              </w:rPr>
              <w:t>OP</w:t>
            </w:r>
            <w:r w:rsidR="00EA3C6D" w:rsidRPr="00205340">
              <w:rPr>
                <w:rFonts w:ascii="Arial Narrow" w:hAnsi="Arial Narrow" w:cstheme="minorHAnsi"/>
                <w:b/>
                <w:bCs/>
                <w:sz w:val="20"/>
                <w:szCs w:val="20"/>
              </w:rPr>
              <w:t xml:space="preserve"> (factor prophylaxis)</w:t>
            </w:r>
          </w:p>
          <w:p w14:paraId="3AC42B48" w14:textId="77777777" w:rsidR="006A5A7D" w:rsidRPr="00205340" w:rsidRDefault="006A5A7D">
            <w:pPr>
              <w:keepNext/>
              <w:keepLines/>
              <w:spacing w:before="60" w:after="60" w:line="240" w:lineRule="auto"/>
              <w:ind w:firstLine="45"/>
              <w:jc w:val="center"/>
              <w:rPr>
                <w:rFonts w:ascii="Arial Narrow" w:hAnsi="Arial Narrow" w:cstheme="minorHAnsi"/>
                <w:b/>
                <w:bCs/>
                <w:sz w:val="20"/>
                <w:szCs w:val="20"/>
              </w:rPr>
            </w:pPr>
            <w:r w:rsidRPr="00205340">
              <w:rPr>
                <w:rFonts w:ascii="Arial Narrow" w:hAnsi="Arial Narrow" w:cstheme="minorHAnsi"/>
                <w:b/>
                <w:bCs/>
                <w:sz w:val="20"/>
                <w:szCs w:val="20"/>
              </w:rPr>
              <w:t>N=91</w:t>
            </w:r>
          </w:p>
        </w:tc>
        <w:tc>
          <w:tcPr>
            <w:tcW w:w="661" w:type="pct"/>
            <w:tcBorders>
              <w:top w:val="single" w:sz="5" w:space="0" w:color="000000"/>
              <w:left w:val="single" w:sz="5" w:space="0" w:color="000000"/>
              <w:bottom w:val="single" w:sz="6" w:space="0" w:color="000000"/>
              <w:right w:val="single" w:sz="5" w:space="0" w:color="000000"/>
            </w:tcBorders>
            <w:shd w:val="clear" w:color="auto" w:fill="D9D9D9"/>
          </w:tcPr>
          <w:p w14:paraId="12BD4F96" w14:textId="14D7F8B7" w:rsidR="006A5A7D" w:rsidRPr="00205340" w:rsidRDefault="006A5A7D">
            <w:pPr>
              <w:keepNext/>
              <w:keepLines/>
              <w:spacing w:before="60" w:after="60" w:line="240" w:lineRule="auto"/>
              <w:ind w:firstLine="45"/>
              <w:jc w:val="center"/>
              <w:rPr>
                <w:rFonts w:ascii="Arial Narrow" w:hAnsi="Arial Narrow" w:cstheme="minorHAnsi"/>
                <w:b/>
                <w:bCs/>
                <w:sz w:val="20"/>
                <w:szCs w:val="20"/>
              </w:rPr>
            </w:pPr>
            <w:r w:rsidRPr="00205340">
              <w:rPr>
                <w:rFonts w:ascii="Arial Narrow" w:hAnsi="Arial Narrow" w:cstheme="minorHAnsi"/>
                <w:b/>
                <w:bCs/>
                <w:sz w:val="20"/>
                <w:szCs w:val="20"/>
              </w:rPr>
              <w:t>ATP</w:t>
            </w:r>
            <w:r w:rsidR="00EA3C6D" w:rsidRPr="00205340">
              <w:rPr>
                <w:rFonts w:ascii="Arial Narrow" w:hAnsi="Arial Narrow" w:cstheme="minorHAnsi"/>
                <w:b/>
                <w:bCs/>
                <w:sz w:val="20"/>
                <w:szCs w:val="20"/>
              </w:rPr>
              <w:t xml:space="preserve"> (marstacimab)</w:t>
            </w:r>
          </w:p>
          <w:p w14:paraId="03A2EC96" w14:textId="77777777" w:rsidR="006A5A7D" w:rsidRPr="00205340" w:rsidRDefault="006A5A7D">
            <w:pPr>
              <w:keepNext/>
              <w:keepLines/>
              <w:spacing w:before="60" w:after="60" w:line="240" w:lineRule="auto"/>
              <w:ind w:firstLine="45"/>
              <w:jc w:val="center"/>
              <w:rPr>
                <w:rFonts w:ascii="Arial Narrow" w:hAnsi="Arial Narrow" w:cstheme="minorHAnsi"/>
                <w:b/>
                <w:bCs/>
                <w:sz w:val="20"/>
                <w:szCs w:val="20"/>
              </w:rPr>
            </w:pPr>
            <w:r w:rsidRPr="00205340">
              <w:rPr>
                <w:rFonts w:ascii="Arial Narrow" w:hAnsi="Arial Narrow" w:cstheme="minorHAnsi"/>
                <w:b/>
                <w:bCs/>
                <w:sz w:val="20"/>
                <w:szCs w:val="20"/>
              </w:rPr>
              <w:t>N=83</w:t>
            </w:r>
          </w:p>
        </w:tc>
      </w:tr>
      <w:tr w:rsidR="0010559C" w:rsidRPr="00205340" w14:paraId="00428BAA" w14:textId="77777777" w:rsidTr="003B473C">
        <w:trPr>
          <w:trHeight w:val="20"/>
        </w:trPr>
        <w:tc>
          <w:tcPr>
            <w:tcW w:w="1024" w:type="pct"/>
            <w:tcBorders>
              <w:top w:val="single" w:sz="6" w:space="0" w:color="000000"/>
              <w:left w:val="single" w:sz="5" w:space="0" w:color="000000"/>
              <w:bottom w:val="single" w:sz="5" w:space="0" w:color="000000"/>
              <w:right w:val="single" w:sz="5" w:space="0" w:color="000000"/>
            </w:tcBorders>
          </w:tcPr>
          <w:p w14:paraId="667864A5" w14:textId="77777777" w:rsidR="006A5A7D" w:rsidRPr="00205340" w:rsidRDefault="006A5A7D">
            <w:pPr>
              <w:pStyle w:val="TableParagraph"/>
              <w:keepNext/>
              <w:keepLines/>
              <w:widowControl/>
              <w:spacing w:before="60" w:after="60"/>
              <w:ind w:left="62" w:right="193"/>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Total AEs</w:t>
            </w:r>
          </w:p>
        </w:tc>
        <w:tc>
          <w:tcPr>
            <w:tcW w:w="664" w:type="pct"/>
            <w:tcBorders>
              <w:top w:val="single" w:sz="6" w:space="0" w:color="000000"/>
              <w:left w:val="single" w:sz="5" w:space="0" w:color="000000"/>
              <w:bottom w:val="single" w:sz="5" w:space="0" w:color="000000"/>
              <w:right w:val="single" w:sz="5" w:space="0" w:color="000000"/>
            </w:tcBorders>
          </w:tcPr>
          <w:p w14:paraId="33B9EFE0"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33</w:t>
            </w:r>
          </w:p>
        </w:tc>
        <w:tc>
          <w:tcPr>
            <w:tcW w:w="663" w:type="pct"/>
            <w:tcBorders>
              <w:top w:val="single" w:sz="6" w:space="0" w:color="000000"/>
              <w:left w:val="single" w:sz="5" w:space="0" w:color="000000"/>
              <w:bottom w:val="single" w:sz="5" w:space="0" w:color="000000"/>
              <w:right w:val="single" w:sz="5" w:space="0" w:color="000000"/>
            </w:tcBorders>
          </w:tcPr>
          <w:p w14:paraId="7F34275B"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226</w:t>
            </w:r>
          </w:p>
        </w:tc>
        <w:tc>
          <w:tcPr>
            <w:tcW w:w="663" w:type="pct"/>
            <w:tcBorders>
              <w:top w:val="single" w:sz="6" w:space="0" w:color="000000"/>
              <w:left w:val="single" w:sz="5" w:space="0" w:color="000000"/>
              <w:bottom w:val="single" w:sz="5" w:space="0" w:color="000000"/>
              <w:right w:val="single" w:sz="5" w:space="0" w:color="000000"/>
            </w:tcBorders>
          </w:tcPr>
          <w:p w14:paraId="0ED6DD1A"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11</w:t>
            </w:r>
          </w:p>
        </w:tc>
        <w:tc>
          <w:tcPr>
            <w:tcW w:w="663" w:type="pct"/>
            <w:tcBorders>
              <w:top w:val="single" w:sz="6" w:space="0" w:color="000000"/>
              <w:left w:val="single" w:sz="5" w:space="0" w:color="000000"/>
              <w:bottom w:val="single" w:sz="5" w:space="0" w:color="000000"/>
              <w:right w:val="single" w:sz="5" w:space="0" w:color="000000"/>
            </w:tcBorders>
          </w:tcPr>
          <w:p w14:paraId="63ECD87A"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36</w:t>
            </w:r>
          </w:p>
        </w:tc>
        <w:tc>
          <w:tcPr>
            <w:tcW w:w="663" w:type="pct"/>
            <w:tcBorders>
              <w:top w:val="single" w:sz="6" w:space="0" w:color="000000"/>
              <w:left w:val="single" w:sz="5" w:space="0" w:color="000000"/>
              <w:bottom w:val="single" w:sz="5" w:space="0" w:color="000000"/>
              <w:right w:val="single" w:sz="5" w:space="0" w:color="000000"/>
            </w:tcBorders>
          </w:tcPr>
          <w:p w14:paraId="1039BCB4"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44</w:t>
            </w:r>
          </w:p>
        </w:tc>
        <w:tc>
          <w:tcPr>
            <w:tcW w:w="661" w:type="pct"/>
            <w:tcBorders>
              <w:top w:val="single" w:sz="6" w:space="0" w:color="000000"/>
              <w:left w:val="single" w:sz="5" w:space="0" w:color="000000"/>
              <w:bottom w:val="single" w:sz="5" w:space="0" w:color="000000"/>
              <w:right w:val="single" w:sz="5" w:space="0" w:color="000000"/>
            </w:tcBorders>
          </w:tcPr>
          <w:p w14:paraId="12090CF3"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262</w:t>
            </w:r>
          </w:p>
        </w:tc>
      </w:tr>
      <w:tr w:rsidR="0010559C" w:rsidRPr="00205340" w14:paraId="39355F6B" w14:textId="77777777" w:rsidTr="003B473C">
        <w:trPr>
          <w:trHeight w:val="20"/>
        </w:trPr>
        <w:tc>
          <w:tcPr>
            <w:tcW w:w="1024" w:type="pct"/>
            <w:tcBorders>
              <w:top w:val="single" w:sz="6" w:space="0" w:color="000000"/>
              <w:left w:val="single" w:sz="5" w:space="0" w:color="000000"/>
              <w:bottom w:val="single" w:sz="5" w:space="0" w:color="000000"/>
              <w:right w:val="single" w:sz="5" w:space="0" w:color="000000"/>
            </w:tcBorders>
          </w:tcPr>
          <w:p w14:paraId="13F4B3E1" w14:textId="77777777" w:rsidR="006A5A7D" w:rsidRPr="00205340" w:rsidRDefault="006A5A7D">
            <w:pPr>
              <w:pStyle w:val="TableParagraph"/>
              <w:keepNext/>
              <w:keepLines/>
              <w:widowControl/>
              <w:spacing w:before="60" w:after="60"/>
              <w:ind w:left="62" w:right="193"/>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AEs</w:t>
            </w:r>
          </w:p>
        </w:tc>
        <w:tc>
          <w:tcPr>
            <w:tcW w:w="664" w:type="pct"/>
            <w:tcBorders>
              <w:top w:val="single" w:sz="6" w:space="0" w:color="000000"/>
              <w:left w:val="single" w:sz="5" w:space="0" w:color="000000"/>
              <w:bottom w:val="single" w:sz="5" w:space="0" w:color="000000"/>
              <w:right w:val="single" w:sz="5" w:space="0" w:color="000000"/>
            </w:tcBorders>
          </w:tcPr>
          <w:p w14:paraId="2DA57E48"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18 (24.7)</w:t>
            </w:r>
          </w:p>
        </w:tc>
        <w:tc>
          <w:tcPr>
            <w:tcW w:w="663" w:type="pct"/>
            <w:tcBorders>
              <w:top w:val="single" w:sz="6" w:space="0" w:color="000000"/>
              <w:left w:val="single" w:sz="5" w:space="0" w:color="000000"/>
              <w:bottom w:val="single" w:sz="5" w:space="0" w:color="000000"/>
              <w:right w:val="single" w:sz="5" w:space="0" w:color="000000"/>
            </w:tcBorders>
          </w:tcPr>
          <w:p w14:paraId="40EA5333"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52 (78.8)</w:t>
            </w:r>
          </w:p>
        </w:tc>
        <w:tc>
          <w:tcPr>
            <w:tcW w:w="663" w:type="pct"/>
            <w:tcBorders>
              <w:top w:val="single" w:sz="6" w:space="0" w:color="000000"/>
              <w:left w:val="single" w:sz="5" w:space="0" w:color="000000"/>
              <w:bottom w:val="single" w:sz="5" w:space="0" w:color="000000"/>
              <w:right w:val="single" w:sz="5" w:space="0" w:color="000000"/>
            </w:tcBorders>
          </w:tcPr>
          <w:p w14:paraId="78869CAC"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7 (38.9)</w:t>
            </w:r>
          </w:p>
        </w:tc>
        <w:tc>
          <w:tcPr>
            <w:tcW w:w="663" w:type="pct"/>
            <w:tcBorders>
              <w:top w:val="single" w:sz="6" w:space="0" w:color="000000"/>
              <w:left w:val="single" w:sz="5" w:space="0" w:color="000000"/>
              <w:bottom w:val="single" w:sz="5" w:space="0" w:color="000000"/>
              <w:right w:val="single" w:sz="5" w:space="0" w:color="000000"/>
            </w:tcBorders>
          </w:tcPr>
          <w:p w14:paraId="5F3567D2"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14 (82.4)</w:t>
            </w:r>
          </w:p>
        </w:tc>
        <w:tc>
          <w:tcPr>
            <w:tcW w:w="663" w:type="pct"/>
            <w:tcBorders>
              <w:top w:val="single" w:sz="6" w:space="0" w:color="000000"/>
              <w:left w:val="single" w:sz="5" w:space="0" w:color="000000"/>
              <w:bottom w:val="single" w:sz="5" w:space="0" w:color="000000"/>
              <w:right w:val="single" w:sz="5" w:space="0" w:color="000000"/>
            </w:tcBorders>
          </w:tcPr>
          <w:p w14:paraId="1EDCCE84"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25 (27.5)</w:t>
            </w:r>
          </w:p>
        </w:tc>
        <w:tc>
          <w:tcPr>
            <w:tcW w:w="661" w:type="pct"/>
            <w:tcBorders>
              <w:top w:val="single" w:sz="6" w:space="0" w:color="000000"/>
              <w:left w:val="single" w:sz="5" w:space="0" w:color="000000"/>
              <w:bottom w:val="single" w:sz="5" w:space="0" w:color="000000"/>
              <w:right w:val="single" w:sz="5" w:space="0" w:color="000000"/>
            </w:tcBorders>
          </w:tcPr>
          <w:p w14:paraId="17EB4EA9"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62 (74.7)</w:t>
            </w:r>
          </w:p>
        </w:tc>
      </w:tr>
      <w:tr w:rsidR="0010559C" w:rsidRPr="00205340" w14:paraId="0315888A" w14:textId="77777777" w:rsidTr="003B473C">
        <w:trPr>
          <w:trHeight w:val="20"/>
        </w:trPr>
        <w:tc>
          <w:tcPr>
            <w:tcW w:w="1024" w:type="pct"/>
            <w:tcBorders>
              <w:top w:val="single" w:sz="6" w:space="0" w:color="000000"/>
              <w:left w:val="single" w:sz="5" w:space="0" w:color="000000"/>
              <w:bottom w:val="single" w:sz="5" w:space="0" w:color="000000"/>
              <w:right w:val="single" w:sz="5" w:space="0" w:color="000000"/>
            </w:tcBorders>
          </w:tcPr>
          <w:p w14:paraId="4F9A6449" w14:textId="77777777" w:rsidR="006A5A7D" w:rsidRPr="00205340" w:rsidRDefault="006A5A7D">
            <w:pPr>
              <w:pStyle w:val="TableParagraph"/>
              <w:keepNext/>
              <w:keepLines/>
              <w:widowControl/>
              <w:spacing w:before="60" w:after="60"/>
              <w:ind w:left="62" w:right="193"/>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Medication errors</w:t>
            </w:r>
          </w:p>
        </w:tc>
        <w:tc>
          <w:tcPr>
            <w:tcW w:w="664" w:type="pct"/>
            <w:tcBorders>
              <w:top w:val="single" w:sz="6" w:space="0" w:color="000000"/>
              <w:left w:val="single" w:sz="5" w:space="0" w:color="000000"/>
              <w:bottom w:val="single" w:sz="5" w:space="0" w:color="000000"/>
              <w:right w:val="single" w:sz="5" w:space="0" w:color="000000"/>
            </w:tcBorders>
          </w:tcPr>
          <w:p w14:paraId="71062B3E"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0</w:t>
            </w:r>
          </w:p>
        </w:tc>
        <w:tc>
          <w:tcPr>
            <w:tcW w:w="663" w:type="pct"/>
            <w:tcBorders>
              <w:top w:val="single" w:sz="6" w:space="0" w:color="000000"/>
              <w:left w:val="single" w:sz="5" w:space="0" w:color="000000"/>
              <w:bottom w:val="single" w:sz="5" w:space="0" w:color="000000"/>
              <w:right w:val="single" w:sz="5" w:space="0" w:color="000000"/>
            </w:tcBorders>
          </w:tcPr>
          <w:p w14:paraId="14B5EADA"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3 (4.5)</w:t>
            </w:r>
          </w:p>
        </w:tc>
        <w:tc>
          <w:tcPr>
            <w:tcW w:w="663" w:type="pct"/>
            <w:tcBorders>
              <w:top w:val="single" w:sz="6" w:space="0" w:color="000000"/>
              <w:left w:val="single" w:sz="5" w:space="0" w:color="000000"/>
              <w:bottom w:val="single" w:sz="5" w:space="0" w:color="000000"/>
              <w:right w:val="single" w:sz="5" w:space="0" w:color="000000"/>
            </w:tcBorders>
          </w:tcPr>
          <w:p w14:paraId="21FF7474"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0</w:t>
            </w:r>
          </w:p>
        </w:tc>
        <w:tc>
          <w:tcPr>
            <w:tcW w:w="663" w:type="pct"/>
            <w:tcBorders>
              <w:top w:val="single" w:sz="6" w:space="0" w:color="000000"/>
              <w:left w:val="single" w:sz="5" w:space="0" w:color="000000"/>
              <w:bottom w:val="single" w:sz="5" w:space="0" w:color="000000"/>
              <w:right w:val="single" w:sz="5" w:space="0" w:color="000000"/>
            </w:tcBorders>
          </w:tcPr>
          <w:p w14:paraId="60235603"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2 (11.8)</w:t>
            </w:r>
          </w:p>
        </w:tc>
        <w:tc>
          <w:tcPr>
            <w:tcW w:w="663" w:type="pct"/>
            <w:tcBorders>
              <w:top w:val="single" w:sz="6" w:space="0" w:color="000000"/>
              <w:left w:val="single" w:sz="5" w:space="0" w:color="000000"/>
              <w:bottom w:val="single" w:sz="5" w:space="0" w:color="000000"/>
              <w:right w:val="single" w:sz="5" w:space="0" w:color="000000"/>
            </w:tcBorders>
          </w:tcPr>
          <w:p w14:paraId="46A7A30E"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0</w:t>
            </w:r>
          </w:p>
        </w:tc>
        <w:tc>
          <w:tcPr>
            <w:tcW w:w="661" w:type="pct"/>
            <w:tcBorders>
              <w:top w:val="single" w:sz="6" w:space="0" w:color="000000"/>
              <w:left w:val="single" w:sz="5" w:space="0" w:color="000000"/>
              <w:bottom w:val="single" w:sz="5" w:space="0" w:color="000000"/>
              <w:right w:val="single" w:sz="5" w:space="0" w:color="000000"/>
            </w:tcBorders>
          </w:tcPr>
          <w:p w14:paraId="2827347E"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5 (6.0)</w:t>
            </w:r>
          </w:p>
        </w:tc>
      </w:tr>
      <w:tr w:rsidR="0010559C" w:rsidRPr="00205340" w14:paraId="20C360C9" w14:textId="77777777" w:rsidTr="003B473C">
        <w:trPr>
          <w:trHeight w:val="20"/>
        </w:trPr>
        <w:tc>
          <w:tcPr>
            <w:tcW w:w="1024" w:type="pct"/>
            <w:tcBorders>
              <w:top w:val="single" w:sz="5" w:space="0" w:color="000000"/>
              <w:left w:val="single" w:sz="5" w:space="0" w:color="000000"/>
              <w:bottom w:val="single" w:sz="5" w:space="0" w:color="000000"/>
              <w:right w:val="single" w:sz="5" w:space="0" w:color="000000"/>
            </w:tcBorders>
          </w:tcPr>
          <w:p w14:paraId="6C23C389" w14:textId="77777777" w:rsidR="006A5A7D" w:rsidRPr="00205340" w:rsidRDefault="006A5A7D">
            <w:pPr>
              <w:pStyle w:val="TableParagraph"/>
              <w:keepNext/>
              <w:keepLines/>
              <w:widowControl/>
              <w:spacing w:before="60" w:after="60"/>
              <w:ind w:left="62" w:right="193"/>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SAEs</w:t>
            </w:r>
          </w:p>
        </w:tc>
        <w:tc>
          <w:tcPr>
            <w:tcW w:w="664" w:type="pct"/>
            <w:tcBorders>
              <w:top w:val="single" w:sz="5" w:space="0" w:color="000000"/>
              <w:left w:val="single" w:sz="5" w:space="0" w:color="000000"/>
              <w:bottom w:val="single" w:sz="5" w:space="0" w:color="000000"/>
              <w:right w:val="single" w:sz="5" w:space="0" w:color="000000"/>
            </w:tcBorders>
          </w:tcPr>
          <w:p w14:paraId="331161D3"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1 (1.4)</w:t>
            </w:r>
          </w:p>
        </w:tc>
        <w:tc>
          <w:tcPr>
            <w:tcW w:w="663" w:type="pct"/>
            <w:tcBorders>
              <w:top w:val="single" w:sz="5" w:space="0" w:color="000000"/>
              <w:left w:val="single" w:sz="5" w:space="0" w:color="000000"/>
              <w:bottom w:val="single" w:sz="5" w:space="0" w:color="000000"/>
              <w:right w:val="single" w:sz="5" w:space="0" w:color="000000"/>
            </w:tcBorders>
          </w:tcPr>
          <w:p w14:paraId="3CE29A38"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6 (9.1)</w:t>
            </w:r>
          </w:p>
        </w:tc>
        <w:tc>
          <w:tcPr>
            <w:tcW w:w="663" w:type="pct"/>
            <w:tcBorders>
              <w:top w:val="single" w:sz="5" w:space="0" w:color="000000"/>
              <w:left w:val="single" w:sz="5" w:space="0" w:color="000000"/>
              <w:bottom w:val="single" w:sz="5" w:space="0" w:color="000000"/>
              <w:right w:val="single" w:sz="5" w:space="0" w:color="000000"/>
            </w:tcBorders>
          </w:tcPr>
          <w:p w14:paraId="5C432385"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1 (5.6)</w:t>
            </w:r>
          </w:p>
        </w:tc>
        <w:tc>
          <w:tcPr>
            <w:tcW w:w="663" w:type="pct"/>
            <w:tcBorders>
              <w:top w:val="single" w:sz="5" w:space="0" w:color="000000"/>
              <w:left w:val="single" w:sz="5" w:space="0" w:color="000000"/>
              <w:bottom w:val="single" w:sz="5" w:space="0" w:color="000000"/>
              <w:right w:val="single" w:sz="5" w:space="0" w:color="000000"/>
            </w:tcBorders>
          </w:tcPr>
          <w:p w14:paraId="16B6829B"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1 (5.9)</w:t>
            </w:r>
          </w:p>
        </w:tc>
        <w:tc>
          <w:tcPr>
            <w:tcW w:w="663" w:type="pct"/>
            <w:tcBorders>
              <w:top w:val="single" w:sz="5" w:space="0" w:color="000000"/>
              <w:left w:val="single" w:sz="5" w:space="0" w:color="000000"/>
              <w:bottom w:val="single" w:sz="5" w:space="0" w:color="000000"/>
              <w:right w:val="single" w:sz="5" w:space="0" w:color="000000"/>
            </w:tcBorders>
          </w:tcPr>
          <w:p w14:paraId="72BD2D40"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1 (2.2)</w:t>
            </w:r>
          </w:p>
        </w:tc>
        <w:tc>
          <w:tcPr>
            <w:tcW w:w="661" w:type="pct"/>
            <w:tcBorders>
              <w:top w:val="single" w:sz="5" w:space="0" w:color="000000"/>
              <w:left w:val="single" w:sz="5" w:space="0" w:color="000000"/>
              <w:bottom w:val="single" w:sz="5" w:space="0" w:color="000000"/>
              <w:right w:val="single" w:sz="5" w:space="0" w:color="000000"/>
            </w:tcBorders>
          </w:tcPr>
          <w:p w14:paraId="5E7DF240"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7 (8.4)</w:t>
            </w:r>
          </w:p>
        </w:tc>
      </w:tr>
      <w:tr w:rsidR="0010559C" w:rsidRPr="00205340" w14:paraId="06DBAC20" w14:textId="77777777" w:rsidTr="003B473C">
        <w:trPr>
          <w:trHeight w:val="20"/>
        </w:trPr>
        <w:tc>
          <w:tcPr>
            <w:tcW w:w="1024" w:type="pct"/>
            <w:tcBorders>
              <w:top w:val="single" w:sz="5" w:space="0" w:color="000000"/>
              <w:left w:val="single" w:sz="5" w:space="0" w:color="000000"/>
              <w:bottom w:val="single" w:sz="5" w:space="0" w:color="000000"/>
              <w:right w:val="single" w:sz="5" w:space="0" w:color="000000"/>
            </w:tcBorders>
          </w:tcPr>
          <w:p w14:paraId="0264C934" w14:textId="77777777" w:rsidR="006A5A7D" w:rsidRPr="00205340" w:rsidRDefault="006A5A7D">
            <w:pPr>
              <w:pStyle w:val="TableParagraph"/>
              <w:keepNext/>
              <w:keepLines/>
              <w:widowControl/>
              <w:spacing w:before="60" w:after="60"/>
              <w:ind w:left="62" w:right="193"/>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Grade 3 AEs</w:t>
            </w:r>
          </w:p>
        </w:tc>
        <w:tc>
          <w:tcPr>
            <w:tcW w:w="664" w:type="pct"/>
            <w:tcBorders>
              <w:top w:val="single" w:sz="5" w:space="0" w:color="000000"/>
              <w:left w:val="single" w:sz="5" w:space="0" w:color="000000"/>
              <w:bottom w:val="single" w:sz="5" w:space="0" w:color="000000"/>
              <w:right w:val="single" w:sz="5" w:space="0" w:color="000000"/>
            </w:tcBorders>
          </w:tcPr>
          <w:p w14:paraId="6F877C9F" w14:textId="6A6F9E92"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 xml:space="preserve">1 </w:t>
            </w:r>
            <w:r w:rsidR="00EA3C6D" w:rsidRPr="00205340">
              <w:rPr>
                <w:rFonts w:ascii="Arial Narrow" w:eastAsia="Arial Narrow" w:hAnsi="Arial Narrow" w:cstheme="minorHAnsi"/>
                <w:sz w:val="20"/>
                <w:szCs w:val="20"/>
                <w:lang w:val="en-AU"/>
              </w:rPr>
              <w:t>(</w:t>
            </w:r>
            <w:r w:rsidRPr="00205340">
              <w:rPr>
                <w:rFonts w:ascii="Arial Narrow" w:eastAsia="Arial Narrow" w:hAnsi="Arial Narrow" w:cstheme="minorHAnsi"/>
                <w:sz w:val="20"/>
                <w:szCs w:val="20"/>
                <w:lang w:val="en-AU"/>
              </w:rPr>
              <w:t>1.4)</w:t>
            </w:r>
          </w:p>
        </w:tc>
        <w:tc>
          <w:tcPr>
            <w:tcW w:w="663" w:type="pct"/>
            <w:tcBorders>
              <w:top w:val="single" w:sz="5" w:space="0" w:color="000000"/>
              <w:left w:val="single" w:sz="5" w:space="0" w:color="000000"/>
              <w:bottom w:val="single" w:sz="5" w:space="0" w:color="000000"/>
              <w:right w:val="single" w:sz="5" w:space="0" w:color="000000"/>
            </w:tcBorders>
          </w:tcPr>
          <w:p w14:paraId="3BC4CA76"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5 (7.6)</w:t>
            </w:r>
          </w:p>
        </w:tc>
        <w:tc>
          <w:tcPr>
            <w:tcW w:w="663" w:type="pct"/>
            <w:tcBorders>
              <w:top w:val="single" w:sz="5" w:space="0" w:color="000000"/>
              <w:left w:val="single" w:sz="5" w:space="0" w:color="000000"/>
              <w:bottom w:val="single" w:sz="5" w:space="0" w:color="000000"/>
              <w:right w:val="single" w:sz="5" w:space="0" w:color="000000"/>
            </w:tcBorders>
          </w:tcPr>
          <w:p w14:paraId="0797F49A"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0</w:t>
            </w:r>
          </w:p>
        </w:tc>
        <w:tc>
          <w:tcPr>
            <w:tcW w:w="663" w:type="pct"/>
            <w:tcBorders>
              <w:top w:val="single" w:sz="5" w:space="0" w:color="000000"/>
              <w:left w:val="single" w:sz="5" w:space="0" w:color="000000"/>
              <w:bottom w:val="single" w:sz="5" w:space="0" w:color="000000"/>
              <w:right w:val="single" w:sz="5" w:space="0" w:color="000000"/>
            </w:tcBorders>
          </w:tcPr>
          <w:p w14:paraId="6B8F625A"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1 (5.9)</w:t>
            </w:r>
          </w:p>
        </w:tc>
        <w:tc>
          <w:tcPr>
            <w:tcW w:w="663" w:type="pct"/>
            <w:tcBorders>
              <w:top w:val="single" w:sz="5" w:space="0" w:color="000000"/>
              <w:left w:val="single" w:sz="5" w:space="0" w:color="000000"/>
              <w:bottom w:val="single" w:sz="5" w:space="0" w:color="000000"/>
              <w:right w:val="single" w:sz="5" w:space="0" w:color="000000"/>
            </w:tcBorders>
          </w:tcPr>
          <w:p w14:paraId="76BD0F8D"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1 (1.1)</w:t>
            </w:r>
          </w:p>
        </w:tc>
        <w:tc>
          <w:tcPr>
            <w:tcW w:w="661" w:type="pct"/>
            <w:tcBorders>
              <w:top w:val="single" w:sz="5" w:space="0" w:color="000000"/>
              <w:left w:val="single" w:sz="5" w:space="0" w:color="000000"/>
              <w:bottom w:val="single" w:sz="5" w:space="0" w:color="000000"/>
              <w:right w:val="single" w:sz="5" w:space="0" w:color="000000"/>
            </w:tcBorders>
          </w:tcPr>
          <w:p w14:paraId="4E0A93FA"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6 (7.2)</w:t>
            </w:r>
          </w:p>
        </w:tc>
      </w:tr>
      <w:tr w:rsidR="0010559C" w:rsidRPr="00205340" w14:paraId="5A9C9FC9" w14:textId="77777777" w:rsidTr="003B473C">
        <w:trPr>
          <w:trHeight w:val="20"/>
        </w:trPr>
        <w:tc>
          <w:tcPr>
            <w:tcW w:w="1024" w:type="pct"/>
            <w:tcBorders>
              <w:top w:val="single" w:sz="5" w:space="0" w:color="000000"/>
              <w:left w:val="single" w:sz="5" w:space="0" w:color="000000"/>
              <w:bottom w:val="single" w:sz="5" w:space="0" w:color="000000"/>
              <w:right w:val="single" w:sz="5" w:space="0" w:color="000000"/>
            </w:tcBorders>
          </w:tcPr>
          <w:p w14:paraId="3466F3FC" w14:textId="77777777" w:rsidR="006A5A7D" w:rsidRPr="00205340" w:rsidRDefault="006A5A7D">
            <w:pPr>
              <w:pStyle w:val="TableParagraph"/>
              <w:keepNext/>
              <w:keepLines/>
              <w:widowControl/>
              <w:spacing w:before="60" w:after="60"/>
              <w:ind w:left="62" w:right="193"/>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Grade 4+ AEs</w:t>
            </w:r>
          </w:p>
        </w:tc>
        <w:tc>
          <w:tcPr>
            <w:tcW w:w="664" w:type="pct"/>
            <w:tcBorders>
              <w:top w:val="single" w:sz="5" w:space="0" w:color="000000"/>
              <w:left w:val="single" w:sz="5" w:space="0" w:color="000000"/>
              <w:bottom w:val="single" w:sz="5" w:space="0" w:color="000000"/>
              <w:right w:val="single" w:sz="5" w:space="0" w:color="000000"/>
            </w:tcBorders>
          </w:tcPr>
          <w:p w14:paraId="6CAAD267"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0</w:t>
            </w:r>
          </w:p>
        </w:tc>
        <w:tc>
          <w:tcPr>
            <w:tcW w:w="663" w:type="pct"/>
            <w:tcBorders>
              <w:top w:val="single" w:sz="5" w:space="0" w:color="000000"/>
              <w:left w:val="single" w:sz="5" w:space="0" w:color="000000"/>
              <w:bottom w:val="single" w:sz="5" w:space="0" w:color="000000"/>
              <w:right w:val="single" w:sz="5" w:space="0" w:color="000000"/>
            </w:tcBorders>
          </w:tcPr>
          <w:p w14:paraId="70569AAC"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0</w:t>
            </w:r>
          </w:p>
        </w:tc>
        <w:tc>
          <w:tcPr>
            <w:tcW w:w="663" w:type="pct"/>
            <w:tcBorders>
              <w:top w:val="single" w:sz="5" w:space="0" w:color="000000"/>
              <w:left w:val="single" w:sz="5" w:space="0" w:color="000000"/>
              <w:bottom w:val="single" w:sz="5" w:space="0" w:color="000000"/>
              <w:right w:val="single" w:sz="5" w:space="0" w:color="000000"/>
            </w:tcBorders>
          </w:tcPr>
          <w:p w14:paraId="4578AFFF"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0</w:t>
            </w:r>
          </w:p>
        </w:tc>
        <w:tc>
          <w:tcPr>
            <w:tcW w:w="663" w:type="pct"/>
            <w:tcBorders>
              <w:top w:val="single" w:sz="5" w:space="0" w:color="000000"/>
              <w:left w:val="single" w:sz="5" w:space="0" w:color="000000"/>
              <w:bottom w:val="single" w:sz="5" w:space="0" w:color="000000"/>
              <w:right w:val="single" w:sz="5" w:space="0" w:color="000000"/>
            </w:tcBorders>
          </w:tcPr>
          <w:p w14:paraId="420498B0"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0</w:t>
            </w:r>
          </w:p>
        </w:tc>
        <w:tc>
          <w:tcPr>
            <w:tcW w:w="663" w:type="pct"/>
            <w:tcBorders>
              <w:top w:val="single" w:sz="5" w:space="0" w:color="000000"/>
              <w:left w:val="single" w:sz="5" w:space="0" w:color="000000"/>
              <w:bottom w:val="single" w:sz="5" w:space="0" w:color="000000"/>
              <w:right w:val="single" w:sz="5" w:space="0" w:color="000000"/>
            </w:tcBorders>
          </w:tcPr>
          <w:p w14:paraId="4562639D"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0</w:t>
            </w:r>
          </w:p>
        </w:tc>
        <w:tc>
          <w:tcPr>
            <w:tcW w:w="661" w:type="pct"/>
            <w:tcBorders>
              <w:top w:val="single" w:sz="5" w:space="0" w:color="000000"/>
              <w:left w:val="single" w:sz="5" w:space="0" w:color="000000"/>
              <w:bottom w:val="single" w:sz="5" w:space="0" w:color="000000"/>
              <w:right w:val="single" w:sz="5" w:space="0" w:color="000000"/>
            </w:tcBorders>
          </w:tcPr>
          <w:p w14:paraId="6A946968"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0</w:t>
            </w:r>
          </w:p>
        </w:tc>
      </w:tr>
      <w:tr w:rsidR="0010559C" w:rsidRPr="00205340" w14:paraId="2243244D" w14:textId="77777777" w:rsidTr="003B473C">
        <w:trPr>
          <w:trHeight w:val="20"/>
        </w:trPr>
        <w:tc>
          <w:tcPr>
            <w:tcW w:w="1024" w:type="pct"/>
            <w:tcBorders>
              <w:top w:val="single" w:sz="5" w:space="0" w:color="000000"/>
              <w:left w:val="single" w:sz="5" w:space="0" w:color="000000"/>
              <w:bottom w:val="single" w:sz="5" w:space="0" w:color="000000"/>
              <w:right w:val="single" w:sz="5" w:space="0" w:color="000000"/>
            </w:tcBorders>
          </w:tcPr>
          <w:p w14:paraId="45AAB62A" w14:textId="77777777" w:rsidR="006A5A7D" w:rsidRPr="00205340" w:rsidRDefault="006A5A7D">
            <w:pPr>
              <w:pStyle w:val="TableParagraph"/>
              <w:keepNext/>
              <w:keepLines/>
              <w:widowControl/>
              <w:spacing w:before="60" w:after="60"/>
              <w:ind w:left="62" w:right="193"/>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AEs leading to discontinuation of study phase</w:t>
            </w:r>
          </w:p>
        </w:tc>
        <w:tc>
          <w:tcPr>
            <w:tcW w:w="664" w:type="pct"/>
            <w:tcBorders>
              <w:top w:val="single" w:sz="5" w:space="0" w:color="000000"/>
              <w:left w:val="single" w:sz="5" w:space="0" w:color="000000"/>
              <w:bottom w:val="single" w:sz="5" w:space="0" w:color="000000"/>
              <w:right w:val="single" w:sz="5" w:space="0" w:color="000000"/>
            </w:tcBorders>
          </w:tcPr>
          <w:p w14:paraId="411B426C"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0</w:t>
            </w:r>
          </w:p>
        </w:tc>
        <w:tc>
          <w:tcPr>
            <w:tcW w:w="663" w:type="pct"/>
            <w:tcBorders>
              <w:top w:val="single" w:sz="5" w:space="0" w:color="000000"/>
              <w:left w:val="single" w:sz="5" w:space="0" w:color="000000"/>
              <w:bottom w:val="single" w:sz="5" w:space="0" w:color="000000"/>
              <w:right w:val="single" w:sz="5" w:space="0" w:color="000000"/>
            </w:tcBorders>
          </w:tcPr>
          <w:p w14:paraId="4DD008EB"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1 (1.5)</w:t>
            </w:r>
          </w:p>
        </w:tc>
        <w:tc>
          <w:tcPr>
            <w:tcW w:w="663" w:type="pct"/>
            <w:tcBorders>
              <w:top w:val="single" w:sz="5" w:space="0" w:color="000000"/>
              <w:left w:val="single" w:sz="5" w:space="0" w:color="000000"/>
              <w:bottom w:val="single" w:sz="5" w:space="0" w:color="000000"/>
              <w:right w:val="single" w:sz="5" w:space="0" w:color="000000"/>
            </w:tcBorders>
          </w:tcPr>
          <w:p w14:paraId="40F2F77D"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0</w:t>
            </w:r>
          </w:p>
        </w:tc>
        <w:tc>
          <w:tcPr>
            <w:tcW w:w="663" w:type="pct"/>
            <w:tcBorders>
              <w:top w:val="single" w:sz="5" w:space="0" w:color="000000"/>
              <w:left w:val="single" w:sz="5" w:space="0" w:color="000000"/>
              <w:bottom w:val="single" w:sz="5" w:space="0" w:color="000000"/>
              <w:right w:val="single" w:sz="5" w:space="0" w:color="000000"/>
            </w:tcBorders>
          </w:tcPr>
          <w:p w14:paraId="440D4143"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0</w:t>
            </w:r>
          </w:p>
        </w:tc>
        <w:tc>
          <w:tcPr>
            <w:tcW w:w="663" w:type="pct"/>
            <w:tcBorders>
              <w:top w:val="single" w:sz="5" w:space="0" w:color="000000"/>
              <w:left w:val="single" w:sz="5" w:space="0" w:color="000000"/>
              <w:bottom w:val="single" w:sz="5" w:space="0" w:color="000000"/>
              <w:right w:val="single" w:sz="5" w:space="0" w:color="000000"/>
            </w:tcBorders>
          </w:tcPr>
          <w:p w14:paraId="4B8D92C9"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0</w:t>
            </w:r>
          </w:p>
        </w:tc>
        <w:tc>
          <w:tcPr>
            <w:tcW w:w="661" w:type="pct"/>
            <w:tcBorders>
              <w:top w:val="single" w:sz="5" w:space="0" w:color="000000"/>
              <w:left w:val="single" w:sz="5" w:space="0" w:color="000000"/>
              <w:bottom w:val="single" w:sz="5" w:space="0" w:color="000000"/>
              <w:right w:val="single" w:sz="5" w:space="0" w:color="000000"/>
            </w:tcBorders>
          </w:tcPr>
          <w:p w14:paraId="114514FF"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1 (1.2)</w:t>
            </w:r>
          </w:p>
        </w:tc>
      </w:tr>
      <w:tr w:rsidR="0010559C" w:rsidRPr="00205340" w14:paraId="3CBEA526" w14:textId="77777777" w:rsidTr="003B473C">
        <w:trPr>
          <w:trHeight w:val="20"/>
        </w:trPr>
        <w:tc>
          <w:tcPr>
            <w:tcW w:w="1024" w:type="pct"/>
            <w:tcBorders>
              <w:top w:val="single" w:sz="5" w:space="0" w:color="000000"/>
              <w:left w:val="single" w:sz="5" w:space="0" w:color="000000"/>
              <w:bottom w:val="single" w:sz="5" w:space="0" w:color="000000"/>
              <w:right w:val="single" w:sz="5" w:space="0" w:color="000000"/>
            </w:tcBorders>
          </w:tcPr>
          <w:p w14:paraId="04D45127" w14:textId="77777777" w:rsidR="006A5A7D" w:rsidRPr="00205340" w:rsidRDefault="006A5A7D">
            <w:pPr>
              <w:pStyle w:val="TableParagraph"/>
              <w:keepNext/>
              <w:keepLines/>
              <w:widowControl/>
              <w:spacing w:before="60" w:after="60"/>
              <w:ind w:left="62" w:right="193"/>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 xml:space="preserve">AEs leading to dose reduction or temporary discontinuation </w:t>
            </w:r>
          </w:p>
        </w:tc>
        <w:tc>
          <w:tcPr>
            <w:tcW w:w="664" w:type="pct"/>
            <w:tcBorders>
              <w:top w:val="single" w:sz="5" w:space="0" w:color="000000"/>
              <w:left w:val="single" w:sz="5" w:space="0" w:color="000000"/>
              <w:bottom w:val="single" w:sz="5" w:space="0" w:color="000000"/>
              <w:right w:val="single" w:sz="5" w:space="0" w:color="000000"/>
            </w:tcBorders>
          </w:tcPr>
          <w:p w14:paraId="6039FAF7"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0</w:t>
            </w:r>
          </w:p>
        </w:tc>
        <w:tc>
          <w:tcPr>
            <w:tcW w:w="663" w:type="pct"/>
            <w:tcBorders>
              <w:top w:val="single" w:sz="5" w:space="0" w:color="000000"/>
              <w:left w:val="single" w:sz="5" w:space="0" w:color="000000"/>
              <w:bottom w:val="single" w:sz="5" w:space="0" w:color="000000"/>
              <w:right w:val="single" w:sz="5" w:space="0" w:color="000000"/>
            </w:tcBorders>
          </w:tcPr>
          <w:p w14:paraId="2B5DBF9B"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12 (18.2)</w:t>
            </w:r>
          </w:p>
        </w:tc>
        <w:tc>
          <w:tcPr>
            <w:tcW w:w="663" w:type="pct"/>
            <w:tcBorders>
              <w:top w:val="single" w:sz="5" w:space="0" w:color="000000"/>
              <w:left w:val="single" w:sz="5" w:space="0" w:color="000000"/>
              <w:bottom w:val="single" w:sz="5" w:space="0" w:color="000000"/>
              <w:right w:val="single" w:sz="5" w:space="0" w:color="000000"/>
            </w:tcBorders>
          </w:tcPr>
          <w:p w14:paraId="468C6A09"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0</w:t>
            </w:r>
          </w:p>
        </w:tc>
        <w:tc>
          <w:tcPr>
            <w:tcW w:w="663" w:type="pct"/>
            <w:tcBorders>
              <w:top w:val="single" w:sz="5" w:space="0" w:color="000000"/>
              <w:left w:val="single" w:sz="5" w:space="0" w:color="000000"/>
              <w:bottom w:val="single" w:sz="5" w:space="0" w:color="000000"/>
              <w:right w:val="single" w:sz="5" w:space="0" w:color="000000"/>
            </w:tcBorders>
          </w:tcPr>
          <w:p w14:paraId="13CCB51D"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2 (11.8)</w:t>
            </w:r>
          </w:p>
        </w:tc>
        <w:tc>
          <w:tcPr>
            <w:tcW w:w="663" w:type="pct"/>
            <w:tcBorders>
              <w:top w:val="single" w:sz="5" w:space="0" w:color="000000"/>
              <w:left w:val="single" w:sz="5" w:space="0" w:color="000000"/>
              <w:bottom w:val="single" w:sz="5" w:space="0" w:color="000000"/>
              <w:right w:val="single" w:sz="5" w:space="0" w:color="000000"/>
            </w:tcBorders>
          </w:tcPr>
          <w:p w14:paraId="2F4CC4D8"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0</w:t>
            </w:r>
          </w:p>
        </w:tc>
        <w:tc>
          <w:tcPr>
            <w:tcW w:w="661" w:type="pct"/>
            <w:tcBorders>
              <w:top w:val="single" w:sz="5" w:space="0" w:color="000000"/>
              <w:left w:val="single" w:sz="5" w:space="0" w:color="000000"/>
              <w:bottom w:val="single" w:sz="5" w:space="0" w:color="000000"/>
              <w:right w:val="single" w:sz="5" w:space="0" w:color="000000"/>
            </w:tcBorders>
          </w:tcPr>
          <w:p w14:paraId="2F286BDC" w14:textId="77777777" w:rsidR="006A5A7D" w:rsidRPr="00205340" w:rsidRDefault="006A5A7D">
            <w:pPr>
              <w:pStyle w:val="TableParagraph"/>
              <w:keepNext/>
              <w:keepLines/>
              <w:widowControl/>
              <w:spacing w:before="60" w:after="60"/>
              <w:ind w:left="62" w:right="193"/>
              <w:jc w:val="center"/>
              <w:rPr>
                <w:rFonts w:ascii="Arial Narrow" w:eastAsia="Arial Narrow" w:hAnsi="Arial Narrow" w:cstheme="minorHAnsi"/>
                <w:sz w:val="20"/>
                <w:szCs w:val="20"/>
                <w:lang w:val="en-AU"/>
              </w:rPr>
            </w:pPr>
            <w:r w:rsidRPr="00205340">
              <w:rPr>
                <w:rFonts w:ascii="Arial Narrow" w:eastAsia="Arial Narrow" w:hAnsi="Arial Narrow" w:cstheme="minorHAnsi"/>
                <w:sz w:val="20"/>
                <w:szCs w:val="20"/>
                <w:lang w:val="en-AU"/>
              </w:rPr>
              <w:t>14 (16.9)</w:t>
            </w:r>
          </w:p>
        </w:tc>
      </w:tr>
    </w:tbl>
    <w:p w14:paraId="360CF885" w14:textId="04B5AD9C" w:rsidR="003B473C" w:rsidRPr="00205340" w:rsidRDefault="003B473C" w:rsidP="003B473C">
      <w:pPr>
        <w:autoSpaceDE w:val="0"/>
        <w:autoSpaceDN w:val="0"/>
        <w:adjustRightInd w:val="0"/>
        <w:spacing w:before="40" w:after="0" w:line="240" w:lineRule="auto"/>
        <w:rPr>
          <w:rFonts w:ascii="Arial Narrow" w:hAnsi="Arial Narrow" w:cs="Arial"/>
          <w:sz w:val="18"/>
          <w:szCs w:val="18"/>
        </w:rPr>
      </w:pPr>
      <w:r w:rsidRPr="00205340">
        <w:rPr>
          <w:rFonts w:ascii="Arial Narrow" w:hAnsi="Arial Narrow" w:cs="Arial"/>
          <w:sz w:val="18"/>
          <w:szCs w:val="18"/>
        </w:rPr>
        <w:t xml:space="preserve">Source: </w:t>
      </w:r>
      <w:r w:rsidR="00500435" w:rsidRPr="00205340">
        <w:rPr>
          <w:rFonts w:ascii="Arial Narrow" w:hAnsi="Arial Narrow" w:cs="Arial"/>
          <w:sz w:val="18"/>
          <w:szCs w:val="18"/>
        </w:rPr>
        <w:t>ADAR 1806 Table 33</w:t>
      </w:r>
    </w:p>
    <w:p w14:paraId="78D26E8E" w14:textId="56655108" w:rsidR="006A5A7D" w:rsidRPr="00205340" w:rsidRDefault="006A5A7D" w:rsidP="006A5A7D">
      <w:pPr>
        <w:keepNext/>
        <w:keepLines/>
        <w:spacing w:before="40" w:after="0" w:line="240" w:lineRule="auto"/>
        <w:rPr>
          <w:rFonts w:ascii="Arial Narrow" w:hAnsi="Arial Narrow" w:cstheme="minorHAnsi"/>
          <w:sz w:val="18"/>
          <w:szCs w:val="18"/>
        </w:rPr>
      </w:pPr>
      <w:r w:rsidRPr="00205340">
        <w:rPr>
          <w:rFonts w:ascii="Arial Narrow" w:hAnsi="Arial Narrow" w:cstheme="minorHAnsi"/>
          <w:sz w:val="18"/>
          <w:szCs w:val="18"/>
        </w:rPr>
        <w:t xml:space="preserve">AE = adverse event; ATP = active treatment phase; </w:t>
      </w:r>
      <w:r w:rsidR="005161FB" w:rsidRPr="00205340">
        <w:rPr>
          <w:rFonts w:ascii="Arial Narrow" w:hAnsi="Arial Narrow" w:cstheme="minorHAnsi"/>
          <w:sz w:val="18"/>
          <w:szCs w:val="18"/>
        </w:rPr>
        <w:t xml:space="preserve">HMA = haemophilia A; HMB = haemophilia B; </w:t>
      </w:r>
      <w:r w:rsidRPr="00205340">
        <w:rPr>
          <w:rFonts w:ascii="Arial Narrow" w:hAnsi="Arial Narrow" w:cstheme="minorHAnsi"/>
          <w:sz w:val="18"/>
          <w:szCs w:val="18"/>
        </w:rPr>
        <w:t>OP = observational phase; SAE = serious adverse event</w:t>
      </w:r>
    </w:p>
    <w:p w14:paraId="3BE82FED" w14:textId="77777777" w:rsidR="006A5A7D" w:rsidRPr="00205340" w:rsidRDefault="006A5A7D" w:rsidP="006A5A7D">
      <w:pPr>
        <w:keepNext/>
        <w:keepLines/>
        <w:spacing w:before="40" w:after="0" w:line="240" w:lineRule="auto"/>
        <w:rPr>
          <w:rFonts w:ascii="Arial Narrow" w:hAnsi="Arial Narrow" w:cstheme="minorHAnsi"/>
          <w:sz w:val="18"/>
          <w:szCs w:val="18"/>
        </w:rPr>
      </w:pPr>
      <w:r w:rsidRPr="00205340">
        <w:rPr>
          <w:rFonts w:ascii="Arial Narrow" w:hAnsi="Arial Narrow" w:cstheme="minorHAnsi"/>
          <w:sz w:val="18"/>
          <w:szCs w:val="18"/>
          <w:vertAlign w:val="superscript"/>
        </w:rPr>
        <w:t>1</w:t>
      </w:r>
      <w:r w:rsidRPr="00205340">
        <w:rPr>
          <w:rFonts w:ascii="Arial Narrow" w:hAnsi="Arial Narrow" w:cstheme="minorHAnsi"/>
          <w:sz w:val="18"/>
          <w:szCs w:val="18"/>
        </w:rPr>
        <w:t xml:space="preserve"> n = number of participants with event except for Total AEs</w:t>
      </w:r>
    </w:p>
    <w:p w14:paraId="4B5B4190" w14:textId="2FFDC9BA" w:rsidR="00A970C2" w:rsidRPr="00205340" w:rsidRDefault="00A970C2" w:rsidP="00A970C2">
      <w:r w:rsidRPr="00205340">
        <w:t xml:space="preserve">The majority of treatment emergent adverse events (TEAEs) in the active treatment phase (ATP) of the BASIS trial </w:t>
      </w:r>
      <w:r w:rsidR="003661CA" w:rsidRPr="00205340">
        <w:t>(</w:t>
      </w:r>
      <w:r w:rsidRPr="00205340">
        <w:t>during which participants crossed over to marstacimab from the observational phase (OP) on prior prophylaxis</w:t>
      </w:r>
      <w:r w:rsidR="003661CA" w:rsidRPr="00205340">
        <w:t>)</w:t>
      </w:r>
      <w:r w:rsidRPr="00205340">
        <w:t xml:space="preserve">, were injection site </w:t>
      </w:r>
      <w:proofErr w:type="spellStart"/>
      <w:r w:rsidRPr="00205340">
        <w:t>pruritis</w:t>
      </w:r>
      <w:proofErr w:type="spellEnd"/>
      <w:r w:rsidRPr="00205340">
        <w:t xml:space="preserve"> (4 [4.8%] participants), injection site erythema (3 [3.6%] participants), and prothrombin fragment 1.2 increased (3 [3.6%] participants). All events were mild-moderate in severity.</w:t>
      </w:r>
    </w:p>
    <w:p w14:paraId="06EF1DBD" w14:textId="7BE477BA" w:rsidR="00A970C2" w:rsidRPr="00205340" w:rsidRDefault="00A970C2" w:rsidP="00A970C2">
      <w:r w:rsidRPr="00205340">
        <w:t>There were no deaths, and no serious adverse events (SAEs) related to thromboembolism</w:t>
      </w:r>
      <w:r w:rsidR="0031002A" w:rsidRPr="00205340">
        <w:t xml:space="preserve"> in the HMA and HMB non-inhibitor cohort of the BASIS trial</w:t>
      </w:r>
      <w:r w:rsidRPr="00205340">
        <w:t xml:space="preserve">. One SAE was related to the treatment: one </w:t>
      </w:r>
      <w:r w:rsidRPr="00205340">
        <w:lastRenderedPageBreak/>
        <w:t>incident of Grade 1 peripheral swelling (calf swelling) occurred during the ATP. Five (6.0%) medication errors were reported during the ATP.</w:t>
      </w:r>
    </w:p>
    <w:p w14:paraId="1E5488C5" w14:textId="77777777" w:rsidR="00A970C2" w:rsidRPr="00205340" w:rsidRDefault="00A970C2" w:rsidP="00A970C2">
      <w:pPr>
        <w:jc w:val="both"/>
      </w:pPr>
      <w:r w:rsidRPr="00205340">
        <w:t>There were no dose reductions due to AEs during the OP or ATP.</w:t>
      </w:r>
    </w:p>
    <w:p w14:paraId="2C0FAE62" w14:textId="77777777" w:rsidR="00A970C2" w:rsidRPr="00205340" w:rsidRDefault="00A970C2" w:rsidP="00A970C2">
      <w:r w:rsidRPr="00205340">
        <w:t>Based on the adverse event data combined for HMA and HMB, the applicant concluded that marstacimab has non-inferior safety relative to FVIII prophylaxis for HMA and non-inferior safety relative to FIX for HMB. These combined data are inappropriate to support the claims of non-inferior safety, which have been made for HMA and HMB separately in the absence of safety data specific to these subgroups. PASC advised that the results for HMA and HMB would need to be presented separately for the purposes of the health technology assessment. PASC noted that whilst the BASIS trial was not powered for analysis by haemophilia type, presenting the results by haemophilia type will allow the committees (ESC and MSAC) to determine whether any observed differences are likely to be clinically important (even if underpowered for statistical comparisons).</w:t>
      </w:r>
    </w:p>
    <w:p w14:paraId="70A19DA5" w14:textId="4593BCE3" w:rsidR="00A970C2" w:rsidRPr="00205340" w:rsidRDefault="00A970C2" w:rsidP="00A970C2">
      <w:r w:rsidRPr="00205340">
        <w:t>The frequency of AEs and SAEs combined for HMA and HMB do not appear to be comparable between the OP of the BASIS trial (during which patients received factor prophylaxis) and the ATP of the BASIS trial (during which patients received marstacimab), even taking into account differences in the duration of exposure to factor prophylaxis (6 months) and marstacimab (12</w:t>
      </w:r>
      <w:r w:rsidR="005C116D" w:rsidRPr="00205340">
        <w:t> </w:t>
      </w:r>
      <w:r w:rsidRPr="00205340">
        <w:t>months).</w:t>
      </w:r>
    </w:p>
    <w:p w14:paraId="0329BE0D" w14:textId="4977A9FA" w:rsidR="00A970C2" w:rsidRPr="00205340" w:rsidRDefault="00A970C2" w:rsidP="00A970C2">
      <w:r w:rsidRPr="00205340">
        <w:t xml:space="preserve">Differences in prophylactic treatment relevant to the study population compared to contemporary Australian clinical practice where prophylaxis with an EHL rather than an SHL product is standard are unlikely to contribute to the differences observed. MSAC has previously noted (MSAC 1511 PSD) that the safety of EHL products is </w:t>
      </w:r>
      <w:proofErr w:type="gramStart"/>
      <w:r w:rsidRPr="00205340">
        <w:t>similar to</w:t>
      </w:r>
      <w:proofErr w:type="gramEnd"/>
      <w:r w:rsidRPr="00205340">
        <w:t xml:space="preserve"> that of SHL products. The rate of serious adverse events after receiving EHL products appears to be low (&lt;1%). MSAC noted that EHL products appear to be no more likely than SHL products to result in </w:t>
      </w:r>
      <w:r w:rsidR="00D96E66" w:rsidRPr="00205340">
        <w:t xml:space="preserve">the </w:t>
      </w:r>
      <w:r w:rsidRPr="00205340">
        <w:t>development of inhibitors.</w:t>
      </w:r>
    </w:p>
    <w:p w14:paraId="736CBCFB" w14:textId="77777777" w:rsidR="00A970C2" w:rsidRPr="00205340" w:rsidRDefault="00A970C2" w:rsidP="00A970C2">
      <w:r w:rsidRPr="00205340">
        <w:t>The ADAR confirmed the applicant’s pre-assessment advice to PASC that anti-drug antibodies (ADAs) developed in 19.8% of evaluable patients (23/116). Most instances of ADAs (61%, 14/23) were judged to be transient (defined as positivity for &lt;16 weeks). By the end of the ATP study period, 95.7% (22/23) had resolved. Neutralising antibodies (</w:t>
      </w:r>
      <w:proofErr w:type="spellStart"/>
      <w:r w:rsidRPr="00205340">
        <w:t>nAb</w:t>
      </w:r>
      <w:proofErr w:type="spellEnd"/>
      <w:r w:rsidRPr="00205340">
        <w:t>) developed in 5.2% of the study cohort (6/116). All were transient and resolved by the end of the ATP study period.</w:t>
      </w:r>
    </w:p>
    <w:p w14:paraId="3618F62F" w14:textId="2E350C58" w:rsidR="00A970C2" w:rsidRPr="00205340" w:rsidRDefault="00A970C2" w:rsidP="005C116D">
      <w:pPr>
        <w:pStyle w:val="Commentary"/>
        <w:spacing w:line="240" w:lineRule="auto"/>
        <w:rPr>
          <w:rFonts w:ascii="Franklin Gothic Book" w:eastAsiaTheme="minorHAnsi" w:hAnsi="Franklin Gothic Book" w:cstheme="minorBidi"/>
          <w:i w:val="0"/>
        </w:rPr>
      </w:pPr>
      <w:r w:rsidRPr="00205340">
        <w:rPr>
          <w:rFonts w:ascii="Franklin Gothic Book" w:eastAsiaTheme="minorHAnsi" w:hAnsi="Franklin Gothic Book" w:cstheme="minorBidi"/>
          <w:i w:val="0"/>
        </w:rPr>
        <w:t xml:space="preserve">At pre-assessment, it was also stated that management of ADAs would be left up to the treating clinician’s judgement. The Food and Drug Administration (FDA) prescribing information for marstacimab does not recommend any clinical course of management, stating "There was no identified clinically significant effect of ADAs, including </w:t>
      </w:r>
      <w:proofErr w:type="spellStart"/>
      <w:r w:rsidRPr="00205340">
        <w:rPr>
          <w:rFonts w:ascii="Franklin Gothic Book" w:eastAsiaTheme="minorHAnsi" w:hAnsi="Franklin Gothic Book" w:cstheme="minorBidi"/>
          <w:i w:val="0"/>
        </w:rPr>
        <w:t>nAbs</w:t>
      </w:r>
      <w:proofErr w:type="spellEnd"/>
      <w:r w:rsidRPr="00205340">
        <w:rPr>
          <w:rFonts w:ascii="Franklin Gothic Book" w:eastAsiaTheme="minorHAnsi" w:hAnsi="Franklin Gothic Book" w:cstheme="minorBidi"/>
          <w:i w:val="0"/>
        </w:rPr>
        <w:t xml:space="preserve">, on safety or efficacy of marstacimab” over 12 months treatment duration. The applicant stated that similar wording has been included in the proposed TGA </w:t>
      </w:r>
      <w:r w:rsidRPr="00205340" w:rsidDel="00B93C70">
        <w:rPr>
          <w:rFonts w:ascii="Franklin Gothic Book" w:eastAsiaTheme="minorHAnsi" w:hAnsi="Franklin Gothic Book" w:cstheme="minorBidi"/>
          <w:i w:val="0"/>
        </w:rPr>
        <w:t>product information</w:t>
      </w:r>
      <w:r w:rsidRPr="00205340">
        <w:rPr>
          <w:rFonts w:ascii="Franklin Gothic Book" w:eastAsiaTheme="minorHAnsi" w:hAnsi="Franklin Gothic Book" w:cstheme="minorBidi"/>
          <w:i w:val="0"/>
        </w:rPr>
        <w:t xml:space="preserve"> for marstacimab. </w:t>
      </w:r>
    </w:p>
    <w:p w14:paraId="76A94250" w14:textId="77777777" w:rsidR="00A970C2" w:rsidRPr="00205340" w:rsidRDefault="00A970C2" w:rsidP="00A970C2">
      <w:pPr>
        <w:autoSpaceDE w:val="0"/>
        <w:autoSpaceDN w:val="0"/>
        <w:adjustRightInd w:val="0"/>
        <w:spacing w:line="23" w:lineRule="atLeast"/>
      </w:pPr>
      <w:bookmarkStart w:id="30" w:name="_Hlk207385253"/>
      <w:r w:rsidRPr="00205340">
        <w:t>PASC noted from the applicant’s clinical expert that there is no strong justification from the available evidence for the need for regular ADA testing and that this testing, if performed, should be driven by clinical requirements.</w:t>
      </w:r>
      <w:bookmarkEnd w:id="30"/>
    </w:p>
    <w:p w14:paraId="0C0239A5" w14:textId="77777777" w:rsidR="0042246B" w:rsidRPr="00205340" w:rsidRDefault="00A970C2" w:rsidP="00A970C2">
      <w:pPr>
        <w:autoSpaceDE w:val="0"/>
        <w:autoSpaceDN w:val="0"/>
        <w:adjustRightInd w:val="0"/>
        <w:spacing w:line="23" w:lineRule="atLeast"/>
      </w:pPr>
      <w:r w:rsidRPr="00205340">
        <w:t>PASC considered that routine monitoring of ADAs would not be required as data provided showed a very low incidence of these, and they tend not to influence the efficacy of marstacimab. PASC recommended that the assessment report include the information on ADAs collected in the BASIS trial, but further information would not be required on this outcome.</w:t>
      </w:r>
      <w:r w:rsidR="00D96E66" w:rsidRPr="00205340">
        <w:t xml:space="preserve"> </w:t>
      </w:r>
    </w:p>
    <w:p w14:paraId="78C7FF07" w14:textId="5D0311EE" w:rsidR="00A970C2" w:rsidRPr="00205340" w:rsidRDefault="00A970C2" w:rsidP="00000617">
      <w:pPr>
        <w:autoSpaceDE w:val="0"/>
        <w:autoSpaceDN w:val="0"/>
        <w:adjustRightInd w:val="0"/>
        <w:spacing w:line="23" w:lineRule="atLeast"/>
      </w:pPr>
      <w:r w:rsidRPr="00205340">
        <w:t>The ADAR narratively summarised AEs that occurred with dose escalation in the BASIS trial. The ADAR reported that among the 14 participants with dose escalation from 150 mg to 300 mg marstacimab during the ATP, none experienced an SAE or TEAE that led to discontinuation of treatment (mean exposure of 118.6 days (SD: 56.26)</w:t>
      </w:r>
      <w:r w:rsidR="00390102" w:rsidRPr="00205340">
        <w:t>)</w:t>
      </w:r>
      <w:r w:rsidRPr="00205340">
        <w:t xml:space="preserve"> days while on 300 mg marstacimab. </w:t>
      </w:r>
    </w:p>
    <w:p w14:paraId="36DDDA21" w14:textId="28002E1D" w:rsidR="00A608EA" w:rsidRPr="00205340" w:rsidRDefault="002C7B2D" w:rsidP="00A970C2">
      <w:pPr>
        <w:jc w:val="both"/>
      </w:pPr>
      <w:r w:rsidRPr="00205340">
        <w:lastRenderedPageBreak/>
        <w:t>One participant had a treatment-related TEAE (Grade 1 arthralgia at Day 190) while on the higher dose; four other participants reported TEAEs after dose escalation (Grade 1 joint range of motion reduction, Grade 2 laryngitis, Grade 2 arthralgia, Grade 1 rhinitis), two participants who had their dose escalated did not experience any TEAEs</w:t>
      </w:r>
      <w:r w:rsidR="00462CE8" w:rsidRPr="00205340">
        <w:t xml:space="preserve"> throughout the study</w:t>
      </w:r>
      <w:r w:rsidRPr="00205340">
        <w:t xml:space="preserve"> and all others had non-treatment-related TEAEs during the 150 mg dosing regimen.</w:t>
      </w:r>
    </w:p>
    <w:p w14:paraId="337FB57A" w14:textId="5093BEBF" w:rsidR="00A970C2" w:rsidRPr="00205340" w:rsidRDefault="00A970C2" w:rsidP="00000617">
      <w:pPr>
        <w:autoSpaceDE w:val="0"/>
        <w:autoSpaceDN w:val="0"/>
        <w:adjustRightInd w:val="0"/>
        <w:spacing w:line="23" w:lineRule="atLeast"/>
      </w:pPr>
      <w:r w:rsidRPr="00205340">
        <w:t>For the BASIS LTE, the ADAR reported that 29% of participants (n=25) had a TEAE at the time of interim analysis (10 March 2023).</w:t>
      </w:r>
      <w:r w:rsidR="004C4BFB" w:rsidRPr="00205340">
        <w:t xml:space="preserve"> </w:t>
      </w:r>
      <w:r w:rsidRPr="00205340">
        <w:t xml:space="preserve">Most of these events (84%) were mild (Grade 1 severity) and the </w:t>
      </w:r>
      <w:proofErr w:type="gramStart"/>
      <w:r w:rsidRPr="00205340">
        <w:t>most commonly recorded</w:t>
      </w:r>
      <w:proofErr w:type="gramEnd"/>
      <w:r w:rsidRPr="00205340">
        <w:t xml:space="preserve"> event was nasopharyngitis (n=4 participants, 4.6%). COVID-19 and injection site reaction were the other common TEAEs, which were reported in 3 participants (3.4%) each (BASIS LTE interim CSR p53).</w:t>
      </w:r>
      <w:r w:rsidR="004C4BFB" w:rsidRPr="00205340">
        <w:t xml:space="preserve"> </w:t>
      </w:r>
      <w:r w:rsidRPr="00205340">
        <w:t>TEAE frequency was similar across age subgroups (adolescents 12 to &lt;18 years vs. adults 18 to &lt;75 years). There were no unanticipated risks in either age group. Four participants (29%) in the adolescent group and 21 participants (29%) in the adult group reported an AE (BASIS LTE interim CSR p58).</w:t>
      </w:r>
      <w:r w:rsidR="0021684F" w:rsidRPr="00205340">
        <w:t xml:space="preserve"> </w:t>
      </w:r>
      <w:r w:rsidRPr="00205340">
        <w:t>Treatment-related AEs were uncommon (n=3 participants). The only reported treatment-related AEs were 4 events of injection site reaction (n=3 participants, 3.4%). Three events were Grade 1 (n=2 participants, 2.3%) and one event was Grade 2 (n=1 participant, 1.1%) (BASIS LTE interim CSR p58).</w:t>
      </w:r>
    </w:p>
    <w:p w14:paraId="4561CD35" w14:textId="77777777" w:rsidR="00A970C2" w:rsidRPr="00205340" w:rsidRDefault="00A970C2" w:rsidP="00C820F4">
      <w:pPr>
        <w:tabs>
          <w:tab w:val="left" w:pos="1452"/>
        </w:tabs>
      </w:pPr>
      <w:r w:rsidRPr="00205340">
        <w:t>Four participants underwent dose escalation from 150 mg to 300 mg during the interim analysis period of the BASIS LTE (10 participants had had their dose previously escalated to 300 mg in the main BASIS study and this was continued in the BASIS LTE). Mean exposure was 149.3±125.9 days on 300 mg marstacimab (BASIS LTE interim CSR p59).</w:t>
      </w:r>
    </w:p>
    <w:p w14:paraId="540A3375" w14:textId="77777777" w:rsidR="00A970C2" w:rsidRPr="00205340" w:rsidRDefault="00A970C2" w:rsidP="00C820F4">
      <w:pPr>
        <w:tabs>
          <w:tab w:val="left" w:pos="1452"/>
        </w:tabs>
      </w:pPr>
      <w:r w:rsidRPr="00205340">
        <w:t>During the BASIS LTE, the 14 participants with marstacimab dosing of 300 mg reported TEAEs as follows:</w:t>
      </w:r>
    </w:p>
    <w:p w14:paraId="2664FB1A" w14:textId="77777777" w:rsidR="00A970C2" w:rsidRPr="00205340" w:rsidRDefault="00A970C2" w:rsidP="00C820F4">
      <w:pPr>
        <w:pStyle w:val="ListParagraph"/>
        <w:numPr>
          <w:ilvl w:val="0"/>
          <w:numId w:val="23"/>
        </w:numPr>
        <w:tabs>
          <w:tab w:val="left" w:pos="1452"/>
        </w:tabs>
      </w:pPr>
      <w:r w:rsidRPr="00205340">
        <w:t>1 participant reported 1 treatment-related AE of injection site reaction (Grade 1; mild severity)</w:t>
      </w:r>
    </w:p>
    <w:p w14:paraId="0B01E7FE" w14:textId="77777777" w:rsidR="00A970C2" w:rsidRPr="00205340" w:rsidRDefault="00A970C2" w:rsidP="00C820F4">
      <w:pPr>
        <w:pStyle w:val="ListParagraph"/>
        <w:numPr>
          <w:ilvl w:val="0"/>
          <w:numId w:val="23"/>
        </w:numPr>
        <w:tabs>
          <w:tab w:val="left" w:pos="1452"/>
        </w:tabs>
      </w:pPr>
      <w:r w:rsidRPr="00205340">
        <w:t>2 participants reported COVID-19 infection as an AE (not treatment-related)</w:t>
      </w:r>
    </w:p>
    <w:p w14:paraId="632DC30E" w14:textId="77777777" w:rsidR="00A970C2" w:rsidRPr="00205340" w:rsidRDefault="00A970C2" w:rsidP="00C820F4">
      <w:pPr>
        <w:pStyle w:val="ListParagraph"/>
        <w:numPr>
          <w:ilvl w:val="0"/>
          <w:numId w:val="23"/>
        </w:numPr>
        <w:tabs>
          <w:tab w:val="left" w:pos="1452"/>
        </w:tabs>
      </w:pPr>
      <w:r w:rsidRPr="00205340">
        <w:t>1 participant reported nasopharyngitis/common cold as an AE (not treatment-related)</w:t>
      </w:r>
    </w:p>
    <w:p w14:paraId="6DA0CA5F" w14:textId="77777777" w:rsidR="00A970C2" w:rsidRPr="00205340" w:rsidRDefault="00A970C2" w:rsidP="00C820F4">
      <w:pPr>
        <w:tabs>
          <w:tab w:val="left" w:pos="1452"/>
        </w:tabs>
      </w:pPr>
      <w:r w:rsidRPr="00205340">
        <w:t xml:space="preserve">There were no deaths among participants during the BASIS </w:t>
      </w:r>
      <w:proofErr w:type="gramStart"/>
      <w:r w:rsidRPr="00205340">
        <w:t>LTE</w:t>
      </w:r>
      <w:proofErr w:type="gramEnd"/>
      <w:r w:rsidRPr="00205340">
        <w:t xml:space="preserve"> and the incidence of SAEs was low (n=2 participants, 2.3%) at the time of the interim analysis. One participant experienced a head contusion and another experienced </w:t>
      </w:r>
      <w:proofErr w:type="spellStart"/>
      <w:r w:rsidRPr="00205340">
        <w:t>haemarthrosis</w:t>
      </w:r>
      <w:proofErr w:type="spellEnd"/>
      <w:r w:rsidRPr="00205340">
        <w:t xml:space="preserve"> of the hip. Both SAEs resolved and the participants continued treatment with marstacimab. These events were determined not to be treatment-related (BASIS LTE interim CSR p61).</w:t>
      </w:r>
    </w:p>
    <w:p w14:paraId="4C8099FE" w14:textId="77777777" w:rsidR="00A970C2" w:rsidRPr="00205340" w:rsidRDefault="00A970C2" w:rsidP="00C820F4">
      <w:pPr>
        <w:tabs>
          <w:tab w:val="left" w:pos="1452"/>
        </w:tabs>
      </w:pPr>
      <w:r w:rsidRPr="00205340">
        <w:t xml:space="preserve">None of the AEs or SAEs resulted in permanent discontinuation of treatment, while AEs in 3 participants, led to 3 temporary discontinuations. Two were due to COVID-19 and one was due to </w:t>
      </w:r>
      <w:proofErr w:type="spellStart"/>
      <w:r w:rsidRPr="00205340">
        <w:t>haemarthrosis</w:t>
      </w:r>
      <w:proofErr w:type="spellEnd"/>
      <w:r w:rsidRPr="00205340">
        <w:t xml:space="preserve">. Neither of these events were considered </w:t>
      </w:r>
      <w:proofErr w:type="gramStart"/>
      <w:r w:rsidRPr="00205340">
        <w:t>treatment-related</w:t>
      </w:r>
      <w:proofErr w:type="gramEnd"/>
      <w:r w:rsidRPr="00205340">
        <w:t>. There were no dose reductions due to AEs (BASIS LTE interim CSR p62-63).</w:t>
      </w:r>
    </w:p>
    <w:p w14:paraId="3717AA01" w14:textId="40DACB51" w:rsidR="00772829" w:rsidRPr="00205340" w:rsidRDefault="00772829" w:rsidP="005C116D">
      <w:pPr>
        <w:pStyle w:val="Heading2"/>
        <w:numPr>
          <w:ilvl w:val="0"/>
          <w:numId w:val="29"/>
        </w:numPr>
        <w:ind w:hanging="720"/>
      </w:pPr>
      <w:bookmarkStart w:id="31" w:name="_Toc69491424"/>
      <w:bookmarkStart w:id="32" w:name="_Ref215675728"/>
      <w:bookmarkStart w:id="33" w:name="_Ref217389522"/>
      <w:r w:rsidRPr="00205340">
        <w:t>Comparative effectiveness</w:t>
      </w:r>
      <w:bookmarkEnd w:id="31"/>
      <w:bookmarkEnd w:id="32"/>
      <w:bookmarkEnd w:id="33"/>
    </w:p>
    <w:p w14:paraId="1EE21848" w14:textId="7F4C56AC" w:rsidR="00096056" w:rsidRPr="00205340" w:rsidRDefault="00A67708" w:rsidP="00096056">
      <w:pPr>
        <w:pStyle w:val="Heading3"/>
      </w:pPr>
      <w:r w:rsidRPr="00205340">
        <w:t>Haemophilia A</w:t>
      </w:r>
    </w:p>
    <w:p w14:paraId="1EEC90B0" w14:textId="18835317" w:rsidR="004F76A0" w:rsidRPr="00205340" w:rsidRDefault="00A67708" w:rsidP="004F76A0">
      <w:pPr>
        <w:pStyle w:val="Heading4"/>
      </w:pPr>
      <w:r w:rsidRPr="00205340">
        <w:t>M</w:t>
      </w:r>
      <w:r w:rsidR="004F76A0" w:rsidRPr="00205340">
        <w:t>arstacimab versus emicizumab</w:t>
      </w:r>
    </w:p>
    <w:p w14:paraId="3E70D0B9" w14:textId="716CB842" w:rsidR="004F76A0" w:rsidRPr="00205340" w:rsidRDefault="00931A3E" w:rsidP="00000617">
      <w:r w:rsidRPr="00205340">
        <w:t>No head-to-head trials were identified comparing marstacimab and emicizumab. The ADAR therefore use</w:t>
      </w:r>
      <w:r w:rsidR="00634923" w:rsidRPr="00205340">
        <w:t xml:space="preserve">d an ITC based on </w:t>
      </w:r>
      <w:r w:rsidR="006843F3" w:rsidRPr="00205340">
        <w:t>a systematic literature review</w:t>
      </w:r>
      <w:r w:rsidR="00634923" w:rsidRPr="00205340">
        <w:t xml:space="preserve"> performed by IQVIA</w:t>
      </w:r>
      <w:r w:rsidR="0084096C" w:rsidRPr="00205340">
        <w:t xml:space="preserve"> (2024)</w:t>
      </w:r>
      <w:r w:rsidR="0089752C">
        <w:rPr>
          <w:rFonts w:ascii="ZWAdobeF" w:hAnsi="ZWAdobeF" w:cs="ZWAdobeF"/>
          <w:sz w:val="2"/>
          <w:szCs w:val="2"/>
        </w:rPr>
        <w:t>10F</w:t>
      </w:r>
      <w:r w:rsidR="0084096C" w:rsidRPr="00205340">
        <w:rPr>
          <w:rStyle w:val="FootnoteReference"/>
        </w:rPr>
        <w:footnoteReference w:id="11"/>
      </w:r>
      <w:r w:rsidR="00634923" w:rsidRPr="00205340">
        <w:t xml:space="preserve">. IQVIA </w:t>
      </w:r>
      <w:r w:rsidR="00634923" w:rsidRPr="00205340">
        <w:lastRenderedPageBreak/>
        <w:t xml:space="preserve">determined that the HAVEN 3 study was the only study on emicizumab that provided sufficient baseline characteristics to incorporate into the ITC. </w:t>
      </w:r>
      <w:r w:rsidR="005300B3" w:rsidRPr="00205340">
        <w:t>Particularly, HAVEN 3 was the only trial identified to have a defined study population comparable to participants with HMA in the BASIS trial in terms of its restriction to individuals who had severe disease and no inhibitors</w:t>
      </w:r>
      <w:r w:rsidR="006C43D3" w:rsidRPr="00205340">
        <w:t>.</w:t>
      </w:r>
      <w:r w:rsidR="005300B3" w:rsidRPr="00205340">
        <w:t xml:space="preserve"> </w:t>
      </w:r>
      <w:r w:rsidR="00634923" w:rsidRPr="00205340">
        <w:t>The ADAR noted that there were important difference</w:t>
      </w:r>
      <w:r w:rsidR="006F29DE" w:rsidRPr="00205340">
        <w:t>s</w:t>
      </w:r>
      <w:r w:rsidR="00634923" w:rsidRPr="00205340">
        <w:t xml:space="preserve"> between the clinical management of bleeding events between the BASIS and HAVEN 3 trials. Large differences between treatment effect modifiers and prognostic factors required the results to be adjusted to reduce bias.</w:t>
      </w:r>
      <w:r w:rsidR="005300B3" w:rsidRPr="00205340">
        <w:t xml:space="preserve"> Methodology for adjustment varied across the different modifiers, prognostic factors and outcome measures of interest. </w:t>
      </w:r>
    </w:p>
    <w:p w14:paraId="36157CD9" w14:textId="342D9EA2" w:rsidR="00E626D9" w:rsidRPr="00205340" w:rsidRDefault="0003464F" w:rsidP="004F76A0">
      <w:r w:rsidRPr="00205340">
        <w:t xml:space="preserve">After adjustments, there were no significant differences between annualised bleeding rates (ABRs) in those receiving marstacimab (in the BASIS trial) and those receiving emicizumab (in the HAVEN 3 </w:t>
      </w:r>
      <w:r w:rsidR="00D91B8E" w:rsidRPr="00205340">
        <w:t>trial) (</w:t>
      </w:r>
      <w:r w:rsidR="002C5B86" w:rsidRPr="00205340">
        <w:fldChar w:fldCharType="begin" w:fldLock="1"/>
      </w:r>
      <w:r w:rsidR="002C5B86" w:rsidRPr="00205340">
        <w:instrText xml:space="preserve"> REF _Ref227156512 \h </w:instrText>
      </w:r>
      <w:r w:rsidR="00205340">
        <w:instrText xml:space="preserve"> \* MERGEFORMAT </w:instrText>
      </w:r>
      <w:r w:rsidR="002C5B86" w:rsidRPr="00205340">
        <w:fldChar w:fldCharType="separate"/>
      </w:r>
      <w:r w:rsidR="002C5B86" w:rsidRPr="00205340">
        <w:t xml:space="preserve">Table </w:t>
      </w:r>
      <w:r w:rsidR="002C5B86" w:rsidRPr="00205340">
        <w:rPr>
          <w:noProof/>
        </w:rPr>
        <w:t>5</w:t>
      </w:r>
      <w:r w:rsidR="002C5B86" w:rsidRPr="00205340">
        <w:fldChar w:fldCharType="end"/>
      </w:r>
      <w:r w:rsidR="0071497E" w:rsidRPr="00205340">
        <w:t>)</w:t>
      </w:r>
      <w:r w:rsidRPr="00205340">
        <w:t>. Likewise, there were no significant differences between the proportion of patients with zero bleeding events over the 6-month follow-up periods. These data appear to support the claim of non-inferiority between marstacimab and emicizumab. However, these results are highly uncertain, as they relied on statistical adjustments</w:t>
      </w:r>
      <w:r w:rsidR="00442DB7" w:rsidRPr="00205340">
        <w:t>, and could not fully account for geographical and temporal differences between the trials</w:t>
      </w:r>
      <w:r w:rsidR="00EA3C6D" w:rsidRPr="00205340">
        <w:t xml:space="preserve"> or unmeasured confounding</w:t>
      </w:r>
      <w:r w:rsidRPr="00205340">
        <w:t xml:space="preserve">. </w:t>
      </w:r>
    </w:p>
    <w:p w14:paraId="43B5995C" w14:textId="77777777" w:rsidR="00E626D9" w:rsidRPr="00205340" w:rsidRDefault="00E626D9" w:rsidP="00E626D9">
      <w:pPr>
        <w:jc w:val="both"/>
      </w:pPr>
      <w:r w:rsidRPr="00205340">
        <w:t>These methodological limitations of the ITC were summarised in the ADAR as follows:</w:t>
      </w:r>
    </w:p>
    <w:p w14:paraId="28C92621" w14:textId="77777777" w:rsidR="00E626D9" w:rsidRPr="00205340" w:rsidRDefault="00E626D9" w:rsidP="005C116D">
      <w:pPr>
        <w:pStyle w:val="ListParagraph"/>
        <w:numPr>
          <w:ilvl w:val="0"/>
          <w:numId w:val="24"/>
        </w:numPr>
      </w:pPr>
      <w:r w:rsidRPr="00205340">
        <w:t>BASIS trial participants tended to have more severe disease at baseline compared to those in HAVEN 3. While restriction and population-adjustment were used to control for these differences risk of bias due to residual imbalances remain, e.g. lack of information on additional covariates that would otherwise allow a more complete adjustment of baseline differences in disease severity.</w:t>
      </w:r>
    </w:p>
    <w:p w14:paraId="47C8934F" w14:textId="77777777" w:rsidR="00E626D9" w:rsidRPr="00205340" w:rsidRDefault="00E626D9" w:rsidP="005C116D">
      <w:pPr>
        <w:pStyle w:val="ListParagraph"/>
        <w:numPr>
          <w:ilvl w:val="0"/>
          <w:numId w:val="24"/>
        </w:numPr>
      </w:pPr>
      <w:r w:rsidRPr="00205340">
        <w:t>There were geographical and temporal differences between the HAVEN 3 and BASIS trials that could not be fully accounted for within the ITC analyses. In the BASIS trial, there were a higher proportion of non-white individuals compared to HAVEN 3, potentially due to differences in geographic distribution of participants. Differences in clinical practice across geographical locations could explain between trial heterogeneity in disease severity and in the treatment of breakthrough bleeding. Temporal differences in clinical practice may also account in part for this heterogeneity. For example, the data cut-off date for HAVEN 3 was September 2017 and enrolment for BASIS began in March 2020. The COVID-19 pandemic, which began at the end of 2019, may have had a negative impact on access to healthcare resources and the physical, psychological and socio-economic wellbeing of individuals enrolled in BASIS. Given that the ITC analyses could not fully account for such geographical and temporal differences, findings should be interpreted with caution.</w:t>
      </w:r>
    </w:p>
    <w:p w14:paraId="74C816F0" w14:textId="77777777" w:rsidR="00E626D9" w:rsidRPr="00205340" w:rsidRDefault="00E626D9" w:rsidP="005C116D">
      <w:pPr>
        <w:pStyle w:val="ListParagraph"/>
        <w:numPr>
          <w:ilvl w:val="0"/>
          <w:numId w:val="24"/>
        </w:numPr>
      </w:pPr>
      <w:r w:rsidRPr="00205340">
        <w:t>The ITC estimates lacked precision due to limited sample sizes. The BASIS trial enrolled participants with both HMA and HMB who received prior prophylaxis or on-demand therapy. To facilitate the unanchored ITC with emicizumab, analyses were restricted to individuals with severe HMA who received prior prophylaxis. Since BASIS was not designed to detect subgroup differences based on haemophilia type and prior treatment regimen, the sample size was limited, and this resulted in wide confidence intervals reflecting statistical imprecision.</w:t>
      </w:r>
    </w:p>
    <w:p w14:paraId="1CE52101" w14:textId="2E1D5368" w:rsidR="0003464F" w:rsidRPr="00205340" w:rsidRDefault="0003464F" w:rsidP="004F76A0">
      <w:r w:rsidRPr="00205340">
        <w:t>An ongoing trial (</w:t>
      </w:r>
      <w:hyperlink r:id="rId12" w:history="1">
        <w:r w:rsidR="0035251E" w:rsidRPr="00205340">
          <w:rPr>
            <w:rStyle w:val="Hyperlink"/>
          </w:rPr>
          <w:t>NCT06703606</w:t>
        </w:r>
      </w:hyperlink>
      <w:r w:rsidR="0035251E" w:rsidRPr="00205340">
        <w:t>) is assessing the impact of patients with severe HMA switching from emicizumab to marstacimab, but this within-patient comparison is expected to only be completed in 2027.</w:t>
      </w:r>
    </w:p>
    <w:p w14:paraId="377CC3CE" w14:textId="383EE534" w:rsidR="002C5B86" w:rsidRPr="00205340" w:rsidRDefault="002C5B86" w:rsidP="002C5B86">
      <w:pPr>
        <w:pStyle w:val="Caption"/>
      </w:pPr>
      <w:bookmarkStart w:id="34" w:name="_Ref227156512"/>
      <w:r w:rsidRPr="00205340">
        <w:lastRenderedPageBreak/>
        <w:t xml:space="preserve">Table </w:t>
      </w:r>
      <w:fldSimple w:instr=" SEQ Table \* ARABIC ">
        <w:r w:rsidR="002C6A9B" w:rsidRPr="00205340">
          <w:rPr>
            <w:noProof/>
          </w:rPr>
          <w:t>5</w:t>
        </w:r>
      </w:fldSimple>
      <w:bookmarkEnd w:id="34"/>
      <w:r w:rsidRPr="00205340">
        <w:t xml:space="preserve"> Results for the unanchored indirect simulated treatment comparison (STC) of marstacimab (BASIS) versus emicizumab (HAVEN 3 Group D) among individuals with severe HMA without inhibitors who received prior FVIII prophylaxis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433"/>
        <w:gridCol w:w="780"/>
        <w:gridCol w:w="1774"/>
        <w:gridCol w:w="1773"/>
        <w:gridCol w:w="1761"/>
      </w:tblGrid>
      <w:tr w:rsidR="0065629D" w:rsidRPr="00205340" w14:paraId="2EE65ED7" w14:textId="77777777" w:rsidTr="00931A3E">
        <w:tc>
          <w:tcPr>
            <w:tcW w:w="1526" w:type="dxa"/>
            <w:vAlign w:val="bottom"/>
          </w:tcPr>
          <w:p w14:paraId="562AB1C4" w14:textId="77777777" w:rsidR="00931A3E" w:rsidRPr="00205340" w:rsidRDefault="00931A3E" w:rsidP="005C116D">
            <w:pPr>
              <w:pStyle w:val="Tabletext0"/>
              <w:keepNext/>
              <w:keepLines/>
              <w:rPr>
                <w:b/>
                <w:bCs/>
              </w:rPr>
            </w:pPr>
            <w:r w:rsidRPr="00205340">
              <w:rPr>
                <w:b/>
                <w:bCs/>
              </w:rPr>
              <w:t>Outcome</w:t>
            </w:r>
          </w:p>
        </w:tc>
        <w:tc>
          <w:tcPr>
            <w:tcW w:w="1468" w:type="dxa"/>
            <w:vAlign w:val="bottom"/>
          </w:tcPr>
          <w:p w14:paraId="3EF29F38" w14:textId="77777777" w:rsidR="00931A3E" w:rsidRPr="00205340" w:rsidRDefault="00931A3E" w:rsidP="005C116D">
            <w:pPr>
              <w:pStyle w:val="Tabletext0"/>
              <w:keepNext/>
              <w:keepLines/>
              <w:rPr>
                <w:b/>
                <w:bCs/>
              </w:rPr>
            </w:pPr>
            <w:r w:rsidRPr="00205340">
              <w:rPr>
                <w:b/>
                <w:bCs/>
              </w:rPr>
              <w:t>Trial Arm</w:t>
            </w:r>
          </w:p>
        </w:tc>
        <w:tc>
          <w:tcPr>
            <w:tcW w:w="800" w:type="dxa"/>
            <w:vAlign w:val="bottom"/>
          </w:tcPr>
          <w:p w14:paraId="7CD2FA36" w14:textId="77777777" w:rsidR="00931A3E" w:rsidRPr="00205340" w:rsidRDefault="00931A3E" w:rsidP="005C116D">
            <w:pPr>
              <w:pStyle w:val="Tabletext0"/>
              <w:keepNext/>
              <w:keepLines/>
              <w:rPr>
                <w:b/>
                <w:bCs/>
              </w:rPr>
            </w:pPr>
            <w:r w:rsidRPr="00205340">
              <w:rPr>
                <w:b/>
                <w:bCs/>
              </w:rPr>
              <w:t>n</w:t>
            </w:r>
          </w:p>
        </w:tc>
        <w:tc>
          <w:tcPr>
            <w:tcW w:w="1816" w:type="dxa"/>
            <w:vAlign w:val="bottom"/>
          </w:tcPr>
          <w:p w14:paraId="44D5E5C6" w14:textId="77777777" w:rsidR="00931A3E" w:rsidRPr="00205340" w:rsidRDefault="00931A3E" w:rsidP="005C116D">
            <w:pPr>
              <w:pStyle w:val="Tabletext0"/>
              <w:keepNext/>
              <w:keepLines/>
              <w:rPr>
                <w:b/>
                <w:bCs/>
                <w:vertAlign w:val="superscript"/>
              </w:rPr>
            </w:pPr>
            <w:r w:rsidRPr="00205340">
              <w:rPr>
                <w:b/>
                <w:bCs/>
              </w:rPr>
              <w:t>Outcome</w:t>
            </w:r>
            <w:r w:rsidRPr="00205340">
              <w:rPr>
                <w:b/>
                <w:bCs/>
                <w:vertAlign w:val="superscript"/>
              </w:rPr>
              <w:t>1</w:t>
            </w:r>
          </w:p>
          <w:p w14:paraId="5CDCB605" w14:textId="77777777" w:rsidR="00931A3E" w:rsidRPr="00205340" w:rsidRDefault="00931A3E" w:rsidP="005C116D">
            <w:pPr>
              <w:pStyle w:val="Tabletext0"/>
              <w:keepNext/>
              <w:keepLines/>
              <w:rPr>
                <w:b/>
                <w:bCs/>
              </w:rPr>
            </w:pPr>
            <w:r w:rsidRPr="00205340">
              <w:rPr>
                <w:b/>
                <w:bCs/>
              </w:rPr>
              <w:t>(95% CI)</w:t>
            </w:r>
          </w:p>
        </w:tc>
        <w:tc>
          <w:tcPr>
            <w:tcW w:w="1816" w:type="dxa"/>
            <w:vAlign w:val="bottom"/>
          </w:tcPr>
          <w:p w14:paraId="1A3FB689" w14:textId="77777777" w:rsidR="00931A3E" w:rsidRPr="00205340" w:rsidRDefault="00931A3E" w:rsidP="005C116D">
            <w:pPr>
              <w:pStyle w:val="Tabletext0"/>
              <w:keepNext/>
              <w:keepLines/>
              <w:rPr>
                <w:b/>
                <w:bCs/>
              </w:rPr>
            </w:pPr>
            <w:r w:rsidRPr="00205340">
              <w:rPr>
                <w:b/>
                <w:bCs/>
              </w:rPr>
              <w:t>Effect Estimate</w:t>
            </w:r>
            <w:r w:rsidRPr="00205340">
              <w:rPr>
                <w:b/>
                <w:bCs/>
                <w:vertAlign w:val="superscript"/>
              </w:rPr>
              <w:t>2</w:t>
            </w:r>
            <w:r w:rsidRPr="00205340">
              <w:rPr>
                <w:b/>
                <w:bCs/>
              </w:rPr>
              <w:t xml:space="preserve"> </w:t>
            </w:r>
          </w:p>
          <w:p w14:paraId="194A5BA5" w14:textId="77777777" w:rsidR="00931A3E" w:rsidRPr="00205340" w:rsidRDefault="00931A3E" w:rsidP="005C116D">
            <w:pPr>
              <w:pStyle w:val="Tabletext0"/>
              <w:keepNext/>
              <w:keepLines/>
              <w:rPr>
                <w:b/>
                <w:bCs/>
              </w:rPr>
            </w:pPr>
            <w:r w:rsidRPr="00205340">
              <w:rPr>
                <w:b/>
                <w:bCs/>
              </w:rPr>
              <w:t>(95% CI)</w:t>
            </w:r>
          </w:p>
        </w:tc>
        <w:tc>
          <w:tcPr>
            <w:tcW w:w="1816" w:type="dxa"/>
            <w:vAlign w:val="bottom"/>
          </w:tcPr>
          <w:p w14:paraId="54AA936B" w14:textId="77777777" w:rsidR="00931A3E" w:rsidRPr="00205340" w:rsidRDefault="00931A3E" w:rsidP="005C116D">
            <w:pPr>
              <w:pStyle w:val="Tabletext0"/>
              <w:keepNext/>
              <w:keepLines/>
              <w:rPr>
                <w:b/>
                <w:bCs/>
              </w:rPr>
            </w:pPr>
            <w:r w:rsidRPr="00205340">
              <w:rPr>
                <w:b/>
                <w:bCs/>
              </w:rPr>
              <w:t>p-value</w:t>
            </w:r>
          </w:p>
        </w:tc>
      </w:tr>
      <w:tr w:rsidR="00931A3E" w:rsidRPr="00205340" w14:paraId="336A6FF1" w14:textId="77777777">
        <w:tc>
          <w:tcPr>
            <w:tcW w:w="9242" w:type="dxa"/>
            <w:gridSpan w:val="6"/>
          </w:tcPr>
          <w:p w14:paraId="56D13851" w14:textId="77777777" w:rsidR="00931A3E" w:rsidRPr="00205340" w:rsidRDefault="00931A3E" w:rsidP="005C116D">
            <w:pPr>
              <w:pStyle w:val="Tabletext0"/>
              <w:keepNext/>
              <w:keepLines/>
              <w:rPr>
                <w:bCs/>
                <w:i/>
                <w:iCs/>
              </w:rPr>
            </w:pPr>
            <w:r w:rsidRPr="00205340">
              <w:rPr>
                <w:bCs/>
                <w:i/>
                <w:iCs/>
              </w:rPr>
              <w:t>Main analyses: total bleeding events</w:t>
            </w:r>
          </w:p>
        </w:tc>
      </w:tr>
      <w:tr w:rsidR="0065629D" w:rsidRPr="00205340" w14:paraId="0E67BDAA" w14:textId="77777777">
        <w:tc>
          <w:tcPr>
            <w:tcW w:w="1526" w:type="dxa"/>
            <w:vMerge w:val="restart"/>
            <w:vAlign w:val="center"/>
          </w:tcPr>
          <w:p w14:paraId="15553556" w14:textId="77777777" w:rsidR="00931A3E" w:rsidRPr="00205340" w:rsidRDefault="00931A3E" w:rsidP="005C116D">
            <w:pPr>
              <w:pStyle w:val="Tabletext0"/>
              <w:keepNext/>
              <w:keepLines/>
            </w:pPr>
            <w:r w:rsidRPr="00205340">
              <w:t>Total ABR</w:t>
            </w:r>
          </w:p>
        </w:tc>
        <w:tc>
          <w:tcPr>
            <w:tcW w:w="1468" w:type="dxa"/>
          </w:tcPr>
          <w:p w14:paraId="00EBF458" w14:textId="77777777" w:rsidR="00931A3E" w:rsidRPr="00205340" w:rsidRDefault="00931A3E" w:rsidP="005C116D">
            <w:pPr>
              <w:pStyle w:val="Tabletext0"/>
              <w:keepNext/>
              <w:keepLines/>
            </w:pPr>
            <w:r w:rsidRPr="00205340">
              <w:t>BASIS: naïve</w:t>
            </w:r>
          </w:p>
        </w:tc>
        <w:tc>
          <w:tcPr>
            <w:tcW w:w="800" w:type="dxa"/>
          </w:tcPr>
          <w:p w14:paraId="77098E1C" w14:textId="77777777" w:rsidR="00931A3E" w:rsidRPr="00205340" w:rsidRDefault="00931A3E" w:rsidP="005C116D">
            <w:pPr>
              <w:pStyle w:val="Tabletext0"/>
              <w:keepNext/>
              <w:keepLines/>
            </w:pPr>
            <w:r w:rsidRPr="00205340">
              <w:t>65</w:t>
            </w:r>
          </w:p>
        </w:tc>
        <w:tc>
          <w:tcPr>
            <w:tcW w:w="1816" w:type="dxa"/>
          </w:tcPr>
          <w:p w14:paraId="449DC694" w14:textId="77777777" w:rsidR="00931A3E" w:rsidRPr="00F31D1B" w:rsidRDefault="00931A3E" w:rsidP="005C116D">
            <w:pPr>
              <w:pStyle w:val="Tabletext0"/>
              <w:keepNext/>
              <w:keepLines/>
            </w:pPr>
            <w:r w:rsidRPr="00F31D1B">
              <w:t xml:space="preserve">6.18 (4.33 to 8.82) </w:t>
            </w:r>
          </w:p>
        </w:tc>
        <w:tc>
          <w:tcPr>
            <w:tcW w:w="1816" w:type="dxa"/>
          </w:tcPr>
          <w:p w14:paraId="73D7EB43" w14:textId="77777777" w:rsidR="00931A3E" w:rsidRPr="00F31D1B" w:rsidRDefault="00931A3E" w:rsidP="005C116D">
            <w:pPr>
              <w:pStyle w:val="Tabletext0"/>
              <w:keepNext/>
              <w:keepLines/>
            </w:pPr>
            <w:r w:rsidRPr="00F31D1B">
              <w:t xml:space="preserve">1.87 (1.11 to 3.18) </w:t>
            </w:r>
          </w:p>
        </w:tc>
        <w:tc>
          <w:tcPr>
            <w:tcW w:w="1816" w:type="dxa"/>
          </w:tcPr>
          <w:p w14:paraId="3D695ED4" w14:textId="77777777" w:rsidR="00931A3E" w:rsidRPr="00F31D1B" w:rsidRDefault="00931A3E" w:rsidP="005C116D">
            <w:pPr>
              <w:pStyle w:val="Tabletext0"/>
              <w:keepNext/>
              <w:keepLines/>
            </w:pPr>
            <w:r w:rsidRPr="00F31D1B">
              <w:t xml:space="preserve">0.02 </w:t>
            </w:r>
          </w:p>
        </w:tc>
      </w:tr>
      <w:tr w:rsidR="0065629D" w:rsidRPr="00205340" w14:paraId="571879A4" w14:textId="77777777">
        <w:tc>
          <w:tcPr>
            <w:tcW w:w="1526" w:type="dxa"/>
            <w:vMerge/>
            <w:vAlign w:val="center"/>
          </w:tcPr>
          <w:p w14:paraId="3CE3E3A5" w14:textId="77777777" w:rsidR="00931A3E" w:rsidRPr="00205340" w:rsidRDefault="00931A3E" w:rsidP="005C116D">
            <w:pPr>
              <w:pStyle w:val="Tabletext0"/>
              <w:keepNext/>
              <w:keepLines/>
            </w:pPr>
          </w:p>
        </w:tc>
        <w:tc>
          <w:tcPr>
            <w:tcW w:w="1468" w:type="dxa"/>
            <w:shd w:val="clear" w:color="auto" w:fill="FFF2CC" w:themeFill="accent4" w:themeFillTint="33"/>
          </w:tcPr>
          <w:p w14:paraId="0DA11653" w14:textId="77777777" w:rsidR="00931A3E" w:rsidRPr="00205340" w:rsidRDefault="00931A3E" w:rsidP="005C116D">
            <w:pPr>
              <w:pStyle w:val="Tabletext0"/>
              <w:keepNext/>
              <w:keepLines/>
              <w:rPr>
                <w:vertAlign w:val="superscript"/>
              </w:rPr>
            </w:pPr>
            <w:r w:rsidRPr="00205340">
              <w:t>BASIS: STC</w:t>
            </w:r>
            <w:r w:rsidRPr="00205340">
              <w:rPr>
                <w:vertAlign w:val="superscript"/>
              </w:rPr>
              <w:t>3</w:t>
            </w:r>
          </w:p>
        </w:tc>
        <w:tc>
          <w:tcPr>
            <w:tcW w:w="800" w:type="dxa"/>
            <w:shd w:val="clear" w:color="auto" w:fill="FFF2CC" w:themeFill="accent4" w:themeFillTint="33"/>
          </w:tcPr>
          <w:p w14:paraId="77E21869" w14:textId="77777777" w:rsidR="00931A3E" w:rsidRPr="00205340" w:rsidRDefault="00931A3E" w:rsidP="005C116D">
            <w:pPr>
              <w:pStyle w:val="Tabletext0"/>
              <w:keepNext/>
              <w:keepLines/>
            </w:pPr>
            <w:r w:rsidRPr="00205340">
              <w:t>65</w:t>
            </w:r>
          </w:p>
        </w:tc>
        <w:tc>
          <w:tcPr>
            <w:tcW w:w="1816" w:type="dxa"/>
            <w:shd w:val="clear" w:color="auto" w:fill="FFF2CC" w:themeFill="accent4" w:themeFillTint="33"/>
          </w:tcPr>
          <w:p w14:paraId="37CF5F11" w14:textId="77777777" w:rsidR="00931A3E" w:rsidRPr="00F31D1B" w:rsidRDefault="00931A3E" w:rsidP="005C116D">
            <w:pPr>
              <w:pStyle w:val="Tabletext0"/>
              <w:keepNext/>
              <w:keepLines/>
            </w:pPr>
            <w:r w:rsidRPr="00F31D1B">
              <w:t xml:space="preserve">3.58 (2.37 to 5.41) </w:t>
            </w:r>
          </w:p>
        </w:tc>
        <w:tc>
          <w:tcPr>
            <w:tcW w:w="1816" w:type="dxa"/>
            <w:shd w:val="clear" w:color="auto" w:fill="FFF2CC" w:themeFill="accent4" w:themeFillTint="33"/>
          </w:tcPr>
          <w:p w14:paraId="297EF0CF" w14:textId="77777777" w:rsidR="00931A3E" w:rsidRPr="00F31D1B" w:rsidRDefault="00931A3E" w:rsidP="005C116D">
            <w:pPr>
              <w:pStyle w:val="Tabletext0"/>
              <w:keepNext/>
              <w:keepLines/>
            </w:pPr>
            <w:r w:rsidRPr="00F31D1B">
              <w:t xml:space="preserve">1.08 (0.61 to 1.91) </w:t>
            </w:r>
          </w:p>
        </w:tc>
        <w:tc>
          <w:tcPr>
            <w:tcW w:w="1816" w:type="dxa"/>
            <w:shd w:val="clear" w:color="auto" w:fill="FFF2CC" w:themeFill="accent4" w:themeFillTint="33"/>
          </w:tcPr>
          <w:p w14:paraId="05E902AE" w14:textId="77777777" w:rsidR="00931A3E" w:rsidRPr="00F31D1B" w:rsidRDefault="00931A3E" w:rsidP="005C116D">
            <w:pPr>
              <w:pStyle w:val="Tabletext0"/>
              <w:keepNext/>
              <w:keepLines/>
            </w:pPr>
            <w:r w:rsidRPr="00F31D1B">
              <w:t xml:space="preserve">0.79 </w:t>
            </w:r>
          </w:p>
        </w:tc>
      </w:tr>
      <w:tr w:rsidR="0065629D" w:rsidRPr="00205340" w14:paraId="06E78D13" w14:textId="77777777">
        <w:tc>
          <w:tcPr>
            <w:tcW w:w="1526" w:type="dxa"/>
            <w:vMerge/>
            <w:vAlign w:val="center"/>
          </w:tcPr>
          <w:p w14:paraId="60FF7DC4" w14:textId="77777777" w:rsidR="00931A3E" w:rsidRPr="00205340" w:rsidRDefault="00931A3E" w:rsidP="005C116D">
            <w:pPr>
              <w:pStyle w:val="Tabletext0"/>
              <w:keepNext/>
              <w:keepLines/>
            </w:pPr>
          </w:p>
        </w:tc>
        <w:tc>
          <w:tcPr>
            <w:tcW w:w="1468" w:type="dxa"/>
          </w:tcPr>
          <w:p w14:paraId="4488A557" w14:textId="77777777" w:rsidR="00931A3E" w:rsidRPr="00205340" w:rsidRDefault="00931A3E" w:rsidP="005C116D">
            <w:pPr>
              <w:pStyle w:val="Tabletext0"/>
              <w:keepNext/>
              <w:keepLines/>
            </w:pPr>
            <w:r w:rsidRPr="00205340">
              <w:t>HAVEN 3</w:t>
            </w:r>
          </w:p>
        </w:tc>
        <w:tc>
          <w:tcPr>
            <w:tcW w:w="800" w:type="dxa"/>
          </w:tcPr>
          <w:p w14:paraId="493BCBFA" w14:textId="77777777" w:rsidR="00931A3E" w:rsidRPr="00205340" w:rsidRDefault="00931A3E" w:rsidP="005C116D">
            <w:pPr>
              <w:pStyle w:val="Tabletext0"/>
              <w:keepNext/>
              <w:keepLines/>
            </w:pPr>
            <w:r w:rsidRPr="00205340">
              <w:t>63</w:t>
            </w:r>
          </w:p>
        </w:tc>
        <w:tc>
          <w:tcPr>
            <w:tcW w:w="1816" w:type="dxa"/>
          </w:tcPr>
          <w:p w14:paraId="160D19B4" w14:textId="77777777" w:rsidR="00931A3E" w:rsidRPr="00843C83" w:rsidRDefault="00931A3E" w:rsidP="005C116D">
            <w:pPr>
              <w:pStyle w:val="Tabletext0"/>
              <w:keepNext/>
              <w:keepLines/>
            </w:pPr>
            <w:r w:rsidRPr="00843C83">
              <w:t xml:space="preserve">3.3 (2.2 to 4.8) </w:t>
            </w:r>
          </w:p>
        </w:tc>
        <w:tc>
          <w:tcPr>
            <w:tcW w:w="1816" w:type="dxa"/>
          </w:tcPr>
          <w:p w14:paraId="0F9FC6BD" w14:textId="77777777" w:rsidR="00931A3E" w:rsidRPr="00843C83" w:rsidRDefault="00931A3E" w:rsidP="005C116D">
            <w:pPr>
              <w:pStyle w:val="Tabletext0"/>
              <w:keepNext/>
              <w:keepLines/>
            </w:pPr>
            <w:r w:rsidRPr="00843C83">
              <w:t>-</w:t>
            </w:r>
          </w:p>
        </w:tc>
        <w:tc>
          <w:tcPr>
            <w:tcW w:w="1816" w:type="dxa"/>
          </w:tcPr>
          <w:p w14:paraId="7F980AE9" w14:textId="77777777" w:rsidR="00931A3E" w:rsidRPr="00843C83" w:rsidRDefault="00931A3E" w:rsidP="005C116D">
            <w:pPr>
              <w:pStyle w:val="Tabletext0"/>
              <w:keepNext/>
              <w:keepLines/>
            </w:pPr>
            <w:r w:rsidRPr="00843C83">
              <w:t xml:space="preserve">- </w:t>
            </w:r>
          </w:p>
        </w:tc>
      </w:tr>
      <w:tr w:rsidR="0065629D" w:rsidRPr="00205340" w14:paraId="717FE805" w14:textId="77777777">
        <w:tc>
          <w:tcPr>
            <w:tcW w:w="1526" w:type="dxa"/>
            <w:vMerge w:val="restart"/>
            <w:vAlign w:val="center"/>
          </w:tcPr>
          <w:p w14:paraId="7C1BD243" w14:textId="77777777" w:rsidR="00931A3E" w:rsidRPr="00205340" w:rsidRDefault="00931A3E" w:rsidP="005C116D">
            <w:pPr>
              <w:pStyle w:val="Tabletext0"/>
              <w:keepNext/>
              <w:keepLines/>
            </w:pPr>
            <w:r w:rsidRPr="00205340">
              <w:t>% with zero total bleeding events</w:t>
            </w:r>
          </w:p>
        </w:tc>
        <w:tc>
          <w:tcPr>
            <w:tcW w:w="1468" w:type="dxa"/>
          </w:tcPr>
          <w:p w14:paraId="525E55AA" w14:textId="77777777" w:rsidR="00931A3E" w:rsidRPr="00205340" w:rsidRDefault="00931A3E" w:rsidP="005C116D">
            <w:pPr>
              <w:pStyle w:val="Tabletext0"/>
              <w:keepNext/>
              <w:keepLines/>
            </w:pPr>
            <w:r w:rsidRPr="00205340">
              <w:t>BASIS: naïve</w:t>
            </w:r>
          </w:p>
        </w:tc>
        <w:tc>
          <w:tcPr>
            <w:tcW w:w="800" w:type="dxa"/>
          </w:tcPr>
          <w:p w14:paraId="08094862" w14:textId="77777777" w:rsidR="00931A3E" w:rsidRPr="00205340" w:rsidRDefault="00931A3E" w:rsidP="005C116D">
            <w:pPr>
              <w:pStyle w:val="Tabletext0"/>
              <w:keepNext/>
              <w:keepLines/>
            </w:pPr>
            <w:r w:rsidRPr="00205340">
              <w:t>65</w:t>
            </w:r>
          </w:p>
        </w:tc>
        <w:tc>
          <w:tcPr>
            <w:tcW w:w="1816" w:type="dxa"/>
          </w:tcPr>
          <w:p w14:paraId="672A811C" w14:textId="77777777" w:rsidR="00931A3E" w:rsidRPr="00843C83" w:rsidRDefault="00931A3E" w:rsidP="005C116D">
            <w:pPr>
              <w:pStyle w:val="Tabletext0"/>
              <w:keepNext/>
              <w:keepLines/>
            </w:pPr>
            <w:r w:rsidRPr="00843C83">
              <w:t xml:space="preserve">36.9 (26.1 to 49.2) </w:t>
            </w:r>
          </w:p>
        </w:tc>
        <w:tc>
          <w:tcPr>
            <w:tcW w:w="1816" w:type="dxa"/>
          </w:tcPr>
          <w:p w14:paraId="64A80123" w14:textId="77777777" w:rsidR="00931A3E" w:rsidRPr="00843C83" w:rsidRDefault="00931A3E" w:rsidP="005C116D">
            <w:pPr>
              <w:pStyle w:val="Tabletext0"/>
              <w:keepNext/>
              <w:keepLines/>
            </w:pPr>
            <w:r w:rsidRPr="00843C83">
              <w:t xml:space="preserve">0.73 (0.36 to 1.48) </w:t>
            </w:r>
          </w:p>
        </w:tc>
        <w:tc>
          <w:tcPr>
            <w:tcW w:w="1816" w:type="dxa"/>
          </w:tcPr>
          <w:p w14:paraId="1C40801F" w14:textId="77777777" w:rsidR="00931A3E" w:rsidRPr="00843C83" w:rsidRDefault="00931A3E" w:rsidP="005C116D">
            <w:pPr>
              <w:pStyle w:val="Tabletext0"/>
              <w:keepNext/>
              <w:keepLines/>
            </w:pPr>
            <w:r w:rsidRPr="00843C83">
              <w:t xml:space="preserve">0.39 </w:t>
            </w:r>
          </w:p>
        </w:tc>
      </w:tr>
      <w:tr w:rsidR="0065629D" w:rsidRPr="00205340" w14:paraId="22199A0A" w14:textId="77777777">
        <w:tc>
          <w:tcPr>
            <w:tcW w:w="1526" w:type="dxa"/>
            <w:vMerge/>
            <w:vAlign w:val="center"/>
          </w:tcPr>
          <w:p w14:paraId="52F501F3" w14:textId="77777777" w:rsidR="00931A3E" w:rsidRPr="00205340" w:rsidRDefault="00931A3E" w:rsidP="005C116D">
            <w:pPr>
              <w:pStyle w:val="Tabletext0"/>
              <w:keepNext/>
              <w:keepLines/>
            </w:pPr>
          </w:p>
        </w:tc>
        <w:tc>
          <w:tcPr>
            <w:tcW w:w="1468" w:type="dxa"/>
            <w:shd w:val="clear" w:color="auto" w:fill="FFF2CC" w:themeFill="accent4" w:themeFillTint="33"/>
          </w:tcPr>
          <w:p w14:paraId="1C58A41E" w14:textId="77777777" w:rsidR="00931A3E" w:rsidRPr="00205340" w:rsidRDefault="00931A3E" w:rsidP="005C116D">
            <w:pPr>
              <w:pStyle w:val="Tabletext0"/>
              <w:keepNext/>
              <w:keepLines/>
              <w:rPr>
                <w:vertAlign w:val="superscript"/>
              </w:rPr>
            </w:pPr>
            <w:r w:rsidRPr="00205340">
              <w:t>BASIS: STC</w:t>
            </w:r>
            <w:r w:rsidRPr="00205340">
              <w:rPr>
                <w:vertAlign w:val="superscript"/>
              </w:rPr>
              <w:t>3</w:t>
            </w:r>
          </w:p>
        </w:tc>
        <w:tc>
          <w:tcPr>
            <w:tcW w:w="800" w:type="dxa"/>
            <w:shd w:val="clear" w:color="auto" w:fill="FFF2CC" w:themeFill="accent4" w:themeFillTint="33"/>
          </w:tcPr>
          <w:p w14:paraId="0F9CC867" w14:textId="77777777" w:rsidR="00931A3E" w:rsidRPr="00205340" w:rsidRDefault="00931A3E" w:rsidP="005C116D">
            <w:pPr>
              <w:pStyle w:val="Tabletext0"/>
              <w:keepNext/>
              <w:keepLines/>
            </w:pPr>
            <w:r w:rsidRPr="00205340">
              <w:t>65</w:t>
            </w:r>
          </w:p>
        </w:tc>
        <w:tc>
          <w:tcPr>
            <w:tcW w:w="1816" w:type="dxa"/>
            <w:shd w:val="clear" w:color="auto" w:fill="FFF2CC" w:themeFill="accent4" w:themeFillTint="33"/>
          </w:tcPr>
          <w:p w14:paraId="0CC0BF0F" w14:textId="77777777" w:rsidR="00931A3E" w:rsidRPr="00843C83" w:rsidRDefault="00931A3E" w:rsidP="005C116D">
            <w:pPr>
              <w:pStyle w:val="Tabletext0"/>
              <w:keepNext/>
              <w:keepLines/>
            </w:pPr>
            <w:r w:rsidRPr="00843C83">
              <w:t xml:space="preserve">34.0 (19.3 to 52.5) </w:t>
            </w:r>
          </w:p>
        </w:tc>
        <w:tc>
          <w:tcPr>
            <w:tcW w:w="1816" w:type="dxa"/>
            <w:shd w:val="clear" w:color="auto" w:fill="FFF2CC" w:themeFill="accent4" w:themeFillTint="33"/>
          </w:tcPr>
          <w:p w14:paraId="596E594C" w14:textId="77777777" w:rsidR="00931A3E" w:rsidRPr="00843C83" w:rsidRDefault="00931A3E" w:rsidP="005C116D">
            <w:pPr>
              <w:pStyle w:val="Tabletext0"/>
              <w:keepNext/>
              <w:keepLines/>
            </w:pPr>
            <w:r w:rsidRPr="00843C83">
              <w:t xml:space="preserve">0.64 (0.26 to 1.60) </w:t>
            </w:r>
          </w:p>
        </w:tc>
        <w:tc>
          <w:tcPr>
            <w:tcW w:w="1816" w:type="dxa"/>
            <w:shd w:val="clear" w:color="auto" w:fill="FFF2CC" w:themeFill="accent4" w:themeFillTint="33"/>
          </w:tcPr>
          <w:p w14:paraId="796490F2" w14:textId="77777777" w:rsidR="00931A3E" w:rsidRPr="00843C83" w:rsidRDefault="00931A3E" w:rsidP="005C116D">
            <w:pPr>
              <w:pStyle w:val="Tabletext0"/>
              <w:keepNext/>
              <w:keepLines/>
            </w:pPr>
            <w:r w:rsidRPr="00843C83">
              <w:t xml:space="preserve">0.35 </w:t>
            </w:r>
          </w:p>
        </w:tc>
      </w:tr>
      <w:tr w:rsidR="0065629D" w:rsidRPr="00205340" w14:paraId="07BE731B" w14:textId="77777777">
        <w:tc>
          <w:tcPr>
            <w:tcW w:w="1526" w:type="dxa"/>
            <w:vMerge/>
            <w:vAlign w:val="center"/>
          </w:tcPr>
          <w:p w14:paraId="4B372A81" w14:textId="77777777" w:rsidR="00931A3E" w:rsidRPr="00205340" w:rsidRDefault="00931A3E" w:rsidP="005C116D">
            <w:pPr>
              <w:pStyle w:val="Tabletext0"/>
              <w:keepNext/>
              <w:keepLines/>
            </w:pPr>
          </w:p>
        </w:tc>
        <w:tc>
          <w:tcPr>
            <w:tcW w:w="1468" w:type="dxa"/>
          </w:tcPr>
          <w:p w14:paraId="1E666B89" w14:textId="77777777" w:rsidR="00931A3E" w:rsidRPr="00205340" w:rsidRDefault="00931A3E" w:rsidP="005C116D">
            <w:pPr>
              <w:pStyle w:val="Tabletext0"/>
              <w:keepNext/>
              <w:keepLines/>
            </w:pPr>
            <w:r w:rsidRPr="00205340">
              <w:t>HAVEN 3</w:t>
            </w:r>
          </w:p>
        </w:tc>
        <w:tc>
          <w:tcPr>
            <w:tcW w:w="800" w:type="dxa"/>
          </w:tcPr>
          <w:p w14:paraId="5A3823FC" w14:textId="77777777" w:rsidR="00931A3E" w:rsidRPr="00205340" w:rsidRDefault="00931A3E" w:rsidP="005C116D">
            <w:pPr>
              <w:pStyle w:val="Tabletext0"/>
              <w:keepNext/>
              <w:keepLines/>
            </w:pPr>
            <w:r w:rsidRPr="00205340">
              <w:t>63</w:t>
            </w:r>
          </w:p>
        </w:tc>
        <w:tc>
          <w:tcPr>
            <w:tcW w:w="1816" w:type="dxa"/>
          </w:tcPr>
          <w:p w14:paraId="36C963BF" w14:textId="77777777" w:rsidR="00931A3E" w:rsidRPr="00843C83" w:rsidRDefault="00931A3E" w:rsidP="005C116D">
            <w:pPr>
              <w:pStyle w:val="Tabletext0"/>
              <w:keepNext/>
              <w:keepLines/>
            </w:pPr>
            <w:r w:rsidRPr="00843C83">
              <w:t xml:space="preserve">44.4 (31.9 to 57.5) </w:t>
            </w:r>
          </w:p>
        </w:tc>
        <w:tc>
          <w:tcPr>
            <w:tcW w:w="1816" w:type="dxa"/>
          </w:tcPr>
          <w:p w14:paraId="6704711F" w14:textId="77777777" w:rsidR="00931A3E" w:rsidRPr="00843C83" w:rsidRDefault="00931A3E" w:rsidP="005C116D">
            <w:pPr>
              <w:pStyle w:val="Tabletext0"/>
              <w:keepNext/>
              <w:keepLines/>
            </w:pPr>
            <w:r w:rsidRPr="00843C83">
              <w:t>-</w:t>
            </w:r>
          </w:p>
        </w:tc>
        <w:tc>
          <w:tcPr>
            <w:tcW w:w="1816" w:type="dxa"/>
          </w:tcPr>
          <w:p w14:paraId="3074B131" w14:textId="77777777" w:rsidR="00931A3E" w:rsidRPr="00843C83" w:rsidRDefault="00931A3E" w:rsidP="005C116D">
            <w:pPr>
              <w:pStyle w:val="Tabletext0"/>
              <w:keepNext/>
              <w:keepLines/>
            </w:pPr>
            <w:r w:rsidRPr="00843C83">
              <w:t xml:space="preserve">- </w:t>
            </w:r>
          </w:p>
        </w:tc>
      </w:tr>
      <w:tr w:rsidR="00931A3E" w:rsidRPr="00205340" w14:paraId="67E55C7A" w14:textId="77777777">
        <w:tc>
          <w:tcPr>
            <w:tcW w:w="9242" w:type="dxa"/>
            <w:gridSpan w:val="6"/>
            <w:vAlign w:val="center"/>
          </w:tcPr>
          <w:p w14:paraId="30527F2B" w14:textId="77777777" w:rsidR="00931A3E" w:rsidRPr="00843C83" w:rsidRDefault="00931A3E" w:rsidP="005C116D">
            <w:pPr>
              <w:pStyle w:val="Tabletext0"/>
              <w:keepNext/>
              <w:keepLines/>
              <w:rPr>
                <w:bCs/>
                <w:i/>
                <w:iCs/>
              </w:rPr>
            </w:pPr>
            <w:r w:rsidRPr="00843C83">
              <w:rPr>
                <w:bCs/>
                <w:i/>
                <w:iCs/>
              </w:rPr>
              <w:t>Sensitivity analysis 1: BASIS dose-escalation</w:t>
            </w:r>
          </w:p>
        </w:tc>
      </w:tr>
      <w:tr w:rsidR="0065629D" w:rsidRPr="00205340" w14:paraId="6F26898A" w14:textId="77777777">
        <w:tc>
          <w:tcPr>
            <w:tcW w:w="1526" w:type="dxa"/>
            <w:vMerge w:val="restart"/>
            <w:vAlign w:val="center"/>
          </w:tcPr>
          <w:p w14:paraId="65199593" w14:textId="77777777" w:rsidR="00931A3E" w:rsidRPr="00205340" w:rsidRDefault="00931A3E" w:rsidP="005C116D">
            <w:pPr>
              <w:pStyle w:val="Tabletext0"/>
              <w:keepNext/>
              <w:keepLines/>
            </w:pPr>
            <w:r w:rsidRPr="00205340">
              <w:t>Total ABR</w:t>
            </w:r>
          </w:p>
        </w:tc>
        <w:tc>
          <w:tcPr>
            <w:tcW w:w="1468" w:type="dxa"/>
          </w:tcPr>
          <w:p w14:paraId="218C1FC4" w14:textId="77777777" w:rsidR="00931A3E" w:rsidRPr="00205340" w:rsidRDefault="00931A3E" w:rsidP="005C116D">
            <w:pPr>
              <w:pStyle w:val="Tabletext0"/>
              <w:keepNext/>
              <w:keepLines/>
            </w:pPr>
            <w:r w:rsidRPr="00205340">
              <w:t>BASIS: naïve</w:t>
            </w:r>
          </w:p>
        </w:tc>
        <w:tc>
          <w:tcPr>
            <w:tcW w:w="800" w:type="dxa"/>
          </w:tcPr>
          <w:p w14:paraId="17AB633E" w14:textId="77777777" w:rsidR="00931A3E" w:rsidRPr="00205340" w:rsidRDefault="00931A3E" w:rsidP="005C116D">
            <w:pPr>
              <w:pStyle w:val="Tabletext0"/>
              <w:keepNext/>
              <w:keepLines/>
            </w:pPr>
            <w:r w:rsidRPr="00205340">
              <w:t>65</w:t>
            </w:r>
          </w:p>
        </w:tc>
        <w:tc>
          <w:tcPr>
            <w:tcW w:w="1816" w:type="dxa"/>
          </w:tcPr>
          <w:p w14:paraId="250B0E7A" w14:textId="77777777" w:rsidR="00931A3E" w:rsidRPr="00843C83" w:rsidRDefault="00931A3E" w:rsidP="005C116D">
            <w:pPr>
              <w:pStyle w:val="Tabletext0"/>
              <w:keepNext/>
              <w:keepLines/>
            </w:pPr>
            <w:r w:rsidRPr="00843C83">
              <w:t xml:space="preserve">5.78 (4.09 to 8.17) </w:t>
            </w:r>
          </w:p>
        </w:tc>
        <w:tc>
          <w:tcPr>
            <w:tcW w:w="1816" w:type="dxa"/>
          </w:tcPr>
          <w:p w14:paraId="343726B4" w14:textId="77777777" w:rsidR="00931A3E" w:rsidRPr="00843C83" w:rsidRDefault="00931A3E" w:rsidP="005C116D">
            <w:pPr>
              <w:pStyle w:val="Tabletext0"/>
              <w:keepNext/>
              <w:keepLines/>
            </w:pPr>
            <w:r w:rsidRPr="00843C83">
              <w:t xml:space="preserve">1.75 (1.04 to 2.95) </w:t>
            </w:r>
          </w:p>
        </w:tc>
        <w:tc>
          <w:tcPr>
            <w:tcW w:w="1816" w:type="dxa"/>
          </w:tcPr>
          <w:p w14:paraId="42D48CB3" w14:textId="77777777" w:rsidR="00931A3E" w:rsidRPr="00843C83" w:rsidRDefault="00931A3E" w:rsidP="005C116D">
            <w:pPr>
              <w:pStyle w:val="Tabletext0"/>
              <w:keepNext/>
              <w:keepLines/>
            </w:pPr>
            <w:r w:rsidRPr="00843C83">
              <w:t xml:space="preserve">0.04 </w:t>
            </w:r>
          </w:p>
        </w:tc>
      </w:tr>
      <w:tr w:rsidR="0065629D" w:rsidRPr="00205340" w14:paraId="338FAAB9" w14:textId="77777777" w:rsidTr="00F31D1B">
        <w:tc>
          <w:tcPr>
            <w:tcW w:w="1526" w:type="dxa"/>
            <w:vMerge/>
            <w:vAlign w:val="center"/>
          </w:tcPr>
          <w:p w14:paraId="34775D28" w14:textId="77777777" w:rsidR="00931A3E" w:rsidRPr="00205340" w:rsidRDefault="00931A3E" w:rsidP="005C116D">
            <w:pPr>
              <w:pStyle w:val="Tabletext0"/>
              <w:keepNext/>
              <w:keepLines/>
            </w:pPr>
          </w:p>
        </w:tc>
        <w:tc>
          <w:tcPr>
            <w:tcW w:w="1468" w:type="dxa"/>
            <w:shd w:val="clear" w:color="auto" w:fill="FFF2CC" w:themeFill="accent4" w:themeFillTint="33"/>
          </w:tcPr>
          <w:p w14:paraId="623DA245" w14:textId="77777777" w:rsidR="00931A3E" w:rsidRPr="00205340" w:rsidRDefault="00931A3E" w:rsidP="005C116D">
            <w:pPr>
              <w:pStyle w:val="Tabletext0"/>
              <w:keepNext/>
              <w:keepLines/>
              <w:rPr>
                <w:vertAlign w:val="superscript"/>
              </w:rPr>
            </w:pPr>
            <w:r w:rsidRPr="00205340">
              <w:t>BASIS: STC</w:t>
            </w:r>
            <w:r w:rsidRPr="00205340">
              <w:rPr>
                <w:vertAlign w:val="superscript"/>
              </w:rPr>
              <w:t>3</w:t>
            </w:r>
          </w:p>
        </w:tc>
        <w:tc>
          <w:tcPr>
            <w:tcW w:w="800" w:type="dxa"/>
            <w:shd w:val="clear" w:color="auto" w:fill="FFF2CC" w:themeFill="accent4" w:themeFillTint="33"/>
          </w:tcPr>
          <w:p w14:paraId="718709A1" w14:textId="77777777" w:rsidR="00931A3E" w:rsidRPr="00205340" w:rsidRDefault="00931A3E" w:rsidP="005C116D">
            <w:pPr>
              <w:pStyle w:val="Tabletext0"/>
              <w:keepNext/>
              <w:keepLines/>
            </w:pPr>
            <w:r w:rsidRPr="00205340">
              <w:t>65</w:t>
            </w:r>
          </w:p>
        </w:tc>
        <w:tc>
          <w:tcPr>
            <w:tcW w:w="1816" w:type="dxa"/>
          </w:tcPr>
          <w:p w14:paraId="64895A26" w14:textId="77777777" w:rsidR="00931A3E" w:rsidRPr="00843C83" w:rsidRDefault="00931A3E" w:rsidP="005C116D">
            <w:pPr>
              <w:pStyle w:val="Tabletext0"/>
              <w:keepNext/>
              <w:keepLines/>
            </w:pPr>
            <w:r w:rsidRPr="00843C83">
              <w:t xml:space="preserve">3.60 (2.40 to 5.39) </w:t>
            </w:r>
          </w:p>
        </w:tc>
        <w:tc>
          <w:tcPr>
            <w:tcW w:w="1816" w:type="dxa"/>
          </w:tcPr>
          <w:p w14:paraId="04545CF8" w14:textId="77777777" w:rsidR="00931A3E" w:rsidRPr="00843C83" w:rsidRDefault="00931A3E" w:rsidP="005C116D">
            <w:pPr>
              <w:pStyle w:val="Tabletext0"/>
              <w:keepNext/>
              <w:keepLines/>
            </w:pPr>
            <w:r w:rsidRPr="00843C83">
              <w:t xml:space="preserve">1.09 (0.62 to 1.91) </w:t>
            </w:r>
          </w:p>
        </w:tc>
        <w:tc>
          <w:tcPr>
            <w:tcW w:w="1816" w:type="dxa"/>
          </w:tcPr>
          <w:p w14:paraId="337F3E8E" w14:textId="77777777" w:rsidR="00931A3E" w:rsidRPr="00843C83" w:rsidRDefault="00931A3E" w:rsidP="005C116D">
            <w:pPr>
              <w:pStyle w:val="Tabletext0"/>
              <w:keepNext/>
              <w:keepLines/>
            </w:pPr>
            <w:r w:rsidRPr="00843C83">
              <w:t xml:space="preserve">0.78 </w:t>
            </w:r>
          </w:p>
        </w:tc>
      </w:tr>
      <w:tr w:rsidR="0065629D" w:rsidRPr="00205340" w14:paraId="7B9544F6" w14:textId="77777777">
        <w:tc>
          <w:tcPr>
            <w:tcW w:w="1526" w:type="dxa"/>
            <w:vMerge/>
            <w:vAlign w:val="center"/>
          </w:tcPr>
          <w:p w14:paraId="29954C95" w14:textId="77777777" w:rsidR="00931A3E" w:rsidRPr="00205340" w:rsidRDefault="00931A3E" w:rsidP="005C116D">
            <w:pPr>
              <w:pStyle w:val="Tabletext0"/>
              <w:keepNext/>
              <w:keepLines/>
            </w:pPr>
          </w:p>
        </w:tc>
        <w:tc>
          <w:tcPr>
            <w:tcW w:w="1468" w:type="dxa"/>
          </w:tcPr>
          <w:p w14:paraId="5FA7ADA5" w14:textId="77777777" w:rsidR="00931A3E" w:rsidRPr="00205340" w:rsidRDefault="00931A3E" w:rsidP="005C116D">
            <w:pPr>
              <w:pStyle w:val="Tabletext0"/>
              <w:keepNext/>
              <w:keepLines/>
            </w:pPr>
            <w:r w:rsidRPr="00205340">
              <w:t>HAVEN 3</w:t>
            </w:r>
          </w:p>
        </w:tc>
        <w:tc>
          <w:tcPr>
            <w:tcW w:w="800" w:type="dxa"/>
          </w:tcPr>
          <w:p w14:paraId="3EBD71A7" w14:textId="77777777" w:rsidR="00931A3E" w:rsidRPr="00205340" w:rsidRDefault="00931A3E" w:rsidP="005C116D">
            <w:pPr>
              <w:pStyle w:val="Tabletext0"/>
              <w:keepNext/>
              <w:keepLines/>
            </w:pPr>
            <w:r w:rsidRPr="00205340">
              <w:t>63</w:t>
            </w:r>
          </w:p>
        </w:tc>
        <w:tc>
          <w:tcPr>
            <w:tcW w:w="1816" w:type="dxa"/>
          </w:tcPr>
          <w:p w14:paraId="04BDDDED" w14:textId="77777777" w:rsidR="00931A3E" w:rsidRPr="00843C83" w:rsidRDefault="00931A3E" w:rsidP="005C116D">
            <w:pPr>
              <w:pStyle w:val="Tabletext0"/>
              <w:keepNext/>
              <w:keepLines/>
            </w:pPr>
            <w:r w:rsidRPr="00843C83">
              <w:t xml:space="preserve">3.3 (2.2 to 4.8) </w:t>
            </w:r>
          </w:p>
        </w:tc>
        <w:tc>
          <w:tcPr>
            <w:tcW w:w="1816" w:type="dxa"/>
          </w:tcPr>
          <w:p w14:paraId="02F780CD" w14:textId="77777777" w:rsidR="00931A3E" w:rsidRPr="00843C83" w:rsidRDefault="00931A3E" w:rsidP="005C116D">
            <w:pPr>
              <w:pStyle w:val="Tabletext0"/>
              <w:keepNext/>
              <w:keepLines/>
            </w:pPr>
            <w:r w:rsidRPr="00843C83">
              <w:t>-</w:t>
            </w:r>
          </w:p>
        </w:tc>
        <w:tc>
          <w:tcPr>
            <w:tcW w:w="1816" w:type="dxa"/>
          </w:tcPr>
          <w:p w14:paraId="6C14F8AF" w14:textId="77777777" w:rsidR="00931A3E" w:rsidRPr="00843C83" w:rsidRDefault="00931A3E" w:rsidP="005C116D">
            <w:pPr>
              <w:pStyle w:val="Tabletext0"/>
              <w:keepNext/>
              <w:keepLines/>
            </w:pPr>
            <w:r w:rsidRPr="00843C83">
              <w:t xml:space="preserve">- </w:t>
            </w:r>
          </w:p>
        </w:tc>
      </w:tr>
      <w:tr w:rsidR="0065629D" w:rsidRPr="00205340" w14:paraId="0DD13C5D" w14:textId="77777777">
        <w:tc>
          <w:tcPr>
            <w:tcW w:w="1526" w:type="dxa"/>
            <w:vMerge w:val="restart"/>
            <w:vAlign w:val="center"/>
          </w:tcPr>
          <w:p w14:paraId="28839E29" w14:textId="77777777" w:rsidR="00931A3E" w:rsidRPr="00205340" w:rsidRDefault="00931A3E" w:rsidP="005C116D">
            <w:pPr>
              <w:pStyle w:val="Tabletext0"/>
              <w:keepNext/>
              <w:keepLines/>
            </w:pPr>
            <w:r w:rsidRPr="00205340">
              <w:t>Treated ABR</w:t>
            </w:r>
          </w:p>
        </w:tc>
        <w:tc>
          <w:tcPr>
            <w:tcW w:w="1468" w:type="dxa"/>
          </w:tcPr>
          <w:p w14:paraId="5C574A0F" w14:textId="77777777" w:rsidR="00931A3E" w:rsidRPr="00205340" w:rsidRDefault="00931A3E" w:rsidP="005C116D">
            <w:pPr>
              <w:pStyle w:val="Tabletext0"/>
              <w:keepNext/>
              <w:keepLines/>
            </w:pPr>
            <w:r w:rsidRPr="00205340">
              <w:t>BASIS: naïve</w:t>
            </w:r>
          </w:p>
        </w:tc>
        <w:tc>
          <w:tcPr>
            <w:tcW w:w="800" w:type="dxa"/>
          </w:tcPr>
          <w:p w14:paraId="1BC10003" w14:textId="77777777" w:rsidR="00931A3E" w:rsidRPr="00205340" w:rsidRDefault="00931A3E" w:rsidP="005C116D">
            <w:pPr>
              <w:pStyle w:val="Tabletext0"/>
              <w:keepNext/>
              <w:keepLines/>
            </w:pPr>
            <w:r w:rsidRPr="00205340">
              <w:t>65</w:t>
            </w:r>
          </w:p>
        </w:tc>
        <w:tc>
          <w:tcPr>
            <w:tcW w:w="1816" w:type="dxa"/>
          </w:tcPr>
          <w:p w14:paraId="562A2F68" w14:textId="77777777" w:rsidR="00931A3E" w:rsidRPr="00843C83" w:rsidRDefault="00931A3E" w:rsidP="005C116D">
            <w:pPr>
              <w:pStyle w:val="Tabletext0"/>
              <w:keepNext/>
              <w:keepLines/>
            </w:pPr>
            <w:r w:rsidRPr="00843C83">
              <w:t xml:space="preserve">4.88 (3.30 to 7.22) </w:t>
            </w:r>
          </w:p>
        </w:tc>
        <w:tc>
          <w:tcPr>
            <w:tcW w:w="1816" w:type="dxa"/>
          </w:tcPr>
          <w:p w14:paraId="2B698B17" w14:textId="77777777" w:rsidR="00931A3E" w:rsidRPr="00843C83" w:rsidRDefault="00931A3E" w:rsidP="005C116D">
            <w:pPr>
              <w:pStyle w:val="Tabletext0"/>
              <w:keepNext/>
              <w:keepLines/>
            </w:pPr>
            <w:r w:rsidRPr="00843C83">
              <w:t xml:space="preserve">3.05 (1.76 to 5.30) </w:t>
            </w:r>
          </w:p>
        </w:tc>
        <w:tc>
          <w:tcPr>
            <w:tcW w:w="1816" w:type="dxa"/>
          </w:tcPr>
          <w:p w14:paraId="0B09B0D3" w14:textId="77777777" w:rsidR="00931A3E" w:rsidRPr="00843C83" w:rsidRDefault="00931A3E" w:rsidP="005C116D">
            <w:pPr>
              <w:pStyle w:val="Tabletext0"/>
              <w:keepNext/>
              <w:keepLines/>
            </w:pPr>
            <w:r w:rsidRPr="00843C83">
              <w:t xml:space="preserve">&lt;0.001 </w:t>
            </w:r>
          </w:p>
        </w:tc>
      </w:tr>
      <w:tr w:rsidR="0065629D" w:rsidRPr="00205340" w14:paraId="5898163C" w14:textId="77777777">
        <w:tc>
          <w:tcPr>
            <w:tcW w:w="1526" w:type="dxa"/>
            <w:vMerge/>
            <w:vAlign w:val="center"/>
          </w:tcPr>
          <w:p w14:paraId="2F05679F" w14:textId="77777777" w:rsidR="00931A3E" w:rsidRPr="00205340" w:rsidRDefault="00931A3E" w:rsidP="005C116D">
            <w:pPr>
              <w:pStyle w:val="Tabletext0"/>
              <w:keepNext/>
              <w:keepLines/>
            </w:pPr>
          </w:p>
        </w:tc>
        <w:tc>
          <w:tcPr>
            <w:tcW w:w="1468" w:type="dxa"/>
            <w:shd w:val="clear" w:color="auto" w:fill="FFF2CC" w:themeFill="accent4" w:themeFillTint="33"/>
          </w:tcPr>
          <w:p w14:paraId="7D64FC33" w14:textId="77777777" w:rsidR="00931A3E" w:rsidRPr="00205340" w:rsidRDefault="00931A3E" w:rsidP="005C116D">
            <w:pPr>
              <w:pStyle w:val="Tabletext0"/>
              <w:keepNext/>
              <w:keepLines/>
              <w:rPr>
                <w:vertAlign w:val="superscript"/>
              </w:rPr>
            </w:pPr>
            <w:r w:rsidRPr="00205340">
              <w:t>BASIS: STC</w:t>
            </w:r>
            <w:r w:rsidRPr="00205340">
              <w:rPr>
                <w:vertAlign w:val="superscript"/>
              </w:rPr>
              <w:t>3</w:t>
            </w:r>
          </w:p>
        </w:tc>
        <w:tc>
          <w:tcPr>
            <w:tcW w:w="800" w:type="dxa"/>
            <w:shd w:val="clear" w:color="auto" w:fill="FFF2CC" w:themeFill="accent4" w:themeFillTint="33"/>
          </w:tcPr>
          <w:p w14:paraId="262C2EA2" w14:textId="77777777" w:rsidR="00931A3E" w:rsidRPr="00205340" w:rsidRDefault="00931A3E" w:rsidP="005C116D">
            <w:pPr>
              <w:pStyle w:val="Tabletext0"/>
              <w:keepNext/>
              <w:keepLines/>
            </w:pPr>
            <w:r w:rsidRPr="00205340">
              <w:t>65</w:t>
            </w:r>
          </w:p>
        </w:tc>
        <w:tc>
          <w:tcPr>
            <w:tcW w:w="1816" w:type="dxa"/>
            <w:shd w:val="clear" w:color="auto" w:fill="FFF2CC" w:themeFill="accent4" w:themeFillTint="33"/>
          </w:tcPr>
          <w:p w14:paraId="0805CB4E" w14:textId="77777777" w:rsidR="00931A3E" w:rsidRPr="00843C83" w:rsidRDefault="00931A3E" w:rsidP="005C116D">
            <w:pPr>
              <w:pStyle w:val="Tabletext0"/>
              <w:keepNext/>
              <w:keepLines/>
            </w:pPr>
            <w:r w:rsidRPr="00843C83">
              <w:t xml:space="preserve">2.65 (1.70 to 4.14) </w:t>
            </w:r>
          </w:p>
        </w:tc>
        <w:tc>
          <w:tcPr>
            <w:tcW w:w="1816" w:type="dxa"/>
            <w:shd w:val="clear" w:color="auto" w:fill="FFF2CC" w:themeFill="accent4" w:themeFillTint="33"/>
          </w:tcPr>
          <w:p w14:paraId="615529A1" w14:textId="77777777" w:rsidR="00931A3E" w:rsidRPr="00843C83" w:rsidRDefault="00931A3E" w:rsidP="005C116D">
            <w:pPr>
              <w:pStyle w:val="Tabletext0"/>
              <w:keepNext/>
              <w:keepLines/>
            </w:pPr>
            <w:r w:rsidRPr="00843C83">
              <w:t xml:space="preserve">1.66 (0.92 to 3.00) </w:t>
            </w:r>
          </w:p>
        </w:tc>
        <w:tc>
          <w:tcPr>
            <w:tcW w:w="1816" w:type="dxa"/>
            <w:shd w:val="clear" w:color="auto" w:fill="FFF2CC" w:themeFill="accent4" w:themeFillTint="33"/>
          </w:tcPr>
          <w:p w14:paraId="1B2AEB78" w14:textId="77777777" w:rsidR="00931A3E" w:rsidRPr="00843C83" w:rsidRDefault="00931A3E" w:rsidP="005C116D">
            <w:pPr>
              <w:pStyle w:val="Tabletext0"/>
              <w:keepNext/>
              <w:keepLines/>
            </w:pPr>
            <w:r w:rsidRPr="00843C83">
              <w:t xml:space="preserve">0.09 </w:t>
            </w:r>
          </w:p>
        </w:tc>
      </w:tr>
      <w:tr w:rsidR="0065629D" w:rsidRPr="00205340" w14:paraId="6EB9D3B4" w14:textId="77777777">
        <w:tc>
          <w:tcPr>
            <w:tcW w:w="1526" w:type="dxa"/>
            <w:vMerge/>
            <w:vAlign w:val="center"/>
          </w:tcPr>
          <w:p w14:paraId="5D99EC1D" w14:textId="77777777" w:rsidR="00931A3E" w:rsidRPr="00205340" w:rsidRDefault="00931A3E" w:rsidP="005C116D">
            <w:pPr>
              <w:pStyle w:val="Tabletext0"/>
              <w:keepNext/>
              <w:keepLines/>
            </w:pPr>
          </w:p>
        </w:tc>
        <w:tc>
          <w:tcPr>
            <w:tcW w:w="1468" w:type="dxa"/>
          </w:tcPr>
          <w:p w14:paraId="7503F916" w14:textId="77777777" w:rsidR="00931A3E" w:rsidRPr="00205340" w:rsidRDefault="00931A3E" w:rsidP="005C116D">
            <w:pPr>
              <w:pStyle w:val="Tabletext0"/>
              <w:keepNext/>
              <w:keepLines/>
            </w:pPr>
            <w:r w:rsidRPr="00205340">
              <w:t>HAVEN 3</w:t>
            </w:r>
          </w:p>
        </w:tc>
        <w:tc>
          <w:tcPr>
            <w:tcW w:w="800" w:type="dxa"/>
          </w:tcPr>
          <w:p w14:paraId="3477B80E" w14:textId="77777777" w:rsidR="00931A3E" w:rsidRPr="00205340" w:rsidRDefault="00931A3E" w:rsidP="005C116D">
            <w:pPr>
              <w:pStyle w:val="Tabletext0"/>
              <w:keepNext/>
              <w:keepLines/>
            </w:pPr>
            <w:r w:rsidRPr="00205340">
              <w:t>63</w:t>
            </w:r>
          </w:p>
        </w:tc>
        <w:tc>
          <w:tcPr>
            <w:tcW w:w="1816" w:type="dxa"/>
          </w:tcPr>
          <w:p w14:paraId="6FDCBCB0" w14:textId="77777777" w:rsidR="00931A3E" w:rsidRPr="00843C83" w:rsidRDefault="00931A3E" w:rsidP="005C116D">
            <w:pPr>
              <w:pStyle w:val="Tabletext0"/>
              <w:keepNext/>
              <w:keepLines/>
            </w:pPr>
            <w:r w:rsidRPr="00843C83">
              <w:t xml:space="preserve">1.6 (1.1 to 2.4) </w:t>
            </w:r>
          </w:p>
        </w:tc>
        <w:tc>
          <w:tcPr>
            <w:tcW w:w="1816" w:type="dxa"/>
          </w:tcPr>
          <w:p w14:paraId="023F9058" w14:textId="77777777" w:rsidR="00931A3E" w:rsidRPr="00843C83" w:rsidRDefault="00931A3E" w:rsidP="005C116D">
            <w:pPr>
              <w:pStyle w:val="Tabletext0"/>
              <w:keepNext/>
              <w:keepLines/>
            </w:pPr>
            <w:r w:rsidRPr="00843C83">
              <w:t>-</w:t>
            </w:r>
          </w:p>
        </w:tc>
        <w:tc>
          <w:tcPr>
            <w:tcW w:w="1816" w:type="dxa"/>
          </w:tcPr>
          <w:p w14:paraId="5B9142BA" w14:textId="77777777" w:rsidR="00931A3E" w:rsidRPr="00843C83" w:rsidRDefault="00931A3E" w:rsidP="005C116D">
            <w:pPr>
              <w:pStyle w:val="Tabletext0"/>
              <w:keepNext/>
              <w:keepLines/>
            </w:pPr>
            <w:r w:rsidRPr="00843C83">
              <w:t xml:space="preserve">- </w:t>
            </w:r>
          </w:p>
        </w:tc>
      </w:tr>
      <w:tr w:rsidR="00931A3E" w:rsidRPr="00205340" w14:paraId="736CAE7C" w14:textId="77777777">
        <w:tc>
          <w:tcPr>
            <w:tcW w:w="9242" w:type="dxa"/>
            <w:gridSpan w:val="6"/>
            <w:vAlign w:val="center"/>
          </w:tcPr>
          <w:p w14:paraId="69FB9414" w14:textId="77777777" w:rsidR="00931A3E" w:rsidRPr="00843C83" w:rsidRDefault="00931A3E" w:rsidP="005C116D">
            <w:pPr>
              <w:pStyle w:val="Tabletext0"/>
              <w:keepNext/>
              <w:keepLines/>
              <w:rPr>
                <w:bCs/>
                <w:i/>
                <w:iCs/>
              </w:rPr>
            </w:pPr>
            <w:r w:rsidRPr="00843C83">
              <w:rPr>
                <w:bCs/>
                <w:i/>
                <w:iCs/>
              </w:rPr>
              <w:t>Sensitivity analysis 2: treated bleeding events</w:t>
            </w:r>
          </w:p>
        </w:tc>
      </w:tr>
      <w:tr w:rsidR="0065629D" w:rsidRPr="00205340" w14:paraId="4DD5A198" w14:textId="77777777">
        <w:tc>
          <w:tcPr>
            <w:tcW w:w="1526" w:type="dxa"/>
            <w:vMerge w:val="restart"/>
            <w:vAlign w:val="center"/>
          </w:tcPr>
          <w:p w14:paraId="2B6EC87A" w14:textId="77777777" w:rsidR="00931A3E" w:rsidRPr="00205340" w:rsidRDefault="00931A3E" w:rsidP="005C116D">
            <w:pPr>
              <w:pStyle w:val="Tabletext0"/>
              <w:keepNext/>
              <w:keepLines/>
            </w:pPr>
            <w:r w:rsidRPr="00205340">
              <w:t>Treated ABR</w:t>
            </w:r>
          </w:p>
        </w:tc>
        <w:tc>
          <w:tcPr>
            <w:tcW w:w="1468" w:type="dxa"/>
          </w:tcPr>
          <w:p w14:paraId="540DCCDB" w14:textId="77777777" w:rsidR="00931A3E" w:rsidRPr="00205340" w:rsidRDefault="00931A3E" w:rsidP="005C116D">
            <w:pPr>
              <w:pStyle w:val="Tabletext0"/>
              <w:keepNext/>
              <w:keepLines/>
            </w:pPr>
            <w:r w:rsidRPr="00205340">
              <w:t>BASIS: naïve</w:t>
            </w:r>
          </w:p>
        </w:tc>
        <w:tc>
          <w:tcPr>
            <w:tcW w:w="800" w:type="dxa"/>
          </w:tcPr>
          <w:p w14:paraId="3078D3E9" w14:textId="77777777" w:rsidR="00931A3E" w:rsidRPr="00205340" w:rsidRDefault="00931A3E" w:rsidP="005C116D">
            <w:pPr>
              <w:pStyle w:val="Tabletext0"/>
              <w:keepNext/>
              <w:keepLines/>
            </w:pPr>
            <w:r w:rsidRPr="00205340">
              <w:t>65</w:t>
            </w:r>
          </w:p>
        </w:tc>
        <w:tc>
          <w:tcPr>
            <w:tcW w:w="1816" w:type="dxa"/>
          </w:tcPr>
          <w:p w14:paraId="26667022" w14:textId="77777777" w:rsidR="00931A3E" w:rsidRPr="00843C83" w:rsidRDefault="00931A3E" w:rsidP="005C116D">
            <w:pPr>
              <w:pStyle w:val="Tabletext0"/>
              <w:keepNext/>
              <w:keepLines/>
            </w:pPr>
            <w:r w:rsidRPr="00843C83">
              <w:t xml:space="preserve">5.21 (3.49 to 7.77) </w:t>
            </w:r>
          </w:p>
        </w:tc>
        <w:tc>
          <w:tcPr>
            <w:tcW w:w="1816" w:type="dxa"/>
          </w:tcPr>
          <w:p w14:paraId="42E87DB3" w14:textId="77777777" w:rsidR="00931A3E" w:rsidRPr="00843C83" w:rsidRDefault="00931A3E" w:rsidP="005C116D">
            <w:pPr>
              <w:pStyle w:val="Tabletext0"/>
              <w:keepNext/>
              <w:keepLines/>
            </w:pPr>
            <w:r w:rsidRPr="00843C83">
              <w:t xml:space="preserve">3.26 (1.86 to 5.69) </w:t>
            </w:r>
          </w:p>
        </w:tc>
        <w:tc>
          <w:tcPr>
            <w:tcW w:w="1816" w:type="dxa"/>
          </w:tcPr>
          <w:p w14:paraId="6C2B2274" w14:textId="77777777" w:rsidR="00931A3E" w:rsidRPr="00843C83" w:rsidRDefault="00931A3E" w:rsidP="005C116D">
            <w:pPr>
              <w:pStyle w:val="Tabletext0"/>
              <w:keepNext/>
              <w:keepLines/>
            </w:pPr>
            <w:r w:rsidRPr="00843C83">
              <w:t xml:space="preserve">&lt;0.001 </w:t>
            </w:r>
          </w:p>
        </w:tc>
      </w:tr>
      <w:tr w:rsidR="0065629D" w:rsidRPr="00205340" w14:paraId="3EE52363" w14:textId="77777777">
        <w:tc>
          <w:tcPr>
            <w:tcW w:w="1526" w:type="dxa"/>
            <w:vMerge/>
            <w:vAlign w:val="center"/>
          </w:tcPr>
          <w:p w14:paraId="17A51BF6" w14:textId="77777777" w:rsidR="00931A3E" w:rsidRPr="00205340" w:rsidRDefault="00931A3E" w:rsidP="005C116D">
            <w:pPr>
              <w:pStyle w:val="Tabletext0"/>
              <w:keepNext/>
              <w:keepLines/>
            </w:pPr>
          </w:p>
        </w:tc>
        <w:tc>
          <w:tcPr>
            <w:tcW w:w="1468" w:type="dxa"/>
            <w:shd w:val="clear" w:color="auto" w:fill="FFF2CC" w:themeFill="accent4" w:themeFillTint="33"/>
          </w:tcPr>
          <w:p w14:paraId="342E7ABE" w14:textId="77777777" w:rsidR="00931A3E" w:rsidRPr="00205340" w:rsidRDefault="00931A3E" w:rsidP="005C116D">
            <w:pPr>
              <w:pStyle w:val="Tabletext0"/>
              <w:keepNext/>
              <w:keepLines/>
            </w:pPr>
            <w:r w:rsidRPr="00205340">
              <w:t>BASIS: STC</w:t>
            </w:r>
          </w:p>
        </w:tc>
        <w:tc>
          <w:tcPr>
            <w:tcW w:w="800" w:type="dxa"/>
            <w:shd w:val="clear" w:color="auto" w:fill="FFF2CC" w:themeFill="accent4" w:themeFillTint="33"/>
          </w:tcPr>
          <w:p w14:paraId="7627A4B6" w14:textId="77777777" w:rsidR="00931A3E" w:rsidRPr="00205340" w:rsidRDefault="00931A3E" w:rsidP="005C116D">
            <w:pPr>
              <w:pStyle w:val="Tabletext0"/>
              <w:keepNext/>
              <w:keepLines/>
            </w:pPr>
            <w:r w:rsidRPr="00205340">
              <w:t>65</w:t>
            </w:r>
          </w:p>
        </w:tc>
        <w:tc>
          <w:tcPr>
            <w:tcW w:w="1816" w:type="dxa"/>
            <w:shd w:val="clear" w:color="auto" w:fill="FFF2CC" w:themeFill="accent4" w:themeFillTint="33"/>
          </w:tcPr>
          <w:p w14:paraId="69E6C437" w14:textId="77777777" w:rsidR="00931A3E" w:rsidRPr="00843C83" w:rsidRDefault="00931A3E" w:rsidP="005C116D">
            <w:pPr>
              <w:pStyle w:val="Tabletext0"/>
              <w:keepNext/>
              <w:keepLines/>
            </w:pPr>
            <w:r w:rsidRPr="00843C83">
              <w:t xml:space="preserve">2.64 (1.68 to 4.15) </w:t>
            </w:r>
          </w:p>
        </w:tc>
        <w:tc>
          <w:tcPr>
            <w:tcW w:w="1816" w:type="dxa"/>
            <w:shd w:val="clear" w:color="auto" w:fill="FFF2CC" w:themeFill="accent4" w:themeFillTint="33"/>
          </w:tcPr>
          <w:p w14:paraId="5502539C" w14:textId="77777777" w:rsidR="00931A3E" w:rsidRPr="00843C83" w:rsidRDefault="00931A3E" w:rsidP="005C116D">
            <w:pPr>
              <w:pStyle w:val="Tabletext0"/>
              <w:keepNext/>
              <w:keepLines/>
            </w:pPr>
            <w:r w:rsidRPr="00843C83">
              <w:t xml:space="preserve">1.65 (0.91 to 3.00) </w:t>
            </w:r>
          </w:p>
        </w:tc>
        <w:tc>
          <w:tcPr>
            <w:tcW w:w="1816" w:type="dxa"/>
            <w:shd w:val="clear" w:color="auto" w:fill="FFF2CC" w:themeFill="accent4" w:themeFillTint="33"/>
          </w:tcPr>
          <w:p w14:paraId="554E7B83" w14:textId="77777777" w:rsidR="00931A3E" w:rsidRPr="00843C83" w:rsidRDefault="00931A3E" w:rsidP="005C116D">
            <w:pPr>
              <w:pStyle w:val="Tabletext0"/>
              <w:keepNext/>
              <w:keepLines/>
            </w:pPr>
            <w:r w:rsidRPr="00843C83">
              <w:t xml:space="preserve">0.10 </w:t>
            </w:r>
          </w:p>
        </w:tc>
      </w:tr>
      <w:tr w:rsidR="0065629D" w:rsidRPr="00205340" w14:paraId="06B3F308" w14:textId="77777777">
        <w:tc>
          <w:tcPr>
            <w:tcW w:w="1526" w:type="dxa"/>
            <w:vMerge/>
            <w:vAlign w:val="center"/>
          </w:tcPr>
          <w:p w14:paraId="778B5BC9" w14:textId="77777777" w:rsidR="00931A3E" w:rsidRPr="00205340" w:rsidRDefault="00931A3E" w:rsidP="005C116D">
            <w:pPr>
              <w:pStyle w:val="Tabletext0"/>
              <w:keepNext/>
              <w:keepLines/>
            </w:pPr>
          </w:p>
        </w:tc>
        <w:tc>
          <w:tcPr>
            <w:tcW w:w="1468" w:type="dxa"/>
          </w:tcPr>
          <w:p w14:paraId="384D3185" w14:textId="77777777" w:rsidR="00931A3E" w:rsidRPr="00205340" w:rsidRDefault="00931A3E" w:rsidP="005C116D">
            <w:pPr>
              <w:pStyle w:val="Tabletext0"/>
              <w:keepNext/>
              <w:keepLines/>
            </w:pPr>
            <w:r w:rsidRPr="00205340">
              <w:t>HAVEN 3</w:t>
            </w:r>
          </w:p>
        </w:tc>
        <w:tc>
          <w:tcPr>
            <w:tcW w:w="800" w:type="dxa"/>
          </w:tcPr>
          <w:p w14:paraId="04718CC4" w14:textId="77777777" w:rsidR="00931A3E" w:rsidRPr="00205340" w:rsidRDefault="00931A3E" w:rsidP="005C116D">
            <w:pPr>
              <w:pStyle w:val="Tabletext0"/>
              <w:keepNext/>
              <w:keepLines/>
            </w:pPr>
            <w:r w:rsidRPr="00205340">
              <w:t>63</w:t>
            </w:r>
          </w:p>
        </w:tc>
        <w:tc>
          <w:tcPr>
            <w:tcW w:w="1816" w:type="dxa"/>
          </w:tcPr>
          <w:p w14:paraId="1331FFB1" w14:textId="77777777" w:rsidR="00931A3E" w:rsidRPr="00843C83" w:rsidRDefault="00931A3E" w:rsidP="005C116D">
            <w:pPr>
              <w:pStyle w:val="Tabletext0"/>
              <w:keepNext/>
              <w:keepLines/>
            </w:pPr>
            <w:r w:rsidRPr="00843C83">
              <w:t xml:space="preserve">1.6 (1.1 to 2.4) </w:t>
            </w:r>
          </w:p>
        </w:tc>
        <w:tc>
          <w:tcPr>
            <w:tcW w:w="1816" w:type="dxa"/>
          </w:tcPr>
          <w:p w14:paraId="002ADD88" w14:textId="77777777" w:rsidR="00931A3E" w:rsidRPr="00843C83" w:rsidRDefault="00931A3E" w:rsidP="005C116D">
            <w:pPr>
              <w:pStyle w:val="Tabletext0"/>
              <w:keepNext/>
              <w:keepLines/>
            </w:pPr>
            <w:r w:rsidRPr="00843C83">
              <w:t>-</w:t>
            </w:r>
          </w:p>
        </w:tc>
        <w:tc>
          <w:tcPr>
            <w:tcW w:w="1816" w:type="dxa"/>
          </w:tcPr>
          <w:p w14:paraId="07814EAD" w14:textId="77777777" w:rsidR="00931A3E" w:rsidRPr="00843C83" w:rsidRDefault="00931A3E" w:rsidP="005C116D">
            <w:pPr>
              <w:pStyle w:val="Tabletext0"/>
              <w:keepNext/>
              <w:keepLines/>
            </w:pPr>
            <w:r w:rsidRPr="00843C83">
              <w:t xml:space="preserve">- </w:t>
            </w:r>
          </w:p>
        </w:tc>
      </w:tr>
      <w:tr w:rsidR="0065629D" w:rsidRPr="00205340" w14:paraId="61D3376E" w14:textId="77777777">
        <w:tc>
          <w:tcPr>
            <w:tcW w:w="1526" w:type="dxa"/>
            <w:vMerge w:val="restart"/>
            <w:vAlign w:val="center"/>
          </w:tcPr>
          <w:p w14:paraId="407F33E4" w14:textId="77777777" w:rsidR="00931A3E" w:rsidRPr="00205340" w:rsidRDefault="00931A3E" w:rsidP="005C116D">
            <w:pPr>
              <w:pStyle w:val="Tabletext0"/>
              <w:keepNext/>
              <w:keepLines/>
            </w:pPr>
            <w:r w:rsidRPr="00205340">
              <w:t>% with zero treated bleeding events</w:t>
            </w:r>
          </w:p>
        </w:tc>
        <w:tc>
          <w:tcPr>
            <w:tcW w:w="1468" w:type="dxa"/>
          </w:tcPr>
          <w:p w14:paraId="6AF69309" w14:textId="77777777" w:rsidR="00931A3E" w:rsidRPr="00205340" w:rsidRDefault="00931A3E" w:rsidP="005C116D">
            <w:pPr>
              <w:pStyle w:val="Tabletext0"/>
              <w:keepNext/>
              <w:keepLines/>
            </w:pPr>
            <w:r w:rsidRPr="00205340">
              <w:t>BASIS: naïve</w:t>
            </w:r>
          </w:p>
        </w:tc>
        <w:tc>
          <w:tcPr>
            <w:tcW w:w="800" w:type="dxa"/>
          </w:tcPr>
          <w:p w14:paraId="1073B815" w14:textId="77777777" w:rsidR="00931A3E" w:rsidRPr="00205340" w:rsidRDefault="00931A3E" w:rsidP="005C116D">
            <w:pPr>
              <w:pStyle w:val="Tabletext0"/>
              <w:keepNext/>
              <w:keepLines/>
            </w:pPr>
            <w:r w:rsidRPr="00205340">
              <w:t>65</w:t>
            </w:r>
          </w:p>
        </w:tc>
        <w:tc>
          <w:tcPr>
            <w:tcW w:w="1816" w:type="dxa"/>
          </w:tcPr>
          <w:p w14:paraId="4269C230" w14:textId="77777777" w:rsidR="00931A3E" w:rsidRPr="00843C83" w:rsidRDefault="00931A3E" w:rsidP="005C116D">
            <w:pPr>
              <w:pStyle w:val="Tabletext0"/>
              <w:keepNext/>
              <w:keepLines/>
            </w:pPr>
            <w:r w:rsidRPr="00843C83">
              <w:t xml:space="preserve">44.6 (33.1 to 56.8) </w:t>
            </w:r>
          </w:p>
        </w:tc>
        <w:tc>
          <w:tcPr>
            <w:tcW w:w="1816" w:type="dxa"/>
          </w:tcPr>
          <w:p w14:paraId="6E4B8CFE" w14:textId="77777777" w:rsidR="00931A3E" w:rsidRPr="00843C83" w:rsidRDefault="00931A3E" w:rsidP="005C116D">
            <w:pPr>
              <w:pStyle w:val="Tabletext0"/>
              <w:keepNext/>
              <w:keepLines/>
            </w:pPr>
            <w:r w:rsidRPr="00843C83">
              <w:t xml:space="preserve">0.64 (0.32 to 1.29) </w:t>
            </w:r>
          </w:p>
        </w:tc>
        <w:tc>
          <w:tcPr>
            <w:tcW w:w="1816" w:type="dxa"/>
          </w:tcPr>
          <w:p w14:paraId="636CD924" w14:textId="77777777" w:rsidR="00931A3E" w:rsidRPr="00843C83" w:rsidRDefault="00931A3E" w:rsidP="005C116D">
            <w:pPr>
              <w:pStyle w:val="Tabletext0"/>
              <w:keepNext/>
              <w:keepLines/>
            </w:pPr>
            <w:r w:rsidRPr="00843C83">
              <w:t xml:space="preserve">0.22 </w:t>
            </w:r>
          </w:p>
        </w:tc>
      </w:tr>
      <w:tr w:rsidR="0065629D" w:rsidRPr="00205340" w14:paraId="1D8D599B" w14:textId="77777777">
        <w:tc>
          <w:tcPr>
            <w:tcW w:w="1526" w:type="dxa"/>
            <w:vMerge/>
            <w:vAlign w:val="center"/>
          </w:tcPr>
          <w:p w14:paraId="7F0272BD" w14:textId="77777777" w:rsidR="00931A3E" w:rsidRPr="00205340" w:rsidRDefault="00931A3E" w:rsidP="005C116D">
            <w:pPr>
              <w:pStyle w:val="Tabletext0"/>
              <w:keepNext/>
              <w:keepLines/>
            </w:pPr>
          </w:p>
        </w:tc>
        <w:tc>
          <w:tcPr>
            <w:tcW w:w="1468" w:type="dxa"/>
            <w:shd w:val="clear" w:color="auto" w:fill="FFF2CC" w:themeFill="accent4" w:themeFillTint="33"/>
          </w:tcPr>
          <w:p w14:paraId="1BF8BF90" w14:textId="77777777" w:rsidR="00931A3E" w:rsidRPr="00205340" w:rsidRDefault="00931A3E" w:rsidP="005C116D">
            <w:pPr>
              <w:pStyle w:val="Tabletext0"/>
              <w:keepNext/>
              <w:keepLines/>
              <w:rPr>
                <w:vertAlign w:val="superscript"/>
              </w:rPr>
            </w:pPr>
            <w:r w:rsidRPr="00205340">
              <w:t>BASIS: STC</w:t>
            </w:r>
            <w:r w:rsidRPr="00205340">
              <w:rPr>
                <w:vertAlign w:val="superscript"/>
              </w:rPr>
              <w:t>3</w:t>
            </w:r>
          </w:p>
        </w:tc>
        <w:tc>
          <w:tcPr>
            <w:tcW w:w="800" w:type="dxa"/>
            <w:shd w:val="clear" w:color="auto" w:fill="FFF2CC" w:themeFill="accent4" w:themeFillTint="33"/>
          </w:tcPr>
          <w:p w14:paraId="30D9B761" w14:textId="77777777" w:rsidR="00931A3E" w:rsidRPr="00205340" w:rsidRDefault="00931A3E" w:rsidP="005C116D">
            <w:pPr>
              <w:pStyle w:val="Tabletext0"/>
              <w:keepNext/>
              <w:keepLines/>
            </w:pPr>
            <w:r w:rsidRPr="00205340">
              <w:t>65</w:t>
            </w:r>
          </w:p>
        </w:tc>
        <w:tc>
          <w:tcPr>
            <w:tcW w:w="1816" w:type="dxa"/>
            <w:shd w:val="clear" w:color="auto" w:fill="FFF2CC" w:themeFill="accent4" w:themeFillTint="33"/>
          </w:tcPr>
          <w:p w14:paraId="2B5CC354" w14:textId="77777777" w:rsidR="00931A3E" w:rsidRPr="00843C83" w:rsidRDefault="00931A3E" w:rsidP="005C116D">
            <w:pPr>
              <w:pStyle w:val="Tabletext0"/>
              <w:keepNext/>
              <w:keepLines/>
            </w:pPr>
            <w:r w:rsidRPr="00843C83">
              <w:t xml:space="preserve">38.9 (22.9 to 57.6) </w:t>
            </w:r>
          </w:p>
        </w:tc>
        <w:tc>
          <w:tcPr>
            <w:tcW w:w="1816" w:type="dxa"/>
            <w:shd w:val="clear" w:color="auto" w:fill="FFF2CC" w:themeFill="accent4" w:themeFillTint="33"/>
          </w:tcPr>
          <w:p w14:paraId="20BE451C" w14:textId="77777777" w:rsidR="00931A3E" w:rsidRPr="00843C83" w:rsidRDefault="00931A3E" w:rsidP="005C116D">
            <w:pPr>
              <w:pStyle w:val="Tabletext0"/>
              <w:keepNext/>
              <w:keepLines/>
            </w:pPr>
            <w:r w:rsidRPr="00843C83">
              <w:t xml:space="preserve">0.51 (0.20 to 1.26) </w:t>
            </w:r>
          </w:p>
        </w:tc>
        <w:tc>
          <w:tcPr>
            <w:tcW w:w="1816" w:type="dxa"/>
            <w:shd w:val="clear" w:color="auto" w:fill="FFF2CC" w:themeFill="accent4" w:themeFillTint="33"/>
          </w:tcPr>
          <w:p w14:paraId="3E6E039C" w14:textId="77777777" w:rsidR="00931A3E" w:rsidRPr="00843C83" w:rsidRDefault="00931A3E" w:rsidP="005C116D">
            <w:pPr>
              <w:pStyle w:val="Tabletext0"/>
              <w:keepNext/>
              <w:keepLines/>
            </w:pPr>
            <w:r w:rsidRPr="00843C83">
              <w:t xml:space="preserve">0.14 </w:t>
            </w:r>
          </w:p>
        </w:tc>
      </w:tr>
      <w:tr w:rsidR="0065629D" w:rsidRPr="00205340" w14:paraId="49CC3DD9" w14:textId="77777777">
        <w:trPr>
          <w:trHeight w:val="159"/>
        </w:trPr>
        <w:tc>
          <w:tcPr>
            <w:tcW w:w="1526" w:type="dxa"/>
            <w:vMerge/>
            <w:vAlign w:val="center"/>
          </w:tcPr>
          <w:p w14:paraId="52B3524B" w14:textId="77777777" w:rsidR="00931A3E" w:rsidRPr="00205340" w:rsidRDefault="00931A3E" w:rsidP="005C116D">
            <w:pPr>
              <w:pStyle w:val="Tabletext0"/>
              <w:keepNext/>
              <w:keepLines/>
            </w:pPr>
          </w:p>
        </w:tc>
        <w:tc>
          <w:tcPr>
            <w:tcW w:w="1468" w:type="dxa"/>
          </w:tcPr>
          <w:p w14:paraId="4468EFEC" w14:textId="77777777" w:rsidR="00931A3E" w:rsidRPr="00205340" w:rsidRDefault="00931A3E" w:rsidP="005C116D">
            <w:pPr>
              <w:pStyle w:val="Tabletext0"/>
              <w:keepNext/>
              <w:keepLines/>
            </w:pPr>
            <w:r w:rsidRPr="00205340">
              <w:t>HAVEN 3</w:t>
            </w:r>
          </w:p>
        </w:tc>
        <w:tc>
          <w:tcPr>
            <w:tcW w:w="800" w:type="dxa"/>
          </w:tcPr>
          <w:p w14:paraId="08C90110" w14:textId="77777777" w:rsidR="00931A3E" w:rsidRPr="00205340" w:rsidRDefault="00931A3E" w:rsidP="005C116D">
            <w:pPr>
              <w:pStyle w:val="Tabletext0"/>
              <w:keepNext/>
              <w:keepLines/>
            </w:pPr>
            <w:r w:rsidRPr="00205340">
              <w:t>63</w:t>
            </w:r>
          </w:p>
        </w:tc>
        <w:tc>
          <w:tcPr>
            <w:tcW w:w="1816" w:type="dxa"/>
          </w:tcPr>
          <w:p w14:paraId="223A6B80" w14:textId="77777777" w:rsidR="00931A3E" w:rsidRPr="00843C83" w:rsidRDefault="00931A3E" w:rsidP="005C116D">
            <w:pPr>
              <w:pStyle w:val="Tabletext0"/>
              <w:keepNext/>
              <w:keepLines/>
            </w:pPr>
            <w:r w:rsidRPr="00843C83">
              <w:t xml:space="preserve">55.6 (42.5 to 68.1) </w:t>
            </w:r>
          </w:p>
        </w:tc>
        <w:tc>
          <w:tcPr>
            <w:tcW w:w="1816" w:type="dxa"/>
          </w:tcPr>
          <w:p w14:paraId="363AD92E" w14:textId="77777777" w:rsidR="00931A3E" w:rsidRPr="00843C83" w:rsidRDefault="00931A3E" w:rsidP="005C116D">
            <w:pPr>
              <w:pStyle w:val="Tabletext0"/>
              <w:keepNext/>
              <w:keepLines/>
            </w:pPr>
            <w:r w:rsidRPr="00843C83">
              <w:t>-</w:t>
            </w:r>
          </w:p>
        </w:tc>
        <w:tc>
          <w:tcPr>
            <w:tcW w:w="1816" w:type="dxa"/>
          </w:tcPr>
          <w:p w14:paraId="0AAA7EB9" w14:textId="77777777" w:rsidR="00931A3E" w:rsidRPr="00843C83" w:rsidRDefault="00931A3E" w:rsidP="005C116D">
            <w:pPr>
              <w:pStyle w:val="Tabletext0"/>
              <w:keepNext/>
              <w:keepLines/>
            </w:pPr>
            <w:r w:rsidRPr="00843C83">
              <w:t xml:space="preserve">- </w:t>
            </w:r>
          </w:p>
        </w:tc>
      </w:tr>
      <w:tr w:rsidR="0065629D" w:rsidRPr="00205340" w14:paraId="7D404C81" w14:textId="77777777">
        <w:tc>
          <w:tcPr>
            <w:tcW w:w="1526" w:type="dxa"/>
            <w:vMerge w:val="restart"/>
            <w:vAlign w:val="center"/>
          </w:tcPr>
          <w:p w14:paraId="3B6D81FA" w14:textId="77777777" w:rsidR="00931A3E" w:rsidRPr="00205340" w:rsidRDefault="00931A3E" w:rsidP="005C116D">
            <w:pPr>
              <w:pStyle w:val="Tabletext0"/>
              <w:keepNext/>
              <w:keepLines/>
            </w:pPr>
            <w:r w:rsidRPr="00205340">
              <w:t>Treated AJBR</w:t>
            </w:r>
          </w:p>
        </w:tc>
        <w:tc>
          <w:tcPr>
            <w:tcW w:w="1468" w:type="dxa"/>
          </w:tcPr>
          <w:p w14:paraId="73202CFB" w14:textId="77777777" w:rsidR="00931A3E" w:rsidRPr="00205340" w:rsidRDefault="00931A3E" w:rsidP="005C116D">
            <w:pPr>
              <w:pStyle w:val="Tabletext0"/>
              <w:keepNext/>
              <w:keepLines/>
            </w:pPr>
            <w:r w:rsidRPr="00205340">
              <w:t>BASIS: naïve</w:t>
            </w:r>
          </w:p>
        </w:tc>
        <w:tc>
          <w:tcPr>
            <w:tcW w:w="800" w:type="dxa"/>
          </w:tcPr>
          <w:p w14:paraId="346A9F3B" w14:textId="77777777" w:rsidR="00931A3E" w:rsidRPr="00205340" w:rsidRDefault="00931A3E" w:rsidP="005C116D">
            <w:pPr>
              <w:pStyle w:val="Tabletext0"/>
              <w:keepNext/>
              <w:keepLines/>
            </w:pPr>
            <w:r w:rsidRPr="00205340">
              <w:t>65</w:t>
            </w:r>
          </w:p>
        </w:tc>
        <w:tc>
          <w:tcPr>
            <w:tcW w:w="1816" w:type="dxa"/>
          </w:tcPr>
          <w:p w14:paraId="796B729F" w14:textId="77777777" w:rsidR="00931A3E" w:rsidRPr="00843C83" w:rsidRDefault="00931A3E" w:rsidP="005C116D">
            <w:pPr>
              <w:pStyle w:val="Tabletext0"/>
              <w:keepNext/>
              <w:keepLines/>
            </w:pPr>
            <w:r w:rsidRPr="00843C83">
              <w:t xml:space="preserve">4.29 (2.76 to 6.66) </w:t>
            </w:r>
          </w:p>
        </w:tc>
        <w:tc>
          <w:tcPr>
            <w:tcW w:w="1816" w:type="dxa"/>
          </w:tcPr>
          <w:p w14:paraId="2A1935F3" w14:textId="77777777" w:rsidR="00931A3E" w:rsidRPr="00843C83" w:rsidRDefault="00931A3E" w:rsidP="005C116D">
            <w:pPr>
              <w:pStyle w:val="Tabletext0"/>
              <w:keepNext/>
              <w:keepLines/>
            </w:pPr>
            <w:r w:rsidRPr="00843C83">
              <w:t xml:space="preserve">3.57 (1.80 to 7.09) </w:t>
            </w:r>
          </w:p>
        </w:tc>
        <w:tc>
          <w:tcPr>
            <w:tcW w:w="1816" w:type="dxa"/>
          </w:tcPr>
          <w:p w14:paraId="24376C3E" w14:textId="77777777" w:rsidR="00931A3E" w:rsidRPr="00843C83" w:rsidRDefault="00931A3E" w:rsidP="005C116D">
            <w:pPr>
              <w:pStyle w:val="Tabletext0"/>
              <w:keepNext/>
              <w:keepLines/>
            </w:pPr>
            <w:r w:rsidRPr="00843C83">
              <w:t xml:space="preserve">&lt;0.001 </w:t>
            </w:r>
          </w:p>
        </w:tc>
      </w:tr>
      <w:tr w:rsidR="0065629D" w:rsidRPr="00205340" w14:paraId="14E77436" w14:textId="77777777">
        <w:tc>
          <w:tcPr>
            <w:tcW w:w="1526" w:type="dxa"/>
            <w:vMerge/>
            <w:vAlign w:val="center"/>
          </w:tcPr>
          <w:p w14:paraId="26C3E3BB" w14:textId="77777777" w:rsidR="00931A3E" w:rsidRPr="00205340" w:rsidRDefault="00931A3E" w:rsidP="005C116D">
            <w:pPr>
              <w:pStyle w:val="Tabletext0"/>
              <w:keepNext/>
              <w:keepLines/>
            </w:pPr>
          </w:p>
        </w:tc>
        <w:tc>
          <w:tcPr>
            <w:tcW w:w="1468" w:type="dxa"/>
            <w:shd w:val="clear" w:color="auto" w:fill="FFF2CC" w:themeFill="accent4" w:themeFillTint="33"/>
          </w:tcPr>
          <w:p w14:paraId="440441F1" w14:textId="77777777" w:rsidR="00931A3E" w:rsidRPr="00205340" w:rsidRDefault="00931A3E" w:rsidP="005C116D">
            <w:pPr>
              <w:pStyle w:val="Tabletext0"/>
              <w:keepNext/>
              <w:keepLines/>
              <w:rPr>
                <w:vertAlign w:val="superscript"/>
              </w:rPr>
            </w:pPr>
            <w:r w:rsidRPr="00205340">
              <w:t>BASIS: STC</w:t>
            </w:r>
            <w:r w:rsidRPr="00205340">
              <w:rPr>
                <w:vertAlign w:val="superscript"/>
              </w:rPr>
              <w:t>3</w:t>
            </w:r>
          </w:p>
        </w:tc>
        <w:tc>
          <w:tcPr>
            <w:tcW w:w="800" w:type="dxa"/>
            <w:shd w:val="clear" w:color="auto" w:fill="FFF2CC" w:themeFill="accent4" w:themeFillTint="33"/>
          </w:tcPr>
          <w:p w14:paraId="72629F8D" w14:textId="77777777" w:rsidR="00931A3E" w:rsidRPr="00205340" w:rsidRDefault="00931A3E" w:rsidP="005C116D">
            <w:pPr>
              <w:pStyle w:val="Tabletext0"/>
              <w:keepNext/>
              <w:keepLines/>
            </w:pPr>
            <w:r w:rsidRPr="00205340">
              <w:t>65</w:t>
            </w:r>
          </w:p>
        </w:tc>
        <w:tc>
          <w:tcPr>
            <w:tcW w:w="1816" w:type="dxa"/>
            <w:shd w:val="clear" w:color="auto" w:fill="FFF2CC" w:themeFill="accent4" w:themeFillTint="33"/>
          </w:tcPr>
          <w:p w14:paraId="4C8FDEBB" w14:textId="77777777" w:rsidR="00931A3E" w:rsidRPr="00843C83" w:rsidRDefault="00931A3E" w:rsidP="005C116D">
            <w:pPr>
              <w:pStyle w:val="Tabletext0"/>
              <w:keepNext/>
              <w:keepLines/>
            </w:pPr>
            <w:r w:rsidRPr="00843C83">
              <w:t xml:space="preserve">1.88 (1.13 to 3.15) </w:t>
            </w:r>
          </w:p>
        </w:tc>
        <w:tc>
          <w:tcPr>
            <w:tcW w:w="1816" w:type="dxa"/>
            <w:shd w:val="clear" w:color="auto" w:fill="FFF2CC" w:themeFill="accent4" w:themeFillTint="33"/>
          </w:tcPr>
          <w:p w14:paraId="4660852C" w14:textId="77777777" w:rsidR="00931A3E" w:rsidRPr="00843C83" w:rsidRDefault="00931A3E" w:rsidP="005C116D">
            <w:pPr>
              <w:pStyle w:val="Tabletext0"/>
              <w:keepNext/>
              <w:keepLines/>
            </w:pPr>
            <w:r w:rsidRPr="00843C83">
              <w:t xml:space="preserve">1.57 (0.75 to 3.28) </w:t>
            </w:r>
          </w:p>
        </w:tc>
        <w:tc>
          <w:tcPr>
            <w:tcW w:w="1816" w:type="dxa"/>
            <w:shd w:val="clear" w:color="auto" w:fill="FFF2CC" w:themeFill="accent4" w:themeFillTint="33"/>
          </w:tcPr>
          <w:p w14:paraId="7FE1CFA2" w14:textId="77777777" w:rsidR="00931A3E" w:rsidRPr="00843C83" w:rsidRDefault="00931A3E" w:rsidP="005C116D">
            <w:pPr>
              <w:pStyle w:val="Tabletext0"/>
              <w:keepNext/>
              <w:keepLines/>
            </w:pPr>
            <w:r w:rsidRPr="00843C83">
              <w:t xml:space="preserve">0.23 </w:t>
            </w:r>
          </w:p>
        </w:tc>
      </w:tr>
      <w:tr w:rsidR="0065629D" w:rsidRPr="00205340" w14:paraId="60E592B4" w14:textId="77777777">
        <w:tc>
          <w:tcPr>
            <w:tcW w:w="1526" w:type="dxa"/>
            <w:vMerge/>
            <w:vAlign w:val="center"/>
          </w:tcPr>
          <w:p w14:paraId="0E6206EC" w14:textId="77777777" w:rsidR="00931A3E" w:rsidRPr="00205340" w:rsidRDefault="00931A3E" w:rsidP="005C116D">
            <w:pPr>
              <w:pStyle w:val="Tabletext0"/>
              <w:keepNext/>
              <w:keepLines/>
            </w:pPr>
          </w:p>
        </w:tc>
        <w:tc>
          <w:tcPr>
            <w:tcW w:w="1468" w:type="dxa"/>
          </w:tcPr>
          <w:p w14:paraId="61B05443" w14:textId="77777777" w:rsidR="00931A3E" w:rsidRPr="00205340" w:rsidRDefault="00931A3E" w:rsidP="005C116D">
            <w:pPr>
              <w:pStyle w:val="Tabletext0"/>
              <w:keepNext/>
              <w:keepLines/>
            </w:pPr>
            <w:r w:rsidRPr="00205340">
              <w:t>HAVEN 3</w:t>
            </w:r>
          </w:p>
        </w:tc>
        <w:tc>
          <w:tcPr>
            <w:tcW w:w="800" w:type="dxa"/>
          </w:tcPr>
          <w:p w14:paraId="449D87F3" w14:textId="77777777" w:rsidR="00931A3E" w:rsidRPr="00205340" w:rsidRDefault="00931A3E" w:rsidP="005C116D">
            <w:pPr>
              <w:pStyle w:val="Tabletext0"/>
              <w:keepNext/>
              <w:keepLines/>
            </w:pPr>
            <w:r w:rsidRPr="00205340">
              <w:t>63</w:t>
            </w:r>
          </w:p>
        </w:tc>
        <w:tc>
          <w:tcPr>
            <w:tcW w:w="1816" w:type="dxa"/>
          </w:tcPr>
          <w:p w14:paraId="6A75478C" w14:textId="77777777" w:rsidR="00931A3E" w:rsidRPr="00843C83" w:rsidRDefault="00931A3E" w:rsidP="005C116D">
            <w:pPr>
              <w:pStyle w:val="Tabletext0"/>
              <w:keepNext/>
              <w:keepLines/>
            </w:pPr>
            <w:r w:rsidRPr="00843C83">
              <w:t xml:space="preserve">1.2 (0.7 to 2.0) </w:t>
            </w:r>
          </w:p>
        </w:tc>
        <w:tc>
          <w:tcPr>
            <w:tcW w:w="1816" w:type="dxa"/>
          </w:tcPr>
          <w:p w14:paraId="3046B0A2" w14:textId="77777777" w:rsidR="00931A3E" w:rsidRPr="00843C83" w:rsidRDefault="00931A3E" w:rsidP="005C116D">
            <w:pPr>
              <w:pStyle w:val="Tabletext0"/>
              <w:keepNext/>
              <w:keepLines/>
            </w:pPr>
            <w:r w:rsidRPr="00843C83">
              <w:t>-</w:t>
            </w:r>
          </w:p>
        </w:tc>
        <w:tc>
          <w:tcPr>
            <w:tcW w:w="1816" w:type="dxa"/>
          </w:tcPr>
          <w:p w14:paraId="22F30A79" w14:textId="77777777" w:rsidR="00931A3E" w:rsidRPr="00843C83" w:rsidRDefault="00931A3E" w:rsidP="005C116D">
            <w:pPr>
              <w:pStyle w:val="Tabletext0"/>
              <w:keepNext/>
              <w:keepLines/>
            </w:pPr>
            <w:r w:rsidRPr="00843C83">
              <w:t xml:space="preserve">- </w:t>
            </w:r>
          </w:p>
        </w:tc>
      </w:tr>
    </w:tbl>
    <w:p w14:paraId="3A2262EC" w14:textId="6CD1EC12" w:rsidR="00931A3E" w:rsidRPr="00205340" w:rsidRDefault="00931A3E" w:rsidP="005C116D">
      <w:pPr>
        <w:pStyle w:val="Tablenotes0"/>
        <w:keepNext/>
        <w:keepLines/>
      </w:pPr>
      <w:r w:rsidRPr="00205340">
        <w:t>Source: Table 3</w:t>
      </w:r>
      <w:r w:rsidR="00082462" w:rsidRPr="00205340">
        <w:t>7</w:t>
      </w:r>
      <w:r w:rsidRPr="00205340">
        <w:t>, p</w:t>
      </w:r>
      <w:r w:rsidR="00082462" w:rsidRPr="00205340">
        <w:t xml:space="preserve">. 80 </w:t>
      </w:r>
      <w:r w:rsidRPr="00205340">
        <w:t>ADAR 1806</w:t>
      </w:r>
    </w:p>
    <w:p w14:paraId="6239FFEB" w14:textId="16619F21" w:rsidR="00931A3E" w:rsidRPr="00205340" w:rsidRDefault="00931A3E" w:rsidP="005C116D">
      <w:pPr>
        <w:pStyle w:val="Tablenotes0"/>
        <w:keepNext/>
        <w:keepLines/>
      </w:pPr>
      <w:r w:rsidRPr="00205340">
        <w:t>ABR = annualised bleed rate; AJBR = annualised joint bleed rate; CI = confidence interval; HMA = haemophilia A; n = number of individuals; STC = simulated treatment comparison</w:t>
      </w:r>
    </w:p>
    <w:p w14:paraId="661BD63A" w14:textId="77777777" w:rsidR="00931A3E" w:rsidRPr="00205340" w:rsidRDefault="00931A3E" w:rsidP="005C116D">
      <w:pPr>
        <w:pStyle w:val="Tablenotes0"/>
        <w:keepNext/>
        <w:keepLines/>
      </w:pPr>
      <w:r w:rsidRPr="00205340">
        <w:rPr>
          <w:vertAlign w:val="superscript"/>
        </w:rPr>
        <w:t>1</w:t>
      </w:r>
      <w:r w:rsidRPr="00205340">
        <w:t xml:space="preserve"> Refers to the negative binomial model-derived rate for total ABR or the percentage for zero total bleeding events</w:t>
      </w:r>
    </w:p>
    <w:p w14:paraId="54F65293" w14:textId="77777777" w:rsidR="00931A3E" w:rsidRPr="00205340" w:rsidRDefault="00931A3E" w:rsidP="005C116D">
      <w:pPr>
        <w:pStyle w:val="Tablenotes0"/>
        <w:keepNext/>
        <w:keepLines/>
        <w:spacing w:after="0" w:line="240" w:lineRule="auto"/>
      </w:pPr>
      <w:r w:rsidRPr="00205340">
        <w:rPr>
          <w:vertAlign w:val="superscript"/>
        </w:rPr>
        <w:t>2</w:t>
      </w:r>
      <w:r w:rsidRPr="00205340">
        <w:t xml:space="preserve"> Refers to the estimated rate ratio (RR) for total ABR or odds ratio (OR) for zero total bleeding events</w:t>
      </w:r>
    </w:p>
    <w:p w14:paraId="5F2E82D1" w14:textId="77777777" w:rsidR="00E626D9" w:rsidRPr="00205340" w:rsidRDefault="00E626D9" w:rsidP="005C116D">
      <w:pPr>
        <w:pStyle w:val="LastLineundertable"/>
        <w:keepNext/>
        <w:keepLines/>
        <w:spacing w:before="0" w:after="240" w:line="240" w:lineRule="auto"/>
      </w:pPr>
      <w:r w:rsidRPr="00205340">
        <w:rPr>
          <w:rFonts w:ascii="Arial Narrow" w:eastAsiaTheme="minorHAnsi" w:hAnsi="Arial Narrow" w:cs="Arial"/>
          <w:i w:val="0"/>
          <w:sz w:val="18"/>
          <w:vertAlign w:val="superscript"/>
          <w:lang w:eastAsia="en-US"/>
        </w:rPr>
        <w:t>3</w:t>
      </w:r>
      <w:r w:rsidRPr="00205340">
        <w:rPr>
          <w:rFonts w:ascii="Arial Narrow" w:eastAsiaTheme="minorHAnsi" w:hAnsi="Arial Narrow" w:cs="Arial"/>
          <w:i w:val="0"/>
          <w:sz w:val="18"/>
          <w:lang w:eastAsia="en-US"/>
        </w:rPr>
        <w:t xml:space="preserve"> Adjusted for baseline age, prior total ABR, percent with target joints, percent Hispanic/Latino, percent White and body mass index (BMI); data for naïve comparison are unadjusted</w:t>
      </w:r>
    </w:p>
    <w:p w14:paraId="1A0C3E8A" w14:textId="1F9274DF" w:rsidR="004F76A0" w:rsidRPr="00205340" w:rsidRDefault="00A67708" w:rsidP="004F76A0">
      <w:pPr>
        <w:pStyle w:val="Heading4"/>
      </w:pPr>
      <w:r w:rsidRPr="00205340">
        <w:t>M</w:t>
      </w:r>
      <w:r w:rsidR="004F76A0" w:rsidRPr="00205340">
        <w:t>arstacimab versus EHL FVIII prophylaxis</w:t>
      </w:r>
    </w:p>
    <w:p w14:paraId="2044569E" w14:textId="7F9C1FD6" w:rsidR="00184B20" w:rsidRPr="00205340" w:rsidRDefault="00847CD2" w:rsidP="00184B20">
      <w:r w:rsidRPr="00205340">
        <w:t xml:space="preserve">Data on the annualised treated bleeding rates (treated ABR) were provided in the ADAR economic </w:t>
      </w:r>
      <w:proofErr w:type="gramStart"/>
      <w:r w:rsidRPr="00205340">
        <w:t>file, and</w:t>
      </w:r>
      <w:proofErr w:type="gramEnd"/>
      <w:r w:rsidRPr="00205340">
        <w:t xml:space="preserve"> used </w:t>
      </w:r>
      <w:r w:rsidR="001D7320" w:rsidRPr="00205340">
        <w:t>below</w:t>
      </w:r>
      <w:r w:rsidRPr="00205340">
        <w:t xml:space="preserve"> to calculate results specific to HMA (</w:t>
      </w:r>
      <w:r w:rsidR="003C13E8" w:rsidRPr="00205340">
        <w:fldChar w:fldCharType="begin" w:fldLock="1"/>
      </w:r>
      <w:r w:rsidR="003C13E8" w:rsidRPr="00205340">
        <w:instrText xml:space="preserve"> REF _Ref227156584 \h </w:instrText>
      </w:r>
      <w:r w:rsidR="00205340">
        <w:instrText xml:space="preserve"> \* MERGEFORMAT </w:instrText>
      </w:r>
      <w:r w:rsidR="003C13E8" w:rsidRPr="00205340">
        <w:fldChar w:fldCharType="separate"/>
      </w:r>
      <w:r w:rsidR="003C13E8" w:rsidRPr="00205340">
        <w:t xml:space="preserve">Table </w:t>
      </w:r>
      <w:r w:rsidR="003C13E8" w:rsidRPr="00205340">
        <w:rPr>
          <w:noProof/>
        </w:rPr>
        <w:t>6</w:t>
      </w:r>
      <w:r w:rsidR="003C13E8" w:rsidRPr="00205340">
        <w:fldChar w:fldCharType="end"/>
      </w:r>
      <w:r w:rsidRPr="00205340">
        <w:t>) and HMB (</w:t>
      </w:r>
      <w:r w:rsidR="003C13E8" w:rsidRPr="00205340">
        <w:fldChar w:fldCharType="begin" w:fldLock="1"/>
      </w:r>
      <w:r w:rsidR="003C13E8" w:rsidRPr="00205340">
        <w:instrText xml:space="preserve"> REF _Ref227156592 \h </w:instrText>
      </w:r>
      <w:r w:rsidR="00205340">
        <w:instrText xml:space="preserve"> \* MERGEFORMAT </w:instrText>
      </w:r>
      <w:r w:rsidR="003C13E8" w:rsidRPr="00205340">
        <w:fldChar w:fldCharType="separate"/>
      </w:r>
      <w:r w:rsidR="003C13E8" w:rsidRPr="00205340">
        <w:t xml:space="preserve">Table </w:t>
      </w:r>
      <w:r w:rsidR="003C13E8" w:rsidRPr="00205340">
        <w:rPr>
          <w:noProof/>
        </w:rPr>
        <w:t>7</w:t>
      </w:r>
      <w:r w:rsidR="003C13E8" w:rsidRPr="00205340">
        <w:fldChar w:fldCharType="end"/>
      </w:r>
      <w:r w:rsidRPr="00205340">
        <w:t>).</w:t>
      </w:r>
    </w:p>
    <w:p w14:paraId="3B6E444B" w14:textId="0E93C5C4" w:rsidR="00EC2337" w:rsidRPr="00205340" w:rsidRDefault="00847CD2" w:rsidP="00E773B4">
      <w:r w:rsidRPr="00205340">
        <w:t xml:space="preserve">The ADAR nominated 2.5 treated bleeds/year as the </w:t>
      </w:r>
      <w:r w:rsidR="00E773B4" w:rsidRPr="00205340">
        <w:t>non-inferiority margin</w:t>
      </w:r>
      <w:r w:rsidR="00591357" w:rsidRPr="00205340">
        <w:t xml:space="preserve">, </w:t>
      </w:r>
      <w:r w:rsidR="0039234B" w:rsidRPr="00205340">
        <w:t xml:space="preserve">following the methodology </w:t>
      </w:r>
      <w:r w:rsidR="00591357" w:rsidRPr="00205340">
        <w:t>outlined in the FDA Guidance for Non-Inferiority Clinical Trials to Establish Effectiveness (BASIS Statistical Analysis Plan p48-52)</w:t>
      </w:r>
      <w:r w:rsidR="00E773B4" w:rsidRPr="00205340">
        <w:t xml:space="preserve">. If this is used as the </w:t>
      </w:r>
      <w:r w:rsidRPr="00205340">
        <w:t>minimum clinically important difference</w:t>
      </w:r>
      <w:r w:rsidR="00E773B4" w:rsidRPr="00205340">
        <w:t>, people with HMA were more than twice as likely to have clinically important reduction in treated bleeds (n=25; 38.4%)</w:t>
      </w:r>
      <w:r w:rsidR="002F571C" w:rsidRPr="00205340">
        <w:t>,</w:t>
      </w:r>
      <w:r w:rsidR="00E773B4" w:rsidRPr="00205340">
        <w:t xml:space="preserve"> </w:t>
      </w:r>
      <w:r w:rsidR="00237E76" w:rsidRPr="00205340">
        <w:t>than increase in treated bleeds (n=11; 16.</w:t>
      </w:r>
      <w:r w:rsidR="00CC1B9B" w:rsidRPr="00205340">
        <w:t>9</w:t>
      </w:r>
      <w:r w:rsidR="00237E76" w:rsidRPr="00205340">
        <w:t>%)</w:t>
      </w:r>
      <w:r w:rsidR="002F571C" w:rsidRPr="00205340">
        <w:t>,</w:t>
      </w:r>
      <w:r w:rsidR="00237E76" w:rsidRPr="00205340">
        <w:t xml:space="preserve"> </w:t>
      </w:r>
      <w:proofErr w:type="gramStart"/>
      <w:r w:rsidR="001D7320" w:rsidRPr="00205340">
        <w:t>as a result of</w:t>
      </w:r>
      <w:proofErr w:type="gramEnd"/>
      <w:r w:rsidR="001D7320" w:rsidRPr="00205340">
        <w:t xml:space="preserve"> swapping to marstacimab from FVIII prophylaxis</w:t>
      </w:r>
      <w:r w:rsidR="00E773B4" w:rsidRPr="00205340">
        <w:t xml:space="preserve">. A large proportion of patients would </w:t>
      </w:r>
      <w:r w:rsidR="00E773B4" w:rsidRPr="00205340">
        <w:lastRenderedPageBreak/>
        <w:t xml:space="preserve">experience </w:t>
      </w:r>
      <w:r w:rsidRPr="00205340">
        <w:t xml:space="preserve">no </w:t>
      </w:r>
      <w:r w:rsidR="00E773B4" w:rsidRPr="00205340">
        <w:t>clinically important</w:t>
      </w:r>
      <w:r w:rsidRPr="00205340">
        <w:t xml:space="preserve"> change in the number of bleeds (n=29; 44.6</w:t>
      </w:r>
      <w:r w:rsidR="00687100" w:rsidRPr="00205340">
        <w:t>%</w:t>
      </w:r>
      <w:r w:rsidR="00E773B4" w:rsidRPr="00205340">
        <w:t>)</w:t>
      </w:r>
      <w:r w:rsidRPr="00205340">
        <w:t xml:space="preserve">. </w:t>
      </w:r>
      <w:r w:rsidR="00714AD2" w:rsidRPr="00205340">
        <w:t>Of those receiving factor prophylaxis in the OP, 73.6% of those in the BASIS trial were receiving SHL</w:t>
      </w:r>
      <w:r w:rsidRPr="00205340">
        <w:t xml:space="preserve"> </w:t>
      </w:r>
      <w:r w:rsidR="00714AD2" w:rsidRPr="00205340">
        <w:t xml:space="preserve">products rather than EHL products. </w:t>
      </w:r>
      <w:r w:rsidR="003F46F2" w:rsidRPr="00205340">
        <w:t xml:space="preserve">The ADAR claimed that </w:t>
      </w:r>
      <w:r w:rsidR="00083C90" w:rsidRPr="00205340">
        <w:t xml:space="preserve">the effectiveness of SHL prophylaxis was </w:t>
      </w:r>
      <w:proofErr w:type="gramStart"/>
      <w:r w:rsidR="00083C90" w:rsidRPr="00205340">
        <w:t>similar to</w:t>
      </w:r>
      <w:proofErr w:type="gramEnd"/>
      <w:r w:rsidR="00083C90" w:rsidRPr="00205340">
        <w:t xml:space="preserve"> EHL prophylaxis. </w:t>
      </w:r>
      <w:r w:rsidR="009C3A86" w:rsidRPr="00205340">
        <w:t xml:space="preserve">The </w:t>
      </w:r>
      <w:r w:rsidR="003A51A0" w:rsidRPr="00205340">
        <w:t>commentary</w:t>
      </w:r>
      <w:r w:rsidR="009C3A86" w:rsidRPr="00205340">
        <w:t xml:space="preserve"> considered this claim to be uncertain an</w:t>
      </w:r>
      <w:r w:rsidR="00616A91" w:rsidRPr="00205340">
        <w:t>d</w:t>
      </w:r>
      <w:r w:rsidR="00E122E6" w:rsidRPr="00205340">
        <w:t xml:space="preserve"> noted that </w:t>
      </w:r>
      <w:r w:rsidR="00583616" w:rsidRPr="00205340">
        <w:t xml:space="preserve">the ADAR </w:t>
      </w:r>
      <w:r w:rsidR="00F5240A" w:rsidRPr="00205340">
        <w:t>h</w:t>
      </w:r>
      <w:r w:rsidR="00583616" w:rsidRPr="00205340">
        <w:t>as not presented robust evidence to support this claim.</w:t>
      </w:r>
    </w:p>
    <w:p w14:paraId="42A815E9" w14:textId="237E40B7" w:rsidR="00847CD2" w:rsidRPr="00205340" w:rsidRDefault="00E122E6" w:rsidP="00E773B4">
      <w:r w:rsidRPr="00205340">
        <w:t xml:space="preserve">The </w:t>
      </w:r>
      <w:r w:rsidR="003A51A0" w:rsidRPr="00205340">
        <w:t>commentary</w:t>
      </w:r>
      <w:r w:rsidRPr="00205340">
        <w:t xml:space="preserve"> noted </w:t>
      </w:r>
      <w:r w:rsidR="00EC2337" w:rsidRPr="00205340">
        <w:t>from a previous MSAC application</w:t>
      </w:r>
      <w:r w:rsidRPr="00205340">
        <w:t xml:space="preserve"> </w:t>
      </w:r>
      <w:r w:rsidR="00EC2337" w:rsidRPr="00205340">
        <w:t>(</w:t>
      </w:r>
      <w:r w:rsidR="00714AD2" w:rsidRPr="00205340">
        <w:t>MSAC 1511</w:t>
      </w:r>
      <w:r w:rsidR="00EC2337" w:rsidRPr="00205340">
        <w:t>)</w:t>
      </w:r>
      <w:r w:rsidR="00714AD2" w:rsidRPr="00205340">
        <w:t xml:space="preserve"> that </w:t>
      </w:r>
      <w:r w:rsidR="00083C90" w:rsidRPr="00205340">
        <w:t xml:space="preserve">after </w:t>
      </w:r>
      <w:r w:rsidR="00714AD2" w:rsidRPr="00205340">
        <w:t xml:space="preserve">patients </w:t>
      </w:r>
      <w:r w:rsidR="00083C90" w:rsidRPr="00205340">
        <w:t>switch</w:t>
      </w:r>
      <w:r w:rsidR="001A53AD" w:rsidRPr="00205340">
        <w:t>ed</w:t>
      </w:r>
      <w:r w:rsidR="00083C90" w:rsidRPr="00205340">
        <w:t xml:space="preserve"> to EHL prophylaxis, they </w:t>
      </w:r>
      <w:r w:rsidR="00C33D3B" w:rsidRPr="00205340">
        <w:t>had</w:t>
      </w:r>
      <w:r w:rsidR="00714AD2" w:rsidRPr="00205340">
        <w:t xml:space="preserve"> 11-83% of the bleeds </w:t>
      </w:r>
      <w:r w:rsidR="00083C90" w:rsidRPr="00205340">
        <w:t xml:space="preserve">they </w:t>
      </w:r>
      <w:r w:rsidR="00714AD2" w:rsidRPr="00205340">
        <w:t>experience</w:t>
      </w:r>
      <w:r w:rsidR="00083C90" w:rsidRPr="00205340">
        <w:t>d while</w:t>
      </w:r>
      <w:r w:rsidR="00714AD2" w:rsidRPr="00205340">
        <w:t xml:space="preserve"> on SHL prophylaxis (</w:t>
      </w:r>
      <w:hyperlink r:id="rId13" w:history="1">
        <w:r w:rsidR="00714AD2" w:rsidRPr="00205340">
          <w:rPr>
            <w:rStyle w:val="Hyperlink"/>
          </w:rPr>
          <w:t>MSAC 1511 PSD</w:t>
        </w:r>
      </w:hyperlink>
      <w:r w:rsidR="00714AD2" w:rsidRPr="00205340">
        <w:rPr>
          <w:color w:val="0070C0"/>
        </w:rPr>
        <w:t>, p6)</w:t>
      </w:r>
      <w:r w:rsidR="00714AD2" w:rsidRPr="00205340">
        <w:t xml:space="preserve">. </w:t>
      </w:r>
      <w:r w:rsidR="00A3148D" w:rsidRPr="00205340">
        <w:t xml:space="preserve">Australian real-world evidence also </w:t>
      </w:r>
      <w:proofErr w:type="gramStart"/>
      <w:r w:rsidR="00A3148D" w:rsidRPr="00205340">
        <w:t>support</w:t>
      </w:r>
      <w:proofErr w:type="gramEnd"/>
      <w:r w:rsidR="00A3148D" w:rsidRPr="00205340">
        <w:t xml:space="preserve"> superior outcomes associated with EHLs over SHLs (Brennan et al. 2020).</w:t>
      </w:r>
      <w:r w:rsidR="000F2252" w:rsidRPr="00205340">
        <w:fldChar w:fldCharType="begin"/>
      </w:r>
      <w:r w:rsidR="000F2252" w:rsidRPr="00205340">
        <w:instrText xml:space="preserve"> NOTEREF _Ref215664782 \f \h </w:instrText>
      </w:r>
      <w:r w:rsidR="00205340">
        <w:instrText xml:space="preserve"> \* MERGEFORMAT </w:instrText>
      </w:r>
      <w:r w:rsidR="000F2252" w:rsidRPr="00205340">
        <w:fldChar w:fldCharType="separate"/>
      </w:r>
      <w:r w:rsidR="000F2252" w:rsidRPr="00205340">
        <w:rPr>
          <w:rStyle w:val="FootnoteReference"/>
        </w:rPr>
        <w:t>2</w:t>
      </w:r>
      <w:r w:rsidR="000F2252" w:rsidRPr="00205340">
        <w:fldChar w:fldCharType="end"/>
      </w:r>
      <w:r w:rsidR="00714AD2" w:rsidRPr="00205340">
        <w:t xml:space="preserve"> The</w:t>
      </w:r>
      <w:r w:rsidR="007872E0" w:rsidRPr="00205340">
        <w:t>refore, the</w:t>
      </w:r>
      <w:r w:rsidR="00714AD2" w:rsidRPr="00205340">
        <w:t xml:space="preserve"> data from the BASIS trial </w:t>
      </w:r>
      <w:r w:rsidR="007872E0" w:rsidRPr="00205340">
        <w:t>may</w:t>
      </w:r>
      <w:r w:rsidR="00714AD2" w:rsidRPr="00205340">
        <w:t xml:space="preserve"> be</w:t>
      </w:r>
      <w:r w:rsidR="00847CD2" w:rsidRPr="00205340">
        <w:t xml:space="preserve"> </w:t>
      </w:r>
      <w:r w:rsidR="00083C90" w:rsidRPr="00205340">
        <w:t xml:space="preserve">more </w:t>
      </w:r>
      <w:r w:rsidR="00847CD2" w:rsidRPr="00205340">
        <w:t xml:space="preserve">favourable to marstacimab than </w:t>
      </w:r>
      <w:r w:rsidR="00714AD2" w:rsidRPr="00205340">
        <w:t>what would occur in the Australian setting, where the majority of patients receive EHL products.</w:t>
      </w:r>
    </w:p>
    <w:p w14:paraId="0269BF80" w14:textId="72E5B967" w:rsidR="00084D54" w:rsidRPr="00205340" w:rsidRDefault="00084D54" w:rsidP="00084D54">
      <w:r w:rsidRPr="00205340">
        <w:t>A 2020 study by Chhabra et al</w:t>
      </w:r>
      <w:r w:rsidR="0089752C">
        <w:rPr>
          <w:rFonts w:ascii="ZWAdobeF" w:hAnsi="ZWAdobeF" w:cs="ZWAdobeF"/>
          <w:sz w:val="2"/>
          <w:szCs w:val="2"/>
        </w:rPr>
        <w:t>11F</w:t>
      </w:r>
      <w:r w:rsidRPr="00205340">
        <w:rPr>
          <w:rStyle w:val="FootnoteReference"/>
        </w:rPr>
        <w:footnoteReference w:id="12"/>
      </w:r>
      <w:r w:rsidRPr="00205340">
        <w:t xml:space="preserve"> which analysed data from the Adelphi Disease-Specific Programmes, a health record–based survey of United States and European haematologists to estimate ABRs for </w:t>
      </w:r>
      <w:r w:rsidR="0081299E" w:rsidRPr="00205340">
        <w:t xml:space="preserve">patients with </w:t>
      </w:r>
      <w:r w:rsidRPr="00205340">
        <w:t>HMA and HMB receiving SHL versus EHL factor replacement products. The HMA analysis included 501 patients (SHL, n</w:t>
      </w:r>
      <w:r w:rsidRPr="00205340">
        <w:rPr>
          <w:rFonts w:ascii="Arial" w:hAnsi="Arial" w:cs="Arial"/>
        </w:rPr>
        <w:t> </w:t>
      </w:r>
      <w:r w:rsidRPr="00205340">
        <w:t>=</w:t>
      </w:r>
      <w:r w:rsidRPr="00205340">
        <w:rPr>
          <w:rFonts w:ascii="Arial" w:hAnsi="Arial" w:cs="Arial"/>
        </w:rPr>
        <w:t> </w:t>
      </w:r>
      <w:r w:rsidRPr="00205340">
        <w:t>435; EHL, n</w:t>
      </w:r>
      <w:r w:rsidRPr="00205340">
        <w:rPr>
          <w:rFonts w:ascii="Arial" w:hAnsi="Arial" w:cs="Arial"/>
        </w:rPr>
        <w:t> </w:t>
      </w:r>
      <w:r w:rsidRPr="00205340">
        <w:t>=</w:t>
      </w:r>
      <w:r w:rsidRPr="00205340">
        <w:rPr>
          <w:rFonts w:ascii="Arial" w:hAnsi="Arial" w:cs="Arial"/>
        </w:rPr>
        <w:t> </w:t>
      </w:r>
      <w:r w:rsidRPr="00205340">
        <w:t xml:space="preserve">66). In the combined United States/European population, mean (SD) ABR was 1.7 (1.69) for the SHL group and 1.8 (2.00) for the EHL group. The HMB analysis included 150 patients (SHL, </w:t>
      </w:r>
      <w:r w:rsidRPr="00205340">
        <w:rPr>
          <w:i/>
          <w:iCs/>
        </w:rPr>
        <w:t>n</w:t>
      </w:r>
      <w:r w:rsidRPr="00205340">
        <w:rPr>
          <w:rFonts w:ascii="Arial" w:hAnsi="Arial" w:cs="Arial"/>
        </w:rPr>
        <w:t> </w:t>
      </w:r>
      <w:r w:rsidRPr="00205340">
        <w:t>=</w:t>
      </w:r>
      <w:r w:rsidRPr="00205340">
        <w:rPr>
          <w:rFonts w:ascii="Arial" w:hAnsi="Arial" w:cs="Arial"/>
        </w:rPr>
        <w:t> </w:t>
      </w:r>
      <w:r w:rsidRPr="00205340">
        <w:t xml:space="preserve">114; EHL, </w:t>
      </w:r>
      <w:r w:rsidRPr="00205340">
        <w:rPr>
          <w:i/>
          <w:iCs/>
        </w:rPr>
        <w:t>n</w:t>
      </w:r>
      <w:r w:rsidRPr="00205340">
        <w:rPr>
          <w:rFonts w:ascii="Arial" w:hAnsi="Arial" w:cs="Arial"/>
        </w:rPr>
        <w:t> </w:t>
      </w:r>
      <w:r w:rsidRPr="00205340">
        <w:t>=</w:t>
      </w:r>
      <w:r w:rsidRPr="00205340">
        <w:rPr>
          <w:rFonts w:ascii="Arial" w:hAnsi="Arial" w:cs="Arial"/>
        </w:rPr>
        <w:t> </w:t>
      </w:r>
      <w:r w:rsidRPr="00205340">
        <w:t xml:space="preserve">36). The mean (SD) ABR in the combined United States/European population was 2.1 (2.16) for patients receiving SHL </w:t>
      </w:r>
      <w:r w:rsidR="00F71685" w:rsidRPr="00205340">
        <w:t>F</w:t>
      </w:r>
      <w:r w:rsidRPr="00205340">
        <w:t xml:space="preserve">actor IX (FIX) and 1.4 (1.48) for patients receiving EHL FIX. These data suggest that the benefit of switching from an SHL to an EHL factor replacement product, as measured by ABR reduction, may be more pronounced in the HMB population compared to the HMA population, though the data are preliminary having been based on an exploratory analysis; no tests of statistical significance nor a clear discussion of the clinical significance of the findings were provided. </w:t>
      </w:r>
    </w:p>
    <w:p w14:paraId="39F14EF9" w14:textId="680016F6" w:rsidR="002C5B86" w:rsidRPr="00205340" w:rsidRDefault="002C5B86" w:rsidP="002C5B86">
      <w:pPr>
        <w:pStyle w:val="Caption"/>
      </w:pPr>
      <w:bookmarkStart w:id="35" w:name="_Ref227156584"/>
      <w:bookmarkStart w:id="36" w:name="_Hlk213919587"/>
      <w:r w:rsidRPr="00205340">
        <w:t xml:space="preserve">Table </w:t>
      </w:r>
      <w:fldSimple w:instr=" SEQ Table \* ARABIC ">
        <w:r w:rsidR="002C6A9B" w:rsidRPr="00205340">
          <w:rPr>
            <w:noProof/>
          </w:rPr>
          <w:t>6</w:t>
        </w:r>
      </w:fldSimple>
      <w:bookmarkEnd w:id="35"/>
      <w:r w:rsidRPr="00205340">
        <w:t xml:space="preserve"> Results for estimated ABR for treated bleeds during the BASIS+BASIS LTE trial. </w:t>
      </w:r>
      <w:r w:rsidR="007A4556" w:rsidRPr="00205340">
        <w:t xml:space="preserve">Patients with </w:t>
      </w:r>
      <w:r w:rsidRPr="00205340">
        <w:t>HMA, prior prophylaxis, non-inhibitor cohort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243"/>
        <w:gridCol w:w="2193"/>
        <w:gridCol w:w="2151"/>
      </w:tblGrid>
      <w:tr w:rsidR="0010559C" w:rsidRPr="00205340" w14:paraId="2261D9A3" w14:textId="4CA3C5FD" w:rsidTr="00FE1400">
        <w:tc>
          <w:tcPr>
            <w:tcW w:w="1347" w:type="pct"/>
          </w:tcPr>
          <w:p w14:paraId="2372D8DA" w14:textId="77777777" w:rsidR="00D12F9B" w:rsidRPr="00205340" w:rsidRDefault="00D12F9B" w:rsidP="00D12F9B">
            <w:pPr>
              <w:pStyle w:val="TableText"/>
              <w:jc w:val="center"/>
              <w:rPr>
                <w:b/>
                <w:bCs/>
              </w:rPr>
            </w:pPr>
          </w:p>
        </w:tc>
        <w:tc>
          <w:tcPr>
            <w:tcW w:w="1244" w:type="pct"/>
          </w:tcPr>
          <w:p w14:paraId="7631E887" w14:textId="3C7380F7" w:rsidR="00D12F9B" w:rsidRPr="00205340" w:rsidRDefault="00D12F9B" w:rsidP="00D12F9B">
            <w:pPr>
              <w:pStyle w:val="TableText"/>
              <w:jc w:val="center"/>
              <w:rPr>
                <w:b/>
                <w:bCs/>
              </w:rPr>
            </w:pPr>
            <w:r w:rsidRPr="00205340">
              <w:rPr>
                <w:b/>
                <w:bCs/>
              </w:rPr>
              <w:t>Factor Prophylaxis at OP</w:t>
            </w:r>
          </w:p>
        </w:tc>
        <w:tc>
          <w:tcPr>
            <w:tcW w:w="1216" w:type="pct"/>
          </w:tcPr>
          <w:p w14:paraId="168771EB" w14:textId="20CFE99C" w:rsidR="00D12F9B" w:rsidRPr="00205340" w:rsidRDefault="00D12F9B" w:rsidP="00D12F9B">
            <w:pPr>
              <w:pStyle w:val="TableText"/>
              <w:jc w:val="center"/>
              <w:rPr>
                <w:b/>
                <w:bCs/>
              </w:rPr>
            </w:pPr>
            <w:r w:rsidRPr="00205340">
              <w:rPr>
                <w:b/>
                <w:bCs/>
              </w:rPr>
              <w:t xml:space="preserve">Marstacimab </w:t>
            </w:r>
          </w:p>
        </w:tc>
        <w:tc>
          <w:tcPr>
            <w:tcW w:w="1193" w:type="pct"/>
          </w:tcPr>
          <w:p w14:paraId="49C13B9A" w14:textId="6B1DFBD6" w:rsidR="00D12F9B" w:rsidRPr="00205340" w:rsidRDefault="00D12F9B" w:rsidP="00D12F9B">
            <w:pPr>
              <w:pStyle w:val="TableText"/>
              <w:jc w:val="center"/>
              <w:rPr>
                <w:b/>
                <w:bCs/>
              </w:rPr>
            </w:pPr>
            <w:r w:rsidRPr="00205340">
              <w:rPr>
                <w:b/>
                <w:bCs/>
              </w:rPr>
              <w:t>Change</w:t>
            </w:r>
          </w:p>
        </w:tc>
      </w:tr>
      <w:tr w:rsidR="0010559C" w:rsidRPr="00205340" w14:paraId="681065A2" w14:textId="1844FC63" w:rsidTr="00D12F9B">
        <w:tc>
          <w:tcPr>
            <w:tcW w:w="1347" w:type="pct"/>
          </w:tcPr>
          <w:p w14:paraId="1EE6FC49" w14:textId="4BCB56FC" w:rsidR="00996F09" w:rsidRPr="00205340" w:rsidRDefault="00996F09" w:rsidP="00D12F9B">
            <w:pPr>
              <w:pStyle w:val="TableText"/>
            </w:pPr>
            <w:r w:rsidRPr="00205340">
              <w:t xml:space="preserve">n </w:t>
            </w:r>
          </w:p>
        </w:tc>
        <w:tc>
          <w:tcPr>
            <w:tcW w:w="1244" w:type="pct"/>
          </w:tcPr>
          <w:p w14:paraId="4FC0E1E6" w14:textId="4CE7DCF3" w:rsidR="00996F09" w:rsidRPr="00205340" w:rsidRDefault="00996F09" w:rsidP="00D12F9B">
            <w:pPr>
              <w:pStyle w:val="TableText"/>
              <w:jc w:val="center"/>
            </w:pPr>
            <w:r w:rsidRPr="00205340">
              <w:t>65</w:t>
            </w:r>
          </w:p>
        </w:tc>
        <w:tc>
          <w:tcPr>
            <w:tcW w:w="1216" w:type="pct"/>
          </w:tcPr>
          <w:p w14:paraId="16C289BF" w14:textId="403E0AE6" w:rsidR="00996F09" w:rsidRPr="00205340" w:rsidRDefault="00996F09" w:rsidP="00D12F9B">
            <w:pPr>
              <w:pStyle w:val="TableText"/>
              <w:jc w:val="center"/>
            </w:pPr>
            <w:r w:rsidRPr="00205340">
              <w:t>65</w:t>
            </w:r>
          </w:p>
        </w:tc>
        <w:tc>
          <w:tcPr>
            <w:tcW w:w="1193" w:type="pct"/>
          </w:tcPr>
          <w:p w14:paraId="651C20A0" w14:textId="6A79A03F" w:rsidR="00996F09" w:rsidRPr="00205340" w:rsidRDefault="000E3970" w:rsidP="00D12F9B">
            <w:pPr>
              <w:pStyle w:val="TableText"/>
              <w:jc w:val="center"/>
            </w:pPr>
            <w:r w:rsidRPr="00205340">
              <w:t>65</w:t>
            </w:r>
          </w:p>
        </w:tc>
      </w:tr>
      <w:tr w:rsidR="0010559C" w:rsidRPr="00205340" w14:paraId="7C772465" w14:textId="0BDB1405" w:rsidTr="00D12F9B">
        <w:tc>
          <w:tcPr>
            <w:tcW w:w="1347" w:type="pct"/>
          </w:tcPr>
          <w:p w14:paraId="160443BB" w14:textId="172DEA59" w:rsidR="00996F09" w:rsidRPr="00205340" w:rsidRDefault="00996F09" w:rsidP="00D12F9B">
            <w:pPr>
              <w:pStyle w:val="TableText"/>
            </w:pPr>
            <w:r w:rsidRPr="00205340">
              <w:t>Treated ABR (mean ± SD)</w:t>
            </w:r>
          </w:p>
        </w:tc>
        <w:tc>
          <w:tcPr>
            <w:tcW w:w="1244" w:type="pct"/>
          </w:tcPr>
          <w:p w14:paraId="7488ABA3" w14:textId="696CD789" w:rsidR="00996F09" w:rsidRPr="00205340" w:rsidRDefault="00996F09" w:rsidP="00D12F9B">
            <w:pPr>
              <w:pStyle w:val="TableText"/>
              <w:jc w:val="center"/>
            </w:pPr>
            <w:r w:rsidRPr="00205340">
              <w:t>9.1</w:t>
            </w:r>
            <w:r w:rsidR="00492CF0" w:rsidRPr="00205340">
              <w:t>6</w:t>
            </w:r>
            <w:r w:rsidRPr="00205340">
              <w:t xml:space="preserve"> ± 14.</w:t>
            </w:r>
            <w:r w:rsidR="00492CF0" w:rsidRPr="00205340">
              <w:t>25</w:t>
            </w:r>
          </w:p>
        </w:tc>
        <w:tc>
          <w:tcPr>
            <w:tcW w:w="1216" w:type="pct"/>
          </w:tcPr>
          <w:p w14:paraId="3A2D71E5" w14:textId="4E2A6E83" w:rsidR="00996F09" w:rsidRPr="00205340" w:rsidRDefault="00996F09" w:rsidP="00D12F9B">
            <w:pPr>
              <w:pStyle w:val="TableText"/>
              <w:jc w:val="center"/>
            </w:pPr>
            <w:r w:rsidRPr="00205340">
              <w:t>4.</w:t>
            </w:r>
            <w:r w:rsidR="00492CF0" w:rsidRPr="00205340">
              <w:t>76</w:t>
            </w:r>
            <w:r w:rsidRPr="00205340">
              <w:t xml:space="preserve"> ± </w:t>
            </w:r>
            <w:r w:rsidR="00492CF0" w:rsidRPr="00205340">
              <w:t>7.92</w:t>
            </w:r>
          </w:p>
        </w:tc>
        <w:tc>
          <w:tcPr>
            <w:tcW w:w="1193" w:type="pct"/>
          </w:tcPr>
          <w:p w14:paraId="797F0F86" w14:textId="29491D07" w:rsidR="00996F09" w:rsidRPr="00205340" w:rsidRDefault="00996F09" w:rsidP="00D12F9B">
            <w:pPr>
              <w:pStyle w:val="TableText"/>
              <w:jc w:val="center"/>
            </w:pPr>
            <w:r w:rsidRPr="00205340">
              <w:t>-4.</w:t>
            </w:r>
            <w:r w:rsidR="00492CF0" w:rsidRPr="00205340">
              <w:t>40</w:t>
            </w:r>
            <w:r w:rsidRPr="00205340">
              <w:t xml:space="preserve"> ± </w:t>
            </w:r>
            <w:r w:rsidR="00022ADD" w:rsidRPr="00205340">
              <w:t>13.</w:t>
            </w:r>
            <w:r w:rsidR="00492CF0" w:rsidRPr="00205340">
              <w:t>38</w:t>
            </w:r>
          </w:p>
        </w:tc>
      </w:tr>
      <w:tr w:rsidR="0010559C" w:rsidRPr="00205340" w14:paraId="05176120" w14:textId="6489244C" w:rsidTr="00D12F9B">
        <w:tc>
          <w:tcPr>
            <w:tcW w:w="1347" w:type="pct"/>
          </w:tcPr>
          <w:p w14:paraId="1B92EFE8" w14:textId="53229EE4" w:rsidR="00996F09" w:rsidRPr="00205340" w:rsidRDefault="00996F09" w:rsidP="00D12F9B">
            <w:pPr>
              <w:pStyle w:val="TableText"/>
            </w:pPr>
            <w:r w:rsidRPr="00205340">
              <w:t xml:space="preserve">Treated ABR </w:t>
            </w:r>
            <w:r w:rsidR="00D12F9B" w:rsidRPr="00205340">
              <w:t>(</w:t>
            </w:r>
            <w:r w:rsidRPr="00205340">
              <w:t>median [IQR]</w:t>
            </w:r>
            <w:r w:rsidR="00D12F9B" w:rsidRPr="00205340">
              <w:t>)</w:t>
            </w:r>
          </w:p>
        </w:tc>
        <w:tc>
          <w:tcPr>
            <w:tcW w:w="1244" w:type="pct"/>
          </w:tcPr>
          <w:p w14:paraId="079784DA" w14:textId="7E451B99" w:rsidR="00996F09" w:rsidRPr="00205340" w:rsidRDefault="00996F09" w:rsidP="00D12F9B">
            <w:pPr>
              <w:pStyle w:val="TableText"/>
              <w:jc w:val="center"/>
            </w:pPr>
            <w:r w:rsidRPr="00205340">
              <w:t>2.14</w:t>
            </w:r>
            <w:r w:rsidR="000E3970" w:rsidRPr="00205340">
              <w:t xml:space="preserve"> [0.00, 5.83]</w:t>
            </w:r>
          </w:p>
        </w:tc>
        <w:tc>
          <w:tcPr>
            <w:tcW w:w="1216" w:type="pct"/>
          </w:tcPr>
          <w:p w14:paraId="5F0A0097" w14:textId="0995E729" w:rsidR="00996F09" w:rsidRPr="00205340" w:rsidRDefault="00492CF0" w:rsidP="00D12F9B">
            <w:pPr>
              <w:pStyle w:val="TableText"/>
              <w:jc w:val="center"/>
            </w:pPr>
            <w:r w:rsidRPr="00205340">
              <w:t>2.0</w:t>
            </w:r>
            <w:r w:rsidR="00430373" w:rsidRPr="00205340">
              <w:t>0</w:t>
            </w:r>
            <w:r w:rsidRPr="00205340">
              <w:t xml:space="preserve"> [0.0, 4.99]</w:t>
            </w:r>
          </w:p>
        </w:tc>
        <w:tc>
          <w:tcPr>
            <w:tcW w:w="1193" w:type="pct"/>
          </w:tcPr>
          <w:p w14:paraId="415A44DD" w14:textId="6DAC4D5D" w:rsidR="00996F09" w:rsidRPr="00205340" w:rsidRDefault="000E3970" w:rsidP="00D12F9B">
            <w:pPr>
              <w:pStyle w:val="TableText"/>
              <w:jc w:val="center"/>
            </w:pPr>
            <w:r w:rsidRPr="00205340">
              <w:t>0</w:t>
            </w:r>
            <w:r w:rsidR="00430373" w:rsidRPr="00205340">
              <w:t>.00</w:t>
            </w:r>
            <w:r w:rsidRPr="00205340">
              <w:t xml:space="preserve"> [-8.98, 1.04]</w:t>
            </w:r>
          </w:p>
        </w:tc>
      </w:tr>
    </w:tbl>
    <w:p w14:paraId="1A4BB23C" w14:textId="01A40C42" w:rsidR="00022ADD" w:rsidRPr="00205340" w:rsidRDefault="00184B20" w:rsidP="00995983">
      <w:pPr>
        <w:pStyle w:val="Tablenotes0"/>
      </w:pPr>
      <w:r w:rsidRPr="00205340">
        <w:t>ABR = annualised bleeding rate</w:t>
      </w:r>
    </w:p>
    <w:p w14:paraId="37000074" w14:textId="4B9A8D7A" w:rsidR="003F46F2" w:rsidRPr="00205340" w:rsidRDefault="00184B20" w:rsidP="006E4A28">
      <w:pPr>
        <w:pStyle w:val="Tablenotes0"/>
      </w:pPr>
      <w:r w:rsidRPr="00205340">
        <w:t xml:space="preserve">Source: </w:t>
      </w:r>
      <w:r w:rsidR="000F6E64" w:rsidRPr="00205340">
        <w:t>Calculated based on Economics inputs – marstacimab Attachment to ADAR 1806</w:t>
      </w:r>
      <w:r w:rsidR="005F1F53" w:rsidRPr="00205340">
        <w:t xml:space="preserve"> </w:t>
      </w:r>
    </w:p>
    <w:p w14:paraId="034D4377" w14:textId="1BBE1DDF" w:rsidR="00A67708" w:rsidRPr="00205340" w:rsidRDefault="00A67708" w:rsidP="00A67708">
      <w:pPr>
        <w:pStyle w:val="Heading3"/>
      </w:pPr>
      <w:r w:rsidRPr="00205340">
        <w:t>Haemophilia B</w:t>
      </w:r>
    </w:p>
    <w:p w14:paraId="502BDBAD" w14:textId="26B156F7" w:rsidR="004F76A0" w:rsidRPr="00205340" w:rsidRDefault="00A67708" w:rsidP="004F76A0">
      <w:pPr>
        <w:pStyle w:val="Heading4"/>
      </w:pPr>
      <w:r w:rsidRPr="00205340">
        <w:t>M</w:t>
      </w:r>
      <w:r w:rsidR="004F76A0" w:rsidRPr="00205340">
        <w:t>arstacimab versus EHL FIX prophylaxis</w:t>
      </w:r>
    </w:p>
    <w:p w14:paraId="14AE60F7" w14:textId="0E59E460" w:rsidR="003F46F2" w:rsidRPr="00205340" w:rsidRDefault="003F46F2" w:rsidP="003F46F2">
      <w:r w:rsidRPr="00205340">
        <w:t xml:space="preserve">The treated ABRs for HMB </w:t>
      </w:r>
      <w:r w:rsidR="00667A8F" w:rsidRPr="00205340">
        <w:t xml:space="preserve">were similar on average between </w:t>
      </w:r>
      <w:r w:rsidR="001D7320" w:rsidRPr="00205340">
        <w:t xml:space="preserve">people receiving </w:t>
      </w:r>
      <w:r w:rsidR="00667A8F" w:rsidRPr="00205340">
        <w:t xml:space="preserve">FIX prophylaxis </w:t>
      </w:r>
      <w:r w:rsidR="001D7320" w:rsidRPr="00205340">
        <w:t xml:space="preserve">or </w:t>
      </w:r>
      <w:r w:rsidR="00667A8F" w:rsidRPr="00205340">
        <w:t>marstacimab. Six people (33.3%) had clinically important reductions in the rate of bleeds that required treatment</w:t>
      </w:r>
      <w:r w:rsidR="001D09C4" w:rsidRPr="00205340">
        <w:t>;</w:t>
      </w:r>
      <w:r w:rsidR="00667A8F" w:rsidRPr="00205340">
        <w:t xml:space="preserve"> </w:t>
      </w:r>
      <w:r w:rsidR="001D09C4" w:rsidRPr="00205340">
        <w:t>four</w:t>
      </w:r>
      <w:r w:rsidR="00667A8F" w:rsidRPr="00205340">
        <w:t xml:space="preserve"> (22.2%) had clinically important increases in the number of bleeds that required treatment, and </w:t>
      </w:r>
      <w:r w:rsidR="001D09C4" w:rsidRPr="00205340">
        <w:t xml:space="preserve">nine </w:t>
      </w:r>
      <w:r w:rsidR="00667A8F" w:rsidRPr="00205340">
        <w:t>(50%) had no clinically important difference</w:t>
      </w:r>
      <w:r w:rsidR="001D09C4" w:rsidRPr="00205340">
        <w:t xml:space="preserve"> in the number of treated bleeds</w:t>
      </w:r>
      <w:r w:rsidR="00667A8F" w:rsidRPr="00205340">
        <w:t xml:space="preserve">. The claim of </w:t>
      </w:r>
      <w:r w:rsidR="001D09C4" w:rsidRPr="00205340">
        <w:t xml:space="preserve">the </w:t>
      </w:r>
      <w:r w:rsidR="00667A8F" w:rsidRPr="00205340">
        <w:t xml:space="preserve">superiority of marstacimab </w:t>
      </w:r>
      <w:r w:rsidR="001D09C4" w:rsidRPr="00205340">
        <w:t>over</w:t>
      </w:r>
      <w:r w:rsidR="00667A8F" w:rsidRPr="00205340">
        <w:t xml:space="preserve"> FIX was not </w:t>
      </w:r>
      <w:r w:rsidR="001D09C4" w:rsidRPr="00205340">
        <w:t>substantiated</w:t>
      </w:r>
      <w:r w:rsidR="00667A8F" w:rsidRPr="00205340">
        <w:t xml:space="preserve">. </w:t>
      </w:r>
      <w:r w:rsidR="00300C1E" w:rsidRPr="00205340">
        <w:t xml:space="preserve">As </w:t>
      </w:r>
      <w:r w:rsidR="00300C1E" w:rsidRPr="00205340">
        <w:lastRenderedPageBreak/>
        <w:t xml:space="preserve">with HMA, </w:t>
      </w:r>
      <w:r w:rsidR="001C60A0" w:rsidRPr="00205340">
        <w:t>most p</w:t>
      </w:r>
      <w:r w:rsidR="00300C1E" w:rsidRPr="00205340">
        <w:t>atients</w:t>
      </w:r>
      <w:r w:rsidR="00840D1E" w:rsidRPr="00205340">
        <w:t xml:space="preserve"> in the BASIS trial</w:t>
      </w:r>
      <w:r w:rsidR="00300C1E" w:rsidRPr="00205340">
        <w:t xml:space="preserve"> </w:t>
      </w:r>
      <w:r w:rsidR="001C60A0" w:rsidRPr="00205340">
        <w:t>received</w:t>
      </w:r>
      <w:r w:rsidR="00300C1E" w:rsidRPr="00205340">
        <w:t xml:space="preserve"> SHL FIX prophylaxis </w:t>
      </w:r>
      <w:r w:rsidR="001C60A0" w:rsidRPr="00205340">
        <w:t xml:space="preserve">rather </w:t>
      </w:r>
      <w:r w:rsidR="00300C1E" w:rsidRPr="00205340">
        <w:t>than EHL FIX prophylaxis.</w:t>
      </w:r>
      <w:r w:rsidR="001D09C4" w:rsidRPr="00205340">
        <w:t xml:space="preserve"> This means that in Australian clinical practice, where EHL FIX is commonly used, the reduction observed in </w:t>
      </w:r>
      <w:r w:rsidR="00300C1E" w:rsidRPr="00205340">
        <w:t>treated ABRs</w:t>
      </w:r>
      <w:r w:rsidR="001D09C4" w:rsidRPr="00205340">
        <w:t xml:space="preserve"> </w:t>
      </w:r>
      <w:proofErr w:type="gramStart"/>
      <w:r w:rsidR="001D09C4" w:rsidRPr="00205340">
        <w:t>as a consequence of</w:t>
      </w:r>
      <w:proofErr w:type="gramEnd"/>
      <w:r w:rsidR="001D09C4" w:rsidRPr="00205340">
        <w:t xml:space="preserve"> marstacimab use in BASIS/BASIS LTE, when compared to FIX prophylaxis,</w:t>
      </w:r>
      <w:r w:rsidR="00300C1E" w:rsidRPr="00205340">
        <w:t xml:space="preserve"> </w:t>
      </w:r>
      <w:r w:rsidR="001D09C4" w:rsidRPr="00205340">
        <w:t>is unlikely to be realised</w:t>
      </w:r>
      <w:r w:rsidR="00300C1E" w:rsidRPr="00205340">
        <w:t>.</w:t>
      </w:r>
    </w:p>
    <w:p w14:paraId="42EB30E9" w14:textId="667DC9BC" w:rsidR="002C5B86" w:rsidRPr="00205340" w:rsidRDefault="002C5B86" w:rsidP="002C5B86">
      <w:pPr>
        <w:pStyle w:val="Caption"/>
      </w:pPr>
      <w:bookmarkStart w:id="37" w:name="_Ref227156592"/>
      <w:bookmarkStart w:id="38" w:name="_Hlk213919682"/>
      <w:bookmarkEnd w:id="36"/>
      <w:r w:rsidRPr="00205340">
        <w:t xml:space="preserve">Table </w:t>
      </w:r>
      <w:fldSimple w:instr=" SEQ Table \* ARABIC ">
        <w:r w:rsidR="002C6A9B" w:rsidRPr="00205340">
          <w:rPr>
            <w:noProof/>
          </w:rPr>
          <w:t>7</w:t>
        </w:r>
      </w:fldSimple>
      <w:bookmarkEnd w:id="37"/>
      <w:r w:rsidRPr="00205340">
        <w:t xml:space="preserve"> Results for estimated ABR for treated bleeds during the BASIS+BASIS LTE trial. </w:t>
      </w:r>
      <w:r w:rsidR="0081299E" w:rsidRPr="00205340">
        <w:t xml:space="preserve">Patients with </w:t>
      </w:r>
      <w:r w:rsidRPr="00205340">
        <w:t>HMB, prior prophylaxis, non-inhibitor cohort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189"/>
        <w:gridCol w:w="2187"/>
        <w:gridCol w:w="2185"/>
      </w:tblGrid>
      <w:tr w:rsidR="0010559C" w:rsidRPr="00205340" w14:paraId="5D50AD6B" w14:textId="246C58A7" w:rsidTr="00FE1400">
        <w:tc>
          <w:tcPr>
            <w:tcW w:w="1361" w:type="pct"/>
          </w:tcPr>
          <w:p w14:paraId="5E2BC586" w14:textId="77777777" w:rsidR="005957EB" w:rsidRPr="00205340" w:rsidRDefault="005957EB" w:rsidP="00D12F9B">
            <w:pPr>
              <w:pStyle w:val="TableText"/>
              <w:jc w:val="center"/>
              <w:rPr>
                <w:b/>
                <w:bCs/>
              </w:rPr>
            </w:pPr>
          </w:p>
        </w:tc>
        <w:tc>
          <w:tcPr>
            <w:tcW w:w="1214" w:type="pct"/>
          </w:tcPr>
          <w:p w14:paraId="188F9C95" w14:textId="77777777" w:rsidR="005957EB" w:rsidRPr="00205340" w:rsidRDefault="005957EB" w:rsidP="00D12F9B">
            <w:pPr>
              <w:pStyle w:val="TableText"/>
              <w:jc w:val="center"/>
              <w:rPr>
                <w:b/>
                <w:bCs/>
              </w:rPr>
            </w:pPr>
            <w:r w:rsidRPr="00205340">
              <w:rPr>
                <w:b/>
                <w:bCs/>
              </w:rPr>
              <w:t>Factor Prophylaxis at OP</w:t>
            </w:r>
          </w:p>
        </w:tc>
        <w:tc>
          <w:tcPr>
            <w:tcW w:w="1213" w:type="pct"/>
          </w:tcPr>
          <w:p w14:paraId="5876B6D3" w14:textId="09D77C96" w:rsidR="005957EB" w:rsidRPr="00205340" w:rsidRDefault="005957EB" w:rsidP="00D12F9B">
            <w:pPr>
              <w:pStyle w:val="TableText"/>
              <w:jc w:val="center"/>
              <w:rPr>
                <w:b/>
                <w:bCs/>
              </w:rPr>
            </w:pPr>
            <w:r w:rsidRPr="00205340">
              <w:rPr>
                <w:b/>
                <w:bCs/>
              </w:rPr>
              <w:t xml:space="preserve">Marstacimab </w:t>
            </w:r>
          </w:p>
        </w:tc>
        <w:tc>
          <w:tcPr>
            <w:tcW w:w="1212" w:type="pct"/>
          </w:tcPr>
          <w:p w14:paraId="6B91C76C" w14:textId="1D516786" w:rsidR="005957EB" w:rsidRPr="00205340" w:rsidRDefault="005957EB" w:rsidP="00D12F9B">
            <w:pPr>
              <w:pStyle w:val="TableText"/>
              <w:jc w:val="center"/>
              <w:rPr>
                <w:b/>
                <w:bCs/>
              </w:rPr>
            </w:pPr>
            <w:r w:rsidRPr="00205340">
              <w:rPr>
                <w:b/>
                <w:bCs/>
              </w:rPr>
              <w:t>Change</w:t>
            </w:r>
          </w:p>
        </w:tc>
      </w:tr>
      <w:tr w:rsidR="0010559C" w:rsidRPr="00205340" w14:paraId="3D2515CC" w14:textId="529C6262" w:rsidTr="00BC1CAD">
        <w:tc>
          <w:tcPr>
            <w:tcW w:w="1361" w:type="pct"/>
          </w:tcPr>
          <w:p w14:paraId="0CF83CE4" w14:textId="560FC2DE" w:rsidR="005957EB" w:rsidRPr="00205340" w:rsidRDefault="005957EB" w:rsidP="00D12F9B">
            <w:pPr>
              <w:pStyle w:val="TableText"/>
            </w:pPr>
            <w:r w:rsidRPr="00205340">
              <w:t xml:space="preserve">n </w:t>
            </w:r>
          </w:p>
        </w:tc>
        <w:tc>
          <w:tcPr>
            <w:tcW w:w="1214" w:type="pct"/>
          </w:tcPr>
          <w:p w14:paraId="26C209F5" w14:textId="2392AC3C" w:rsidR="005957EB" w:rsidRPr="00205340" w:rsidRDefault="005957EB" w:rsidP="00D12F9B">
            <w:pPr>
              <w:pStyle w:val="TableText"/>
              <w:jc w:val="center"/>
            </w:pPr>
            <w:r w:rsidRPr="00205340">
              <w:t xml:space="preserve">18 </w:t>
            </w:r>
          </w:p>
        </w:tc>
        <w:tc>
          <w:tcPr>
            <w:tcW w:w="1213" w:type="pct"/>
          </w:tcPr>
          <w:p w14:paraId="7D04D324" w14:textId="386EA50E" w:rsidR="005957EB" w:rsidRPr="00205340" w:rsidRDefault="005957EB" w:rsidP="00D12F9B">
            <w:pPr>
              <w:pStyle w:val="TableText"/>
              <w:jc w:val="center"/>
            </w:pPr>
            <w:r w:rsidRPr="00205340">
              <w:t>18</w:t>
            </w:r>
          </w:p>
        </w:tc>
        <w:tc>
          <w:tcPr>
            <w:tcW w:w="1212" w:type="pct"/>
          </w:tcPr>
          <w:p w14:paraId="54773606" w14:textId="303DF7E9" w:rsidR="005957EB" w:rsidRPr="00205340" w:rsidRDefault="000F6E64" w:rsidP="00D12F9B">
            <w:pPr>
              <w:pStyle w:val="TableText"/>
              <w:jc w:val="center"/>
            </w:pPr>
            <w:r w:rsidRPr="00205340">
              <w:t>18</w:t>
            </w:r>
          </w:p>
        </w:tc>
      </w:tr>
      <w:tr w:rsidR="0010559C" w:rsidRPr="00205340" w14:paraId="02AD90AA" w14:textId="7C6057A5" w:rsidTr="00BC1CAD">
        <w:tc>
          <w:tcPr>
            <w:tcW w:w="1361" w:type="pct"/>
          </w:tcPr>
          <w:p w14:paraId="47881A74" w14:textId="70B6FF77" w:rsidR="005957EB" w:rsidRPr="00205340" w:rsidRDefault="005957EB" w:rsidP="00D12F9B">
            <w:pPr>
              <w:pStyle w:val="TableText"/>
            </w:pPr>
            <w:r w:rsidRPr="00205340">
              <w:t>Treated ABR (mean ± SD)</w:t>
            </w:r>
          </w:p>
        </w:tc>
        <w:tc>
          <w:tcPr>
            <w:tcW w:w="1214" w:type="pct"/>
          </w:tcPr>
          <w:p w14:paraId="4B6BBDF0" w14:textId="3A9EBCB6" w:rsidR="005957EB" w:rsidRPr="00205340" w:rsidRDefault="005957EB" w:rsidP="00D12F9B">
            <w:pPr>
              <w:pStyle w:val="TableText"/>
              <w:jc w:val="center"/>
            </w:pPr>
            <w:r w:rsidRPr="00205340">
              <w:t>3.26 ± 3.31</w:t>
            </w:r>
          </w:p>
        </w:tc>
        <w:tc>
          <w:tcPr>
            <w:tcW w:w="1213" w:type="pct"/>
          </w:tcPr>
          <w:p w14:paraId="7F628C4E" w14:textId="339CA028" w:rsidR="005957EB" w:rsidRPr="00205340" w:rsidRDefault="00430373" w:rsidP="00D12F9B">
            <w:pPr>
              <w:pStyle w:val="TableText"/>
              <w:jc w:val="center"/>
            </w:pPr>
            <w:r w:rsidRPr="00205340">
              <w:t>3.88 ± 5.09</w:t>
            </w:r>
          </w:p>
        </w:tc>
        <w:tc>
          <w:tcPr>
            <w:tcW w:w="1212" w:type="pct"/>
          </w:tcPr>
          <w:p w14:paraId="170F627C" w14:textId="301E19AF" w:rsidR="005957EB" w:rsidRPr="00205340" w:rsidRDefault="008400F5" w:rsidP="00D12F9B">
            <w:pPr>
              <w:pStyle w:val="TableText"/>
              <w:jc w:val="center"/>
            </w:pPr>
            <w:r w:rsidRPr="00205340">
              <w:t>0.62</w:t>
            </w:r>
            <w:r w:rsidR="00BC1CAD" w:rsidRPr="00205340">
              <w:t xml:space="preserve"> ± </w:t>
            </w:r>
            <w:r w:rsidRPr="00205340">
              <w:t>5.53</w:t>
            </w:r>
          </w:p>
        </w:tc>
      </w:tr>
      <w:tr w:rsidR="0010559C" w:rsidRPr="00205340" w14:paraId="469CF376" w14:textId="4441E72B" w:rsidTr="00BC1CAD">
        <w:tc>
          <w:tcPr>
            <w:tcW w:w="1361" w:type="pct"/>
          </w:tcPr>
          <w:p w14:paraId="52C2078E" w14:textId="47BF7022" w:rsidR="005957EB" w:rsidRPr="00205340" w:rsidRDefault="005957EB" w:rsidP="00D12F9B">
            <w:pPr>
              <w:pStyle w:val="TableText"/>
            </w:pPr>
            <w:r w:rsidRPr="00205340">
              <w:t xml:space="preserve">Treated ABR </w:t>
            </w:r>
            <w:r w:rsidR="00D12F9B" w:rsidRPr="00205340">
              <w:t>(</w:t>
            </w:r>
            <w:r w:rsidRPr="00205340">
              <w:t>median [IQR]</w:t>
            </w:r>
            <w:r w:rsidR="00D12F9B" w:rsidRPr="00205340">
              <w:t>)</w:t>
            </w:r>
          </w:p>
        </w:tc>
        <w:tc>
          <w:tcPr>
            <w:tcW w:w="1214" w:type="pct"/>
          </w:tcPr>
          <w:p w14:paraId="783F5689" w14:textId="6C672F6B" w:rsidR="005957EB" w:rsidRPr="00205340" w:rsidRDefault="005957EB" w:rsidP="00D12F9B">
            <w:pPr>
              <w:pStyle w:val="TableText"/>
              <w:jc w:val="center"/>
            </w:pPr>
            <w:r w:rsidRPr="00205340">
              <w:t>4.00 [0.00, 5.</w:t>
            </w:r>
            <w:r w:rsidR="00430373" w:rsidRPr="00205340">
              <w:t>41</w:t>
            </w:r>
            <w:r w:rsidRPr="00205340">
              <w:t>]</w:t>
            </w:r>
          </w:p>
        </w:tc>
        <w:tc>
          <w:tcPr>
            <w:tcW w:w="1213" w:type="pct"/>
          </w:tcPr>
          <w:p w14:paraId="30E7C5D3" w14:textId="1D3B5E1B" w:rsidR="005957EB" w:rsidRPr="00205340" w:rsidRDefault="00430373" w:rsidP="00D12F9B">
            <w:pPr>
              <w:pStyle w:val="TableText"/>
              <w:jc w:val="center"/>
            </w:pPr>
            <w:r w:rsidRPr="00205340">
              <w:t>2.00</w:t>
            </w:r>
            <w:r w:rsidR="005957EB" w:rsidRPr="00205340">
              <w:t xml:space="preserve"> [0.00, 5.08]</w:t>
            </w:r>
          </w:p>
        </w:tc>
        <w:tc>
          <w:tcPr>
            <w:tcW w:w="1212" w:type="pct"/>
          </w:tcPr>
          <w:p w14:paraId="2F4E3856" w14:textId="1BFCBF9F" w:rsidR="005957EB" w:rsidRPr="00205340" w:rsidRDefault="00022ADD" w:rsidP="00D12F9B">
            <w:pPr>
              <w:pStyle w:val="TableText"/>
              <w:jc w:val="center"/>
            </w:pPr>
            <w:r w:rsidRPr="00205340">
              <w:t>0</w:t>
            </w:r>
            <w:r w:rsidR="00430373" w:rsidRPr="00205340">
              <w:t>.00 [-2.78, 0.51]</w:t>
            </w:r>
          </w:p>
        </w:tc>
      </w:tr>
    </w:tbl>
    <w:p w14:paraId="4D22CA5F" w14:textId="509D2145" w:rsidR="00184B20" w:rsidRPr="00205340" w:rsidRDefault="00184B20" w:rsidP="00995983">
      <w:pPr>
        <w:pStyle w:val="Tablenotes0"/>
      </w:pPr>
      <w:r w:rsidRPr="00205340">
        <w:t>ABR = annualised bleeding rat</w:t>
      </w:r>
      <w:r w:rsidR="00022ADD" w:rsidRPr="00205340">
        <w:t>e</w:t>
      </w:r>
      <w:r w:rsidRPr="00205340">
        <w:t xml:space="preserve"> </w:t>
      </w:r>
    </w:p>
    <w:p w14:paraId="4ABA780D" w14:textId="5293D9A0" w:rsidR="00184B20" w:rsidRPr="00205340" w:rsidRDefault="00184B20" w:rsidP="00995983">
      <w:pPr>
        <w:pStyle w:val="Tablenotes0"/>
      </w:pPr>
      <w:r w:rsidRPr="00205340">
        <w:t xml:space="preserve">Source: </w:t>
      </w:r>
      <w:r w:rsidR="00022207" w:rsidRPr="00205340">
        <w:t xml:space="preserve">Calculated based on Economics inputs – marstacimab Attachment to ADAR 1806 </w:t>
      </w:r>
    </w:p>
    <w:bookmarkEnd w:id="38"/>
    <w:p w14:paraId="76713A64" w14:textId="59E56BED" w:rsidR="004F76A0" w:rsidRPr="00205340" w:rsidRDefault="00A67708" w:rsidP="004F76A0">
      <w:pPr>
        <w:pStyle w:val="Heading4"/>
      </w:pPr>
      <w:r w:rsidRPr="00205340">
        <w:t>M</w:t>
      </w:r>
      <w:r w:rsidR="004F76A0" w:rsidRPr="00205340">
        <w:t xml:space="preserve">arstacimab versus </w:t>
      </w:r>
      <w:proofErr w:type="spellStart"/>
      <w:r w:rsidR="004F76A0" w:rsidRPr="00205340">
        <w:t>entranacogene</w:t>
      </w:r>
      <w:proofErr w:type="spellEnd"/>
      <w:r w:rsidR="004F76A0" w:rsidRPr="00205340">
        <w:t xml:space="preserve"> dezaparvovec</w:t>
      </w:r>
    </w:p>
    <w:p w14:paraId="0CBCA86A" w14:textId="3D857C94" w:rsidR="000E5FB8" w:rsidRPr="00205340" w:rsidRDefault="00125024" w:rsidP="00165C32">
      <w:r w:rsidRPr="00205340">
        <w:t xml:space="preserve">Given </w:t>
      </w:r>
      <w:r w:rsidR="000E5FB8" w:rsidRPr="00205340">
        <w:t>MSAC supported public funding for</w:t>
      </w:r>
      <w:r w:rsidR="00A67708" w:rsidRPr="00205340">
        <w:t xml:space="preserve"> </w:t>
      </w:r>
      <w:proofErr w:type="spellStart"/>
      <w:r w:rsidR="00A67708" w:rsidRPr="00205340">
        <w:t>entranocogene</w:t>
      </w:r>
      <w:proofErr w:type="spellEnd"/>
      <w:r w:rsidR="00A67708" w:rsidRPr="00205340">
        <w:t xml:space="preserve"> dezaparvovec (ED) </w:t>
      </w:r>
      <w:r w:rsidR="000E5FB8" w:rsidRPr="00205340">
        <w:t xml:space="preserve">in July 2025, ED would be a </w:t>
      </w:r>
      <w:r w:rsidR="002E533D" w:rsidRPr="00205340">
        <w:t xml:space="preserve">near market </w:t>
      </w:r>
      <w:r w:rsidR="000E5FB8" w:rsidRPr="00205340">
        <w:t>comparator to marstacimab</w:t>
      </w:r>
      <w:r w:rsidRPr="00205340">
        <w:t xml:space="preserve"> in HMB</w:t>
      </w:r>
      <w:r w:rsidR="000E5FB8" w:rsidRPr="00205340">
        <w:t>. Following the infusion of ED, 63% of participants reported no bleeding episodes in months 7 to 18, and 94% of participants were able to cease regular FIX prophylaxis</w:t>
      </w:r>
      <w:r w:rsidR="00287640" w:rsidRPr="00205340">
        <w:t xml:space="preserve"> (</w:t>
      </w:r>
      <w:r w:rsidR="00165C32" w:rsidRPr="00205340">
        <w:fldChar w:fldCharType="begin" w:fldLock="1"/>
      </w:r>
      <w:r w:rsidR="00165C32" w:rsidRPr="00205340">
        <w:instrText xml:space="preserve"> REF _Ref227156701 \h </w:instrText>
      </w:r>
      <w:r w:rsidR="00205340">
        <w:instrText xml:space="preserve"> \* MERGEFORMAT </w:instrText>
      </w:r>
      <w:r w:rsidR="00165C32" w:rsidRPr="00205340">
        <w:fldChar w:fldCharType="separate"/>
      </w:r>
      <w:r w:rsidR="00165C32" w:rsidRPr="00205340">
        <w:t xml:space="preserve">Table </w:t>
      </w:r>
      <w:r w:rsidR="00165C32" w:rsidRPr="00205340">
        <w:rPr>
          <w:noProof/>
        </w:rPr>
        <w:t>8</w:t>
      </w:r>
      <w:r w:rsidR="00165C32" w:rsidRPr="00205340">
        <w:fldChar w:fldCharType="end"/>
      </w:r>
      <w:r w:rsidR="00287640" w:rsidRPr="00205340">
        <w:t>)</w:t>
      </w:r>
      <w:r w:rsidR="000E5FB8" w:rsidRPr="00205340">
        <w:t>. This corresponded to an adjusted ABR (</w:t>
      </w:r>
      <w:r w:rsidR="000E5FB8" w:rsidRPr="00205340">
        <w:rPr>
          <w:i/>
          <w:iCs/>
        </w:rPr>
        <w:t xml:space="preserve">total </w:t>
      </w:r>
      <w:r w:rsidR="000E5FB8" w:rsidRPr="00205340">
        <w:t xml:space="preserve">bleeds) of 1.51, which is lower than the rate of </w:t>
      </w:r>
      <w:r w:rsidR="000E5FB8" w:rsidRPr="00205340">
        <w:rPr>
          <w:i/>
          <w:iCs/>
        </w:rPr>
        <w:t>treated</w:t>
      </w:r>
      <w:r w:rsidR="000E5FB8" w:rsidRPr="00205340">
        <w:t xml:space="preserve"> bleeds reported in the BASIS</w:t>
      </w:r>
      <w:r w:rsidRPr="00205340">
        <w:t xml:space="preserve"> (marstacimab)</w:t>
      </w:r>
      <w:r w:rsidR="000E5FB8" w:rsidRPr="00205340">
        <w:t xml:space="preserve"> trials. Marstacimab may therefore be inferior to ED</w:t>
      </w:r>
      <w:r w:rsidR="00953A77" w:rsidRPr="00205340">
        <w:t>. However,</w:t>
      </w:r>
      <w:r w:rsidR="004039CC" w:rsidRPr="00205340">
        <w:t xml:space="preserve"> these data are highly uncertain, given the naïve comparison </w:t>
      </w:r>
      <w:r w:rsidRPr="00205340">
        <w:t>of</w:t>
      </w:r>
      <w:r w:rsidR="004039CC" w:rsidRPr="00205340">
        <w:t xml:space="preserve"> </w:t>
      </w:r>
      <w:r w:rsidR="00953A77" w:rsidRPr="00205340">
        <w:t xml:space="preserve">two </w:t>
      </w:r>
      <w:r w:rsidR="004039CC" w:rsidRPr="00205340">
        <w:t>different outcome measures</w:t>
      </w:r>
      <w:r w:rsidR="00953A77" w:rsidRPr="00205340">
        <w:t xml:space="preserve"> (ABR in HOPE-B compared to treated bleeds in the BASIS trial)</w:t>
      </w:r>
      <w:r w:rsidR="000E5FB8" w:rsidRPr="00205340">
        <w:t>.</w:t>
      </w:r>
    </w:p>
    <w:p w14:paraId="7FB93356" w14:textId="26BFCDBD" w:rsidR="00165C32" w:rsidRPr="00205340" w:rsidRDefault="00165C32" w:rsidP="00165C32">
      <w:pPr>
        <w:pStyle w:val="Caption"/>
      </w:pPr>
      <w:bookmarkStart w:id="39" w:name="_Ref227156701"/>
      <w:r w:rsidRPr="00205340">
        <w:t xml:space="preserve">Table </w:t>
      </w:r>
      <w:fldSimple w:instr=" SEQ Table \* ARABIC ">
        <w:r w:rsidR="002C6A9B" w:rsidRPr="00205340">
          <w:rPr>
            <w:noProof/>
          </w:rPr>
          <w:t>8</w:t>
        </w:r>
      </w:fldSimple>
      <w:bookmarkEnd w:id="39"/>
      <w:r w:rsidRPr="00205340">
        <w:t xml:space="preserve"> Summary of bleeding episodes in HOPE-B study to 48 months (ED trial)</w:t>
      </w:r>
    </w:p>
    <w:tbl>
      <w:tblPr>
        <w:tblStyle w:val="TableGrid"/>
        <w:tblW w:w="0" w:type="auto"/>
        <w:tblLook w:val="04A0" w:firstRow="1" w:lastRow="0" w:firstColumn="1" w:lastColumn="0" w:noHBand="0" w:noVBand="1"/>
        <w:tblCaption w:val="Summary of bleeding episodes in HOPE-B trial at 48 months"/>
        <w:tblDescription w:val="This table shows a summary of bleeding episodes, ABR and rate ratio during the lead-in period, Month 7-18, Month7-24, Month 7-36 and Month 7-48."/>
      </w:tblPr>
      <w:tblGrid>
        <w:gridCol w:w="1838"/>
        <w:gridCol w:w="1322"/>
        <w:gridCol w:w="1464"/>
        <w:gridCol w:w="1464"/>
        <w:gridCol w:w="1464"/>
        <w:gridCol w:w="1464"/>
      </w:tblGrid>
      <w:tr w:rsidR="007F0F4D" w:rsidRPr="00205340" w14:paraId="72728E23" w14:textId="77777777" w:rsidTr="000E5FB8">
        <w:trPr>
          <w:tblHeader/>
        </w:trPr>
        <w:tc>
          <w:tcPr>
            <w:tcW w:w="1838" w:type="dxa"/>
          </w:tcPr>
          <w:p w14:paraId="3C95A434" w14:textId="77777777" w:rsidR="000E5FB8" w:rsidRPr="00205340" w:rsidRDefault="000E5FB8" w:rsidP="000E5FB8">
            <w:pPr>
              <w:pStyle w:val="In-tableHeading"/>
              <w:rPr>
                <w:lang w:val="en-AU"/>
              </w:rPr>
            </w:pPr>
            <w:r w:rsidRPr="00205340">
              <w:rPr>
                <w:lang w:val="en-AU"/>
              </w:rPr>
              <w:t>Any bleeding episode</w:t>
            </w:r>
          </w:p>
        </w:tc>
        <w:tc>
          <w:tcPr>
            <w:tcW w:w="1322" w:type="dxa"/>
            <w:tcMar>
              <w:left w:w="57" w:type="dxa"/>
              <w:right w:w="57" w:type="dxa"/>
            </w:tcMar>
          </w:tcPr>
          <w:p w14:paraId="53C9337C" w14:textId="77777777" w:rsidR="000E5FB8" w:rsidRPr="00205340" w:rsidRDefault="000E5FB8" w:rsidP="000E5FB8">
            <w:pPr>
              <w:pStyle w:val="In-tableHeading"/>
              <w:rPr>
                <w:rFonts w:cstheme="minorHAnsi"/>
                <w:szCs w:val="20"/>
                <w:lang w:val="en-AU"/>
              </w:rPr>
            </w:pPr>
            <w:r w:rsidRPr="00205340">
              <w:rPr>
                <w:rFonts w:cstheme="minorHAnsi"/>
                <w:szCs w:val="20"/>
                <w:lang w:val="en-AU"/>
              </w:rPr>
              <w:t>Lead-in period (N=54)</w:t>
            </w:r>
          </w:p>
        </w:tc>
        <w:tc>
          <w:tcPr>
            <w:tcW w:w="1464" w:type="dxa"/>
            <w:tcMar>
              <w:left w:w="57" w:type="dxa"/>
              <w:right w:w="57" w:type="dxa"/>
            </w:tcMar>
          </w:tcPr>
          <w:p w14:paraId="68C8F8A8" w14:textId="0F294AFA" w:rsidR="000E5FB8" w:rsidRPr="00205340" w:rsidRDefault="000E5FB8" w:rsidP="000E5FB8">
            <w:pPr>
              <w:pStyle w:val="In-tableHeading"/>
              <w:rPr>
                <w:rFonts w:cstheme="minorHAnsi"/>
                <w:szCs w:val="20"/>
                <w:lang w:val="en-AU"/>
              </w:rPr>
            </w:pPr>
            <w:r w:rsidRPr="00205340">
              <w:rPr>
                <w:rFonts w:cstheme="minorHAnsi"/>
                <w:szCs w:val="20"/>
                <w:lang w:val="en-AU"/>
              </w:rPr>
              <w:t>Month 7-18</w:t>
            </w:r>
          </w:p>
        </w:tc>
        <w:tc>
          <w:tcPr>
            <w:tcW w:w="1464" w:type="dxa"/>
            <w:tcMar>
              <w:left w:w="57" w:type="dxa"/>
              <w:right w:w="57" w:type="dxa"/>
            </w:tcMar>
          </w:tcPr>
          <w:p w14:paraId="00F8325B" w14:textId="1BB523C0" w:rsidR="000E5FB8" w:rsidRPr="00205340" w:rsidRDefault="000E5FB8" w:rsidP="000E5FB8">
            <w:pPr>
              <w:pStyle w:val="In-tableHeading"/>
              <w:rPr>
                <w:rFonts w:cstheme="minorHAnsi"/>
                <w:szCs w:val="20"/>
                <w:lang w:val="en-AU"/>
              </w:rPr>
            </w:pPr>
            <w:r w:rsidRPr="00205340">
              <w:rPr>
                <w:rFonts w:cstheme="minorHAnsi"/>
                <w:szCs w:val="20"/>
                <w:lang w:val="en-AU"/>
              </w:rPr>
              <w:t>Month 7-24</w:t>
            </w:r>
          </w:p>
        </w:tc>
        <w:tc>
          <w:tcPr>
            <w:tcW w:w="1464" w:type="dxa"/>
            <w:tcMar>
              <w:left w:w="57" w:type="dxa"/>
              <w:right w:w="57" w:type="dxa"/>
            </w:tcMar>
          </w:tcPr>
          <w:p w14:paraId="4CB0810F" w14:textId="77777777" w:rsidR="000E5FB8" w:rsidRPr="00205340" w:rsidRDefault="000E5FB8" w:rsidP="000E5FB8">
            <w:pPr>
              <w:pStyle w:val="In-tableHeading"/>
              <w:rPr>
                <w:rFonts w:cstheme="minorHAnsi"/>
                <w:szCs w:val="20"/>
                <w:lang w:val="en-AU"/>
              </w:rPr>
            </w:pPr>
            <w:r w:rsidRPr="00205340">
              <w:rPr>
                <w:rFonts w:cstheme="minorHAnsi"/>
                <w:szCs w:val="20"/>
                <w:lang w:val="en-AU"/>
              </w:rPr>
              <w:t>Month 7-36</w:t>
            </w:r>
          </w:p>
        </w:tc>
        <w:tc>
          <w:tcPr>
            <w:tcW w:w="1464" w:type="dxa"/>
            <w:tcMar>
              <w:left w:w="57" w:type="dxa"/>
              <w:right w:w="57" w:type="dxa"/>
            </w:tcMar>
          </w:tcPr>
          <w:p w14:paraId="2A53F88A" w14:textId="77777777" w:rsidR="000E5FB8" w:rsidRPr="00205340" w:rsidRDefault="000E5FB8" w:rsidP="000E5FB8">
            <w:pPr>
              <w:pStyle w:val="In-tableHeading"/>
              <w:rPr>
                <w:rFonts w:cstheme="minorHAnsi"/>
                <w:szCs w:val="20"/>
                <w:lang w:val="en-AU"/>
              </w:rPr>
            </w:pPr>
            <w:r w:rsidRPr="00205340">
              <w:rPr>
                <w:rFonts w:cstheme="minorHAnsi"/>
                <w:szCs w:val="20"/>
                <w:lang w:val="en-AU"/>
              </w:rPr>
              <w:t>Month 7-48</w:t>
            </w:r>
          </w:p>
        </w:tc>
      </w:tr>
      <w:tr w:rsidR="007F0F4D" w:rsidRPr="00205340" w14:paraId="31A26022" w14:textId="77777777" w:rsidTr="000E5FB8">
        <w:tc>
          <w:tcPr>
            <w:tcW w:w="1838" w:type="dxa"/>
          </w:tcPr>
          <w:p w14:paraId="2FC3C3E9" w14:textId="77777777" w:rsidR="000E5FB8" w:rsidRPr="00205340" w:rsidRDefault="000E5FB8" w:rsidP="000E5FB8">
            <w:pPr>
              <w:pStyle w:val="TableText"/>
              <w:keepNext/>
            </w:pPr>
            <w:r w:rsidRPr="00205340">
              <w:t>Any episode, n (%)</w:t>
            </w:r>
          </w:p>
        </w:tc>
        <w:tc>
          <w:tcPr>
            <w:tcW w:w="1322" w:type="dxa"/>
            <w:tcMar>
              <w:left w:w="57" w:type="dxa"/>
              <w:right w:w="57" w:type="dxa"/>
            </w:tcMar>
          </w:tcPr>
          <w:p w14:paraId="043F8A67" w14:textId="77777777" w:rsidR="000E5FB8" w:rsidRPr="00205340" w:rsidRDefault="000E5FB8" w:rsidP="000E5FB8">
            <w:pPr>
              <w:pStyle w:val="TableText"/>
              <w:keepNext/>
            </w:pPr>
            <w:r w:rsidRPr="00205340">
              <w:t>40 (74.1)</w:t>
            </w:r>
          </w:p>
        </w:tc>
        <w:tc>
          <w:tcPr>
            <w:tcW w:w="1464" w:type="dxa"/>
            <w:tcMar>
              <w:left w:w="57" w:type="dxa"/>
              <w:right w:w="57" w:type="dxa"/>
            </w:tcMar>
          </w:tcPr>
          <w:p w14:paraId="14AD5335" w14:textId="77777777" w:rsidR="000E5FB8" w:rsidRPr="00205340" w:rsidRDefault="000E5FB8" w:rsidP="000E5FB8">
            <w:pPr>
              <w:pStyle w:val="TableText"/>
              <w:keepNext/>
            </w:pPr>
            <w:r w:rsidRPr="00205340">
              <w:t>20 (37.0)</w:t>
            </w:r>
          </w:p>
        </w:tc>
        <w:tc>
          <w:tcPr>
            <w:tcW w:w="1464" w:type="dxa"/>
            <w:tcMar>
              <w:left w:w="57" w:type="dxa"/>
              <w:right w:w="57" w:type="dxa"/>
            </w:tcMar>
          </w:tcPr>
          <w:p w14:paraId="585DDE29" w14:textId="77777777" w:rsidR="000E5FB8" w:rsidRPr="00205340" w:rsidRDefault="000E5FB8" w:rsidP="000E5FB8">
            <w:pPr>
              <w:pStyle w:val="TableText"/>
              <w:keepNext/>
            </w:pPr>
            <w:r w:rsidRPr="00205340">
              <w:t>27 (50.0)</w:t>
            </w:r>
          </w:p>
        </w:tc>
        <w:tc>
          <w:tcPr>
            <w:tcW w:w="1464" w:type="dxa"/>
            <w:tcMar>
              <w:left w:w="57" w:type="dxa"/>
              <w:right w:w="57" w:type="dxa"/>
            </w:tcMar>
          </w:tcPr>
          <w:p w14:paraId="2420B6CB" w14:textId="77777777" w:rsidR="000E5FB8" w:rsidRPr="00205340" w:rsidRDefault="000E5FB8" w:rsidP="000E5FB8">
            <w:pPr>
              <w:pStyle w:val="TableText"/>
              <w:keepNext/>
            </w:pPr>
            <w:r w:rsidRPr="00205340">
              <w:t>31 (57.4)</w:t>
            </w:r>
          </w:p>
        </w:tc>
        <w:tc>
          <w:tcPr>
            <w:tcW w:w="1464" w:type="dxa"/>
            <w:tcMar>
              <w:left w:w="57" w:type="dxa"/>
              <w:right w:w="57" w:type="dxa"/>
            </w:tcMar>
          </w:tcPr>
          <w:p w14:paraId="161152CE" w14:textId="77777777" w:rsidR="000E5FB8" w:rsidRPr="00205340" w:rsidRDefault="000E5FB8" w:rsidP="000E5FB8">
            <w:pPr>
              <w:pStyle w:val="TableText"/>
              <w:keepNext/>
            </w:pPr>
            <w:r w:rsidRPr="00205340">
              <w:t>32 (59.3)</w:t>
            </w:r>
          </w:p>
        </w:tc>
      </w:tr>
      <w:tr w:rsidR="007F0F4D" w:rsidRPr="00205340" w14:paraId="72E0C2EA" w14:textId="77777777" w:rsidTr="000E5FB8">
        <w:tc>
          <w:tcPr>
            <w:tcW w:w="1838" w:type="dxa"/>
          </w:tcPr>
          <w:p w14:paraId="3D4ED424" w14:textId="77777777" w:rsidR="000E5FB8" w:rsidRPr="00205340" w:rsidRDefault="000E5FB8" w:rsidP="000E5FB8">
            <w:pPr>
              <w:pStyle w:val="TableText"/>
              <w:keepNext/>
            </w:pPr>
            <w:r w:rsidRPr="00205340">
              <w:t>Zero episodes, n (%)</w:t>
            </w:r>
          </w:p>
        </w:tc>
        <w:tc>
          <w:tcPr>
            <w:tcW w:w="1322" w:type="dxa"/>
            <w:tcMar>
              <w:left w:w="57" w:type="dxa"/>
              <w:right w:w="57" w:type="dxa"/>
            </w:tcMar>
          </w:tcPr>
          <w:p w14:paraId="142D301D" w14:textId="77777777" w:rsidR="000E5FB8" w:rsidRPr="00205340" w:rsidRDefault="000E5FB8" w:rsidP="000E5FB8">
            <w:pPr>
              <w:pStyle w:val="TableText"/>
              <w:keepNext/>
            </w:pPr>
            <w:r w:rsidRPr="00205340">
              <w:t>14 (25.9)</w:t>
            </w:r>
          </w:p>
        </w:tc>
        <w:tc>
          <w:tcPr>
            <w:tcW w:w="1464" w:type="dxa"/>
            <w:tcMar>
              <w:left w:w="57" w:type="dxa"/>
              <w:right w:w="57" w:type="dxa"/>
            </w:tcMar>
          </w:tcPr>
          <w:p w14:paraId="249B8381" w14:textId="77777777" w:rsidR="000E5FB8" w:rsidRPr="00205340" w:rsidRDefault="000E5FB8" w:rsidP="000E5FB8">
            <w:pPr>
              <w:pStyle w:val="TableText"/>
              <w:keepNext/>
            </w:pPr>
            <w:r w:rsidRPr="00205340">
              <w:t>34 (63.0)</w:t>
            </w:r>
          </w:p>
        </w:tc>
        <w:tc>
          <w:tcPr>
            <w:tcW w:w="1464" w:type="dxa"/>
            <w:tcMar>
              <w:left w:w="57" w:type="dxa"/>
              <w:right w:w="57" w:type="dxa"/>
            </w:tcMar>
          </w:tcPr>
          <w:p w14:paraId="7D10C3D3" w14:textId="77777777" w:rsidR="000E5FB8" w:rsidRPr="00205340" w:rsidRDefault="000E5FB8" w:rsidP="000E5FB8">
            <w:pPr>
              <w:pStyle w:val="TableText"/>
              <w:keepNext/>
            </w:pPr>
            <w:r w:rsidRPr="00205340">
              <w:t>27 (50.0)</w:t>
            </w:r>
          </w:p>
        </w:tc>
        <w:tc>
          <w:tcPr>
            <w:tcW w:w="1464" w:type="dxa"/>
            <w:tcMar>
              <w:left w:w="57" w:type="dxa"/>
              <w:right w:w="57" w:type="dxa"/>
            </w:tcMar>
          </w:tcPr>
          <w:p w14:paraId="07357F4D" w14:textId="77777777" w:rsidR="000E5FB8" w:rsidRPr="00205340" w:rsidRDefault="000E5FB8" w:rsidP="000E5FB8">
            <w:pPr>
              <w:pStyle w:val="TableText"/>
              <w:keepNext/>
            </w:pPr>
            <w:r w:rsidRPr="00205340">
              <w:t>23 (42.6)</w:t>
            </w:r>
          </w:p>
        </w:tc>
        <w:tc>
          <w:tcPr>
            <w:tcW w:w="1464" w:type="dxa"/>
            <w:tcMar>
              <w:left w:w="57" w:type="dxa"/>
              <w:right w:w="57" w:type="dxa"/>
            </w:tcMar>
          </w:tcPr>
          <w:p w14:paraId="2A615403" w14:textId="77777777" w:rsidR="000E5FB8" w:rsidRPr="00205340" w:rsidRDefault="000E5FB8" w:rsidP="000E5FB8">
            <w:pPr>
              <w:pStyle w:val="TableText"/>
              <w:keepNext/>
            </w:pPr>
            <w:r w:rsidRPr="00205340">
              <w:t>22 (40.7)</w:t>
            </w:r>
          </w:p>
        </w:tc>
      </w:tr>
      <w:tr w:rsidR="007F0F4D" w:rsidRPr="00205340" w14:paraId="3666559F" w14:textId="77777777" w:rsidTr="000E5FB8">
        <w:tc>
          <w:tcPr>
            <w:tcW w:w="1838" w:type="dxa"/>
          </w:tcPr>
          <w:p w14:paraId="33A28451" w14:textId="77777777" w:rsidR="000E5FB8" w:rsidRPr="00205340" w:rsidRDefault="000E5FB8" w:rsidP="000E5FB8">
            <w:pPr>
              <w:pStyle w:val="TableText"/>
              <w:keepNext/>
            </w:pPr>
            <w:r w:rsidRPr="00205340">
              <w:t>Free of continuous routine prophylaxis, n (%)</w:t>
            </w:r>
          </w:p>
        </w:tc>
        <w:tc>
          <w:tcPr>
            <w:tcW w:w="1322" w:type="dxa"/>
            <w:tcMar>
              <w:left w:w="57" w:type="dxa"/>
              <w:right w:w="57" w:type="dxa"/>
            </w:tcMar>
          </w:tcPr>
          <w:p w14:paraId="7CBAF442" w14:textId="77777777" w:rsidR="000E5FB8" w:rsidRPr="00205340" w:rsidRDefault="000E5FB8" w:rsidP="000E5FB8">
            <w:pPr>
              <w:pStyle w:val="TableText"/>
              <w:keepNext/>
            </w:pPr>
            <w:r w:rsidRPr="00205340">
              <w:t>0</w:t>
            </w:r>
          </w:p>
        </w:tc>
        <w:tc>
          <w:tcPr>
            <w:tcW w:w="1464" w:type="dxa"/>
            <w:tcMar>
              <w:left w:w="57" w:type="dxa"/>
              <w:right w:w="57" w:type="dxa"/>
            </w:tcMar>
          </w:tcPr>
          <w:p w14:paraId="2B398A34" w14:textId="77777777" w:rsidR="000E5FB8" w:rsidRPr="00205340" w:rsidRDefault="000E5FB8" w:rsidP="000E5FB8">
            <w:pPr>
              <w:pStyle w:val="TableText"/>
              <w:keepNext/>
            </w:pPr>
            <w:r w:rsidRPr="00205340">
              <w:t>52 (96.3)</w:t>
            </w:r>
          </w:p>
        </w:tc>
        <w:tc>
          <w:tcPr>
            <w:tcW w:w="1464" w:type="dxa"/>
            <w:tcMar>
              <w:left w:w="57" w:type="dxa"/>
              <w:right w:w="57" w:type="dxa"/>
            </w:tcMar>
          </w:tcPr>
          <w:p w14:paraId="5977BB0A" w14:textId="77777777" w:rsidR="000E5FB8" w:rsidRPr="00205340" w:rsidRDefault="000E5FB8" w:rsidP="000E5FB8">
            <w:pPr>
              <w:pStyle w:val="TableText"/>
              <w:keepNext/>
            </w:pPr>
            <w:r w:rsidRPr="00205340">
              <w:t>52 (96.3)</w:t>
            </w:r>
          </w:p>
        </w:tc>
        <w:tc>
          <w:tcPr>
            <w:tcW w:w="1464" w:type="dxa"/>
            <w:tcMar>
              <w:left w:w="57" w:type="dxa"/>
              <w:right w:w="57" w:type="dxa"/>
            </w:tcMar>
          </w:tcPr>
          <w:p w14:paraId="614F59C7" w14:textId="77777777" w:rsidR="000E5FB8" w:rsidRPr="00205340" w:rsidRDefault="000E5FB8" w:rsidP="000E5FB8">
            <w:pPr>
              <w:pStyle w:val="TableText"/>
              <w:keepNext/>
            </w:pPr>
            <w:r w:rsidRPr="00205340">
              <w:t>51 (94.4)</w:t>
            </w:r>
          </w:p>
        </w:tc>
        <w:tc>
          <w:tcPr>
            <w:tcW w:w="1464" w:type="dxa"/>
            <w:tcMar>
              <w:left w:w="57" w:type="dxa"/>
              <w:right w:w="57" w:type="dxa"/>
            </w:tcMar>
          </w:tcPr>
          <w:p w14:paraId="3C341DC1" w14:textId="77777777" w:rsidR="000E5FB8" w:rsidRPr="00205340" w:rsidRDefault="000E5FB8" w:rsidP="000E5FB8">
            <w:pPr>
              <w:pStyle w:val="TableText"/>
              <w:keepNext/>
            </w:pPr>
            <w:r w:rsidRPr="00205340">
              <w:t>51 (94.4)</w:t>
            </w:r>
          </w:p>
        </w:tc>
      </w:tr>
      <w:tr w:rsidR="007F0F4D" w:rsidRPr="00205340" w14:paraId="09251195" w14:textId="77777777" w:rsidTr="000E5FB8">
        <w:tc>
          <w:tcPr>
            <w:tcW w:w="1838" w:type="dxa"/>
          </w:tcPr>
          <w:p w14:paraId="0EEF8CCE" w14:textId="77777777" w:rsidR="000E5FB8" w:rsidRPr="00205340" w:rsidRDefault="000E5FB8" w:rsidP="000E5FB8">
            <w:pPr>
              <w:pStyle w:val="TableText"/>
            </w:pPr>
            <w:r w:rsidRPr="00205340">
              <w:t xml:space="preserve">Unadjusted </w:t>
            </w:r>
            <w:proofErr w:type="spellStart"/>
            <w:r w:rsidRPr="00205340">
              <w:t>ABR</w:t>
            </w:r>
            <w:r w:rsidRPr="00205340">
              <w:rPr>
                <w:vertAlign w:val="superscript"/>
              </w:rPr>
              <w:t>a</w:t>
            </w:r>
            <w:proofErr w:type="spellEnd"/>
          </w:p>
        </w:tc>
        <w:tc>
          <w:tcPr>
            <w:tcW w:w="1322" w:type="dxa"/>
            <w:tcMar>
              <w:left w:w="57" w:type="dxa"/>
              <w:right w:w="57" w:type="dxa"/>
            </w:tcMar>
          </w:tcPr>
          <w:p w14:paraId="16F97EB9" w14:textId="77777777" w:rsidR="000E5FB8" w:rsidRPr="00205340" w:rsidRDefault="000E5FB8" w:rsidP="000E5FB8">
            <w:pPr>
              <w:pStyle w:val="TableText"/>
            </w:pPr>
            <w:r w:rsidRPr="00205340">
              <w:t>4.11</w:t>
            </w:r>
          </w:p>
        </w:tc>
        <w:tc>
          <w:tcPr>
            <w:tcW w:w="1464" w:type="dxa"/>
            <w:tcMar>
              <w:left w:w="57" w:type="dxa"/>
              <w:right w:w="57" w:type="dxa"/>
            </w:tcMar>
          </w:tcPr>
          <w:p w14:paraId="7C7F4869" w14:textId="77777777" w:rsidR="000E5FB8" w:rsidRPr="00205340" w:rsidRDefault="000E5FB8" w:rsidP="000E5FB8">
            <w:pPr>
              <w:pStyle w:val="TableText"/>
            </w:pPr>
            <w:r w:rsidRPr="00205340">
              <w:t>1.08</w:t>
            </w:r>
          </w:p>
        </w:tc>
        <w:tc>
          <w:tcPr>
            <w:tcW w:w="1464" w:type="dxa"/>
            <w:tcMar>
              <w:left w:w="57" w:type="dxa"/>
              <w:right w:w="57" w:type="dxa"/>
            </w:tcMar>
          </w:tcPr>
          <w:p w14:paraId="3A09CFBE" w14:textId="77777777" w:rsidR="000E5FB8" w:rsidRPr="00205340" w:rsidRDefault="000E5FB8" w:rsidP="000E5FB8">
            <w:pPr>
              <w:pStyle w:val="TableText"/>
            </w:pPr>
            <w:r w:rsidRPr="00205340">
              <w:t>0.99</w:t>
            </w:r>
          </w:p>
        </w:tc>
        <w:tc>
          <w:tcPr>
            <w:tcW w:w="1464" w:type="dxa"/>
            <w:tcMar>
              <w:left w:w="57" w:type="dxa"/>
              <w:right w:w="57" w:type="dxa"/>
            </w:tcMar>
          </w:tcPr>
          <w:p w14:paraId="25737F92" w14:textId="77777777" w:rsidR="000E5FB8" w:rsidRPr="00205340" w:rsidRDefault="000E5FB8" w:rsidP="000E5FB8">
            <w:pPr>
              <w:pStyle w:val="TableText"/>
            </w:pPr>
            <w:r w:rsidRPr="00205340">
              <w:t>0.90</w:t>
            </w:r>
          </w:p>
        </w:tc>
        <w:tc>
          <w:tcPr>
            <w:tcW w:w="1464" w:type="dxa"/>
            <w:tcMar>
              <w:left w:w="57" w:type="dxa"/>
              <w:right w:w="57" w:type="dxa"/>
            </w:tcMar>
          </w:tcPr>
          <w:p w14:paraId="5AF1CBD2" w14:textId="77777777" w:rsidR="000E5FB8" w:rsidRPr="00205340" w:rsidRDefault="000E5FB8" w:rsidP="000E5FB8">
            <w:pPr>
              <w:pStyle w:val="TableText"/>
            </w:pPr>
            <w:r w:rsidRPr="00205340">
              <w:t>0.77</w:t>
            </w:r>
          </w:p>
        </w:tc>
      </w:tr>
      <w:tr w:rsidR="007F0F4D" w:rsidRPr="00205340" w14:paraId="2CC588E5" w14:textId="77777777" w:rsidTr="000E5FB8">
        <w:tc>
          <w:tcPr>
            <w:tcW w:w="1838" w:type="dxa"/>
            <w:tcBorders>
              <w:bottom w:val="single" w:sz="4" w:space="0" w:color="auto"/>
            </w:tcBorders>
          </w:tcPr>
          <w:p w14:paraId="6E202FE2" w14:textId="77777777" w:rsidR="000E5FB8" w:rsidRPr="00205340" w:rsidRDefault="000E5FB8" w:rsidP="000E5FB8">
            <w:pPr>
              <w:pStyle w:val="TableText"/>
            </w:pPr>
            <w:r w:rsidRPr="00205340">
              <w:t>Adjusted ABR (95% CI)</w:t>
            </w:r>
          </w:p>
        </w:tc>
        <w:tc>
          <w:tcPr>
            <w:tcW w:w="1322" w:type="dxa"/>
            <w:tcMar>
              <w:left w:w="57" w:type="dxa"/>
              <w:right w:w="57" w:type="dxa"/>
            </w:tcMar>
          </w:tcPr>
          <w:p w14:paraId="63D9D820" w14:textId="77777777" w:rsidR="000E5FB8" w:rsidRPr="00205340" w:rsidRDefault="000E5FB8" w:rsidP="000E5FB8">
            <w:pPr>
              <w:pStyle w:val="TableText"/>
            </w:pPr>
            <w:r w:rsidRPr="00205340">
              <w:t>4.19 (3.22, 5.45)</w:t>
            </w:r>
          </w:p>
        </w:tc>
        <w:tc>
          <w:tcPr>
            <w:tcW w:w="1464" w:type="dxa"/>
            <w:tcMar>
              <w:left w:w="57" w:type="dxa"/>
              <w:right w:w="57" w:type="dxa"/>
            </w:tcMar>
          </w:tcPr>
          <w:p w14:paraId="37453A89" w14:textId="77777777" w:rsidR="000E5FB8" w:rsidRPr="00205340" w:rsidRDefault="000E5FB8" w:rsidP="000E5FB8">
            <w:pPr>
              <w:pStyle w:val="TableText"/>
            </w:pPr>
            <w:r w:rsidRPr="00205340">
              <w:t>1.51 (0.81, 2.82)</w:t>
            </w:r>
          </w:p>
        </w:tc>
        <w:tc>
          <w:tcPr>
            <w:tcW w:w="1464" w:type="dxa"/>
            <w:tcMar>
              <w:left w:w="57" w:type="dxa"/>
              <w:right w:w="57" w:type="dxa"/>
            </w:tcMar>
          </w:tcPr>
          <w:p w14:paraId="75E37DB9" w14:textId="77777777" w:rsidR="000E5FB8" w:rsidRPr="00205340" w:rsidRDefault="000E5FB8" w:rsidP="000E5FB8">
            <w:pPr>
              <w:pStyle w:val="TableText"/>
            </w:pPr>
            <w:r w:rsidRPr="00205340">
              <w:t>1.51 (0.83, 2.76)</w:t>
            </w:r>
          </w:p>
        </w:tc>
        <w:tc>
          <w:tcPr>
            <w:tcW w:w="1464" w:type="dxa"/>
            <w:tcMar>
              <w:left w:w="57" w:type="dxa"/>
              <w:right w:w="57" w:type="dxa"/>
            </w:tcMar>
          </w:tcPr>
          <w:p w14:paraId="335B07E3" w14:textId="77777777" w:rsidR="000E5FB8" w:rsidRPr="00205340" w:rsidRDefault="000E5FB8" w:rsidP="000E5FB8">
            <w:pPr>
              <w:pStyle w:val="TableText"/>
            </w:pPr>
            <w:r w:rsidRPr="00205340">
              <w:t>1.52 (0.81, 2.85)</w:t>
            </w:r>
          </w:p>
        </w:tc>
        <w:tc>
          <w:tcPr>
            <w:tcW w:w="1464" w:type="dxa"/>
            <w:tcMar>
              <w:left w:w="57" w:type="dxa"/>
              <w:right w:w="57" w:type="dxa"/>
            </w:tcMar>
          </w:tcPr>
          <w:p w14:paraId="464A55AC" w14:textId="77777777" w:rsidR="000E5FB8" w:rsidRPr="00205340" w:rsidRDefault="000E5FB8" w:rsidP="000E5FB8">
            <w:pPr>
              <w:pStyle w:val="TableText"/>
            </w:pPr>
            <w:r w:rsidRPr="00205340">
              <w:t>1.63 (0.76, 3.48)</w:t>
            </w:r>
          </w:p>
        </w:tc>
      </w:tr>
      <w:tr w:rsidR="007F0F4D" w:rsidRPr="00205340" w14:paraId="71B3086F" w14:textId="77777777" w:rsidTr="000E5FB8">
        <w:tc>
          <w:tcPr>
            <w:tcW w:w="1838" w:type="dxa"/>
            <w:tcBorders>
              <w:right w:val="nil"/>
            </w:tcBorders>
          </w:tcPr>
          <w:p w14:paraId="312171C3" w14:textId="77777777" w:rsidR="000E5FB8" w:rsidRPr="00205340" w:rsidRDefault="000E5FB8" w:rsidP="000E5FB8">
            <w:pPr>
              <w:pStyle w:val="TableText"/>
            </w:pPr>
            <w:r w:rsidRPr="00205340">
              <w:t xml:space="preserve">Rate ratio (95% </w:t>
            </w:r>
            <w:proofErr w:type="gramStart"/>
            <w:r w:rsidRPr="00205340">
              <w:t>CI)</w:t>
            </w:r>
            <w:r w:rsidRPr="00205340">
              <w:rPr>
                <w:vertAlign w:val="superscript"/>
              </w:rPr>
              <w:t>b</w:t>
            </w:r>
            <w:proofErr w:type="gramEnd"/>
          </w:p>
          <w:p w14:paraId="6B1624FF" w14:textId="77777777" w:rsidR="000E5FB8" w:rsidRPr="00205340" w:rsidRDefault="000E5FB8" w:rsidP="000E5FB8">
            <w:pPr>
              <w:pStyle w:val="TableText"/>
            </w:pPr>
            <w:r w:rsidRPr="00205340">
              <w:t>p-value</w:t>
            </w:r>
          </w:p>
        </w:tc>
        <w:tc>
          <w:tcPr>
            <w:tcW w:w="1322" w:type="dxa"/>
            <w:tcBorders>
              <w:left w:val="nil"/>
            </w:tcBorders>
            <w:tcMar>
              <w:left w:w="57" w:type="dxa"/>
              <w:right w:w="57" w:type="dxa"/>
            </w:tcMar>
          </w:tcPr>
          <w:p w14:paraId="4B963EB3" w14:textId="77777777" w:rsidR="000E5FB8" w:rsidRPr="00205340" w:rsidRDefault="000E5FB8" w:rsidP="000E5FB8">
            <w:pPr>
              <w:pStyle w:val="TableText"/>
            </w:pPr>
          </w:p>
        </w:tc>
        <w:tc>
          <w:tcPr>
            <w:tcW w:w="1464" w:type="dxa"/>
            <w:tcMar>
              <w:left w:w="57" w:type="dxa"/>
              <w:right w:w="57" w:type="dxa"/>
            </w:tcMar>
          </w:tcPr>
          <w:p w14:paraId="5DF040CD" w14:textId="77777777" w:rsidR="000E5FB8" w:rsidRPr="00205340" w:rsidRDefault="000E5FB8" w:rsidP="000E5FB8">
            <w:pPr>
              <w:pStyle w:val="TableText"/>
              <w:rPr>
                <w:b/>
                <w:bCs/>
              </w:rPr>
            </w:pPr>
            <w:r w:rsidRPr="00205340">
              <w:rPr>
                <w:b/>
                <w:bCs/>
              </w:rPr>
              <w:t>0.36 (0.20, 0.64)</w:t>
            </w:r>
          </w:p>
          <w:p w14:paraId="64F2E844" w14:textId="77777777" w:rsidR="000E5FB8" w:rsidRPr="00205340" w:rsidRDefault="000E5FB8" w:rsidP="000E5FB8">
            <w:pPr>
              <w:pStyle w:val="TableText"/>
            </w:pPr>
            <w:r w:rsidRPr="00205340">
              <w:rPr>
                <w:b/>
                <w:bCs/>
              </w:rPr>
              <w:t>p=0.0002</w:t>
            </w:r>
          </w:p>
        </w:tc>
        <w:tc>
          <w:tcPr>
            <w:tcW w:w="1464" w:type="dxa"/>
            <w:tcMar>
              <w:left w:w="57" w:type="dxa"/>
              <w:right w:w="57" w:type="dxa"/>
            </w:tcMar>
          </w:tcPr>
          <w:p w14:paraId="55C552D7" w14:textId="77777777" w:rsidR="000E5FB8" w:rsidRPr="00205340" w:rsidRDefault="000E5FB8" w:rsidP="000E5FB8">
            <w:pPr>
              <w:pStyle w:val="TableText"/>
              <w:rPr>
                <w:b/>
                <w:bCs/>
              </w:rPr>
            </w:pPr>
            <w:r w:rsidRPr="00205340">
              <w:rPr>
                <w:b/>
                <w:bCs/>
              </w:rPr>
              <w:t>0.36 (0.21, 0.63)</w:t>
            </w:r>
          </w:p>
          <w:p w14:paraId="0E07EFA7" w14:textId="77777777" w:rsidR="000E5FB8" w:rsidRPr="00205340" w:rsidRDefault="000E5FB8" w:rsidP="000E5FB8">
            <w:pPr>
              <w:pStyle w:val="TableText"/>
            </w:pPr>
            <w:r w:rsidRPr="00205340">
              <w:rPr>
                <w:b/>
                <w:bCs/>
              </w:rPr>
              <w:t>p=0.0002</w:t>
            </w:r>
          </w:p>
        </w:tc>
        <w:tc>
          <w:tcPr>
            <w:tcW w:w="1464" w:type="dxa"/>
            <w:tcMar>
              <w:left w:w="57" w:type="dxa"/>
              <w:right w:w="57" w:type="dxa"/>
            </w:tcMar>
          </w:tcPr>
          <w:p w14:paraId="6181A292" w14:textId="77777777" w:rsidR="000E5FB8" w:rsidRPr="00205340" w:rsidRDefault="000E5FB8" w:rsidP="000E5FB8">
            <w:pPr>
              <w:pStyle w:val="TableText"/>
              <w:rPr>
                <w:b/>
                <w:bCs/>
              </w:rPr>
            </w:pPr>
            <w:r w:rsidRPr="00205340">
              <w:rPr>
                <w:b/>
                <w:bCs/>
              </w:rPr>
              <w:t>0.36 (0.20, 0.66)</w:t>
            </w:r>
          </w:p>
          <w:p w14:paraId="4546B120" w14:textId="77777777" w:rsidR="000E5FB8" w:rsidRPr="00205340" w:rsidRDefault="000E5FB8" w:rsidP="000E5FB8">
            <w:pPr>
              <w:pStyle w:val="TableText"/>
            </w:pPr>
            <w:r w:rsidRPr="00205340">
              <w:rPr>
                <w:b/>
                <w:bCs/>
              </w:rPr>
              <w:t>p=0.0004</w:t>
            </w:r>
          </w:p>
        </w:tc>
        <w:tc>
          <w:tcPr>
            <w:tcW w:w="1464" w:type="dxa"/>
            <w:tcMar>
              <w:left w:w="57" w:type="dxa"/>
              <w:right w:w="57" w:type="dxa"/>
            </w:tcMar>
          </w:tcPr>
          <w:p w14:paraId="4405FCA8" w14:textId="77777777" w:rsidR="000E5FB8" w:rsidRPr="00205340" w:rsidRDefault="000E5FB8" w:rsidP="000E5FB8">
            <w:pPr>
              <w:pStyle w:val="TableText"/>
              <w:rPr>
                <w:b/>
                <w:bCs/>
              </w:rPr>
            </w:pPr>
            <w:r w:rsidRPr="00205340">
              <w:rPr>
                <w:b/>
                <w:bCs/>
              </w:rPr>
              <w:t>0.39 (0.19, 0.81)</w:t>
            </w:r>
          </w:p>
          <w:p w14:paraId="34BA7F51" w14:textId="77777777" w:rsidR="000E5FB8" w:rsidRPr="00205340" w:rsidRDefault="000E5FB8" w:rsidP="000E5FB8">
            <w:pPr>
              <w:pStyle w:val="TableText"/>
              <w:rPr>
                <w:b/>
                <w:bCs/>
              </w:rPr>
            </w:pPr>
            <w:r w:rsidRPr="00205340">
              <w:rPr>
                <w:b/>
                <w:bCs/>
              </w:rPr>
              <w:t>p=0.0058</w:t>
            </w:r>
          </w:p>
        </w:tc>
      </w:tr>
    </w:tbl>
    <w:p w14:paraId="64D50021" w14:textId="77777777" w:rsidR="009C62C5" w:rsidRPr="00205340" w:rsidRDefault="009C62C5" w:rsidP="00287640">
      <w:pPr>
        <w:pStyle w:val="TableFigureFooter"/>
        <w:spacing w:after="120"/>
      </w:pPr>
      <w:r w:rsidRPr="00205340">
        <w:t>Source: Table 7 of MSAC 1728.1 PSD</w:t>
      </w:r>
    </w:p>
    <w:p w14:paraId="2FCA9526" w14:textId="4B2C1F7E" w:rsidR="000E5FB8" w:rsidRPr="00205340" w:rsidRDefault="000E5FB8" w:rsidP="004C2816">
      <w:pPr>
        <w:pStyle w:val="TableFigureFooter"/>
      </w:pPr>
      <w:r w:rsidRPr="00205340">
        <w:t>ABR = annualised bleeding rate; CI = confidence interval.</w:t>
      </w:r>
      <w:r w:rsidRPr="00205340">
        <w:br/>
        <w:t>Note: One-sided p-value ≤ 0.025 for post-treatment / lead-in &lt; 1 is regarded as statistically significant.</w:t>
      </w:r>
      <w:r w:rsidRPr="00205340">
        <w:br/>
      </w:r>
      <w:bookmarkStart w:id="40" w:name="_Hlk164251119"/>
      <w:r w:rsidRPr="00205340">
        <w:t>a Unadjusted ABR is calculated as ratio of total (pooled) patient number of bleeds to total (pooled) patient time of observation (in years)</w:t>
      </w:r>
      <w:bookmarkEnd w:id="40"/>
      <w:r w:rsidRPr="00205340">
        <w:br/>
        <w:t>b Rate ratio is calculated as post-treatment / lead-in.</w:t>
      </w:r>
    </w:p>
    <w:p w14:paraId="450EF257" w14:textId="6199DF10" w:rsidR="000E5FB8" w:rsidRPr="00205340" w:rsidRDefault="00300C1E" w:rsidP="00300C1E">
      <w:pPr>
        <w:pStyle w:val="Heading3"/>
      </w:pPr>
      <w:r w:rsidRPr="00205340">
        <w:t>Haemophilia A and B combined</w:t>
      </w:r>
    </w:p>
    <w:p w14:paraId="62610AF8" w14:textId="1DC8899D" w:rsidR="00291735" w:rsidRPr="00205340" w:rsidRDefault="00300C1E" w:rsidP="00291735">
      <w:pPr>
        <w:pStyle w:val="Instructionaltext-bullet"/>
        <w:numPr>
          <w:ilvl w:val="0"/>
          <w:numId w:val="0"/>
        </w:numPr>
        <w:spacing w:before="120" w:after="120"/>
        <w:rPr>
          <w:color w:val="auto"/>
        </w:rPr>
      </w:pPr>
      <w:r w:rsidRPr="00205340">
        <w:rPr>
          <w:color w:val="auto"/>
        </w:rPr>
        <w:t xml:space="preserve">The ADAR </w:t>
      </w:r>
      <w:r w:rsidR="00291735" w:rsidRPr="00205340">
        <w:rPr>
          <w:color w:val="auto"/>
        </w:rPr>
        <w:t>reported combined data</w:t>
      </w:r>
      <w:r w:rsidRPr="00205340">
        <w:rPr>
          <w:color w:val="auto"/>
        </w:rPr>
        <w:t xml:space="preserve"> from patients with HMA </w:t>
      </w:r>
      <w:r w:rsidR="00120A02" w:rsidRPr="00205340">
        <w:rPr>
          <w:color w:val="auto"/>
        </w:rPr>
        <w:t xml:space="preserve">(n=65; 78.3%) </w:t>
      </w:r>
      <w:r w:rsidRPr="00205340">
        <w:rPr>
          <w:color w:val="auto"/>
        </w:rPr>
        <w:t>and HMB</w:t>
      </w:r>
      <w:r w:rsidR="00120A02" w:rsidRPr="00205340">
        <w:rPr>
          <w:color w:val="auto"/>
        </w:rPr>
        <w:t xml:space="preserve"> (n=18; 21.7%)</w:t>
      </w:r>
      <w:r w:rsidRPr="00205340">
        <w:rPr>
          <w:color w:val="auto"/>
        </w:rPr>
        <w:t xml:space="preserve">. </w:t>
      </w:r>
      <w:r w:rsidR="00291735" w:rsidRPr="00205340">
        <w:rPr>
          <w:color w:val="auto"/>
        </w:rPr>
        <w:t xml:space="preserve">The ADAR combined the results of the HMA and HMB population in the analyses of all </w:t>
      </w:r>
      <w:r w:rsidR="00291735" w:rsidRPr="00205340">
        <w:rPr>
          <w:color w:val="auto"/>
        </w:rPr>
        <w:lastRenderedPageBreak/>
        <w:t>secondary efficacy outcomes when comparing FVIII and FIX to marstacimab. Only the primary efficacy outcome of treated overall ABR was assessed for the HMA and HMB subgroups.</w:t>
      </w:r>
    </w:p>
    <w:p w14:paraId="4C9A4B20" w14:textId="3FEEC6E7" w:rsidR="00300C1E" w:rsidRPr="00205340" w:rsidRDefault="00300C1E" w:rsidP="00300C1E">
      <w:r w:rsidRPr="00205340">
        <w:t xml:space="preserve">The </w:t>
      </w:r>
      <w:r w:rsidR="00120A02" w:rsidRPr="00205340">
        <w:t xml:space="preserve">economic </w:t>
      </w:r>
      <w:r w:rsidRPr="00205340">
        <w:t>model used the combined data, and these are therefore provided below.</w:t>
      </w:r>
    </w:p>
    <w:p w14:paraId="266EF62C" w14:textId="314D5CDD" w:rsidR="00300C1E" w:rsidRPr="00205340" w:rsidRDefault="00300C1E" w:rsidP="00300C1E">
      <w:pPr>
        <w:pStyle w:val="Heading4"/>
      </w:pPr>
      <w:r w:rsidRPr="00205340">
        <w:t xml:space="preserve">Marstacimab versus </w:t>
      </w:r>
      <w:r w:rsidR="00425989" w:rsidRPr="00205340">
        <w:t>factor</w:t>
      </w:r>
      <w:r w:rsidRPr="00205340">
        <w:t xml:space="preserve"> prophylaxis</w:t>
      </w:r>
    </w:p>
    <w:p w14:paraId="03C6A33E" w14:textId="45091A46" w:rsidR="004F76A0" w:rsidRPr="00205340" w:rsidRDefault="00A03B9E" w:rsidP="00184B20">
      <w:r w:rsidRPr="00205340">
        <w:t>On average, the rate of treated bleeds reduced when people changed from factor concentrate to marstacimab</w:t>
      </w:r>
      <w:r w:rsidR="00B77D73" w:rsidRPr="00205340">
        <w:t xml:space="preserve">, as shown by the primary endpoint for the BASIS trial, mean </w:t>
      </w:r>
      <w:r w:rsidR="00CC7CDD" w:rsidRPr="00205340">
        <w:t xml:space="preserve">treated </w:t>
      </w:r>
      <w:r w:rsidR="00B77D73" w:rsidRPr="00205340">
        <w:t>ABR (</w:t>
      </w:r>
      <w:r w:rsidR="00604647" w:rsidRPr="00205340">
        <w:fldChar w:fldCharType="begin" w:fldLock="1"/>
      </w:r>
      <w:r w:rsidR="00604647" w:rsidRPr="00205340">
        <w:instrText xml:space="preserve"> REF _Ref227156773 \h </w:instrText>
      </w:r>
      <w:r w:rsidR="00205340">
        <w:instrText xml:space="preserve"> \* MERGEFORMAT </w:instrText>
      </w:r>
      <w:r w:rsidR="00604647" w:rsidRPr="00205340">
        <w:fldChar w:fldCharType="separate"/>
      </w:r>
      <w:r w:rsidR="00604647" w:rsidRPr="00205340">
        <w:t xml:space="preserve">Table </w:t>
      </w:r>
      <w:r w:rsidR="00604647" w:rsidRPr="00205340">
        <w:rPr>
          <w:noProof/>
        </w:rPr>
        <w:t>9</w:t>
      </w:r>
      <w:r w:rsidR="00604647" w:rsidRPr="00205340">
        <w:fldChar w:fldCharType="end"/>
      </w:r>
      <w:r w:rsidR="00CE719F" w:rsidRPr="00205340">
        <w:t xml:space="preserve">). </w:t>
      </w:r>
      <w:r w:rsidRPr="00205340">
        <w:t xml:space="preserve">However, a smaller proportion of people had no </w:t>
      </w:r>
      <w:r w:rsidR="00120A02" w:rsidRPr="00205340">
        <w:t xml:space="preserve">treated </w:t>
      </w:r>
      <w:r w:rsidRPr="00205340">
        <w:t xml:space="preserve">bleeds overall (34.9% vs 39.8%), and more people had 3 or more </w:t>
      </w:r>
      <w:r w:rsidR="00120A02" w:rsidRPr="00205340">
        <w:t xml:space="preserve">treated </w:t>
      </w:r>
      <w:r w:rsidRPr="00205340">
        <w:t>bleeds when on marstacimab rather than factor concentrate (39.8% vs 36.1%).</w:t>
      </w:r>
    </w:p>
    <w:p w14:paraId="7B58CB84" w14:textId="4A0391CF" w:rsidR="00604647" w:rsidRPr="00205340" w:rsidRDefault="00604647" w:rsidP="00604647">
      <w:pPr>
        <w:pStyle w:val="Caption"/>
      </w:pPr>
      <w:bookmarkStart w:id="41" w:name="_Ref227156773"/>
      <w:r w:rsidRPr="00205340">
        <w:t xml:space="preserve">Table </w:t>
      </w:r>
      <w:fldSimple w:instr=" SEQ Table \* ARABIC ">
        <w:r w:rsidR="002C6A9B" w:rsidRPr="00205340">
          <w:rPr>
            <w:noProof/>
          </w:rPr>
          <w:t>9</w:t>
        </w:r>
      </w:fldSimple>
      <w:bookmarkEnd w:id="41"/>
      <w:r w:rsidRPr="00205340">
        <w:t xml:space="preserve"> Results for the </w:t>
      </w:r>
      <w:proofErr w:type="spellStart"/>
      <w:r w:rsidRPr="00205340">
        <w:t>ABR</w:t>
      </w:r>
      <w:r w:rsidRPr="00205340">
        <w:rPr>
          <w:vertAlign w:val="superscript"/>
        </w:rPr>
        <w:t>a</w:t>
      </w:r>
      <w:proofErr w:type="spellEnd"/>
      <w:r w:rsidRPr="00205340">
        <w:t xml:space="preserve"> for treated bleeds in BASIS+BASIS LTE, non-inhibitor cohort with prophylaxis at OP, </w:t>
      </w:r>
      <w:proofErr w:type="spellStart"/>
      <w:r w:rsidRPr="00205340">
        <w:t>mITT</w:t>
      </w:r>
      <w:proofErr w:type="spellEnd"/>
      <w:r w:rsidRPr="00205340">
        <w:t xml:space="preserve"> </w:t>
      </w:r>
      <w:proofErr w:type="spellStart"/>
      <w:r w:rsidRPr="00205340">
        <w:t>set</w:t>
      </w:r>
      <w:r w:rsidRPr="00205340">
        <w:rPr>
          <w:vertAlign w:val="superscript"/>
        </w:rPr>
        <w:t>b</w:t>
      </w:r>
      <w:proofErr w:type="spellEnd"/>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1659"/>
        <w:gridCol w:w="1522"/>
        <w:gridCol w:w="1659"/>
        <w:gridCol w:w="1661"/>
      </w:tblGrid>
      <w:tr w:rsidR="004D521D" w:rsidRPr="00205340" w14:paraId="2763C92F" w14:textId="77777777" w:rsidTr="004C2816">
        <w:tc>
          <w:tcPr>
            <w:tcW w:w="1426" w:type="pct"/>
          </w:tcPr>
          <w:p w14:paraId="59938918" w14:textId="77777777" w:rsidR="00096056" w:rsidRPr="00205340" w:rsidRDefault="00096056">
            <w:pPr>
              <w:pStyle w:val="TableText"/>
              <w:keepNext/>
              <w:keepLines/>
              <w:jc w:val="center"/>
              <w:rPr>
                <w:rFonts w:cstheme="minorHAnsi"/>
                <w:b/>
                <w:bCs/>
              </w:rPr>
            </w:pPr>
          </w:p>
        </w:tc>
        <w:tc>
          <w:tcPr>
            <w:tcW w:w="912" w:type="pct"/>
          </w:tcPr>
          <w:p w14:paraId="0BFF39F5" w14:textId="77777777" w:rsidR="00096056" w:rsidRPr="00205340" w:rsidRDefault="00096056">
            <w:pPr>
              <w:pStyle w:val="TableText"/>
              <w:keepNext/>
              <w:keepLines/>
              <w:jc w:val="center"/>
              <w:rPr>
                <w:rFonts w:cstheme="minorHAnsi"/>
                <w:b/>
                <w:bCs/>
              </w:rPr>
            </w:pPr>
            <w:r w:rsidRPr="00205340">
              <w:rPr>
                <w:rFonts w:cstheme="minorHAnsi"/>
                <w:b/>
                <w:bCs/>
              </w:rPr>
              <w:t>Factor</w:t>
            </w:r>
          </w:p>
          <w:p w14:paraId="595F367B" w14:textId="4D791DC5" w:rsidR="00096056" w:rsidRPr="00205340" w:rsidRDefault="00096056">
            <w:pPr>
              <w:pStyle w:val="TableText"/>
              <w:keepNext/>
              <w:keepLines/>
              <w:jc w:val="center"/>
              <w:rPr>
                <w:rFonts w:cstheme="minorHAnsi"/>
                <w:b/>
                <w:bCs/>
              </w:rPr>
            </w:pPr>
            <w:r w:rsidRPr="00205340">
              <w:rPr>
                <w:rFonts w:cstheme="minorHAnsi"/>
                <w:b/>
                <w:bCs/>
              </w:rPr>
              <w:t>Prophylaxis OP</w:t>
            </w:r>
          </w:p>
          <w:p w14:paraId="34B9FBA7" w14:textId="77777777" w:rsidR="00096056" w:rsidRPr="00205340" w:rsidRDefault="00096056">
            <w:pPr>
              <w:pStyle w:val="TableText"/>
              <w:keepNext/>
              <w:keepLines/>
              <w:jc w:val="center"/>
              <w:rPr>
                <w:rFonts w:cstheme="minorHAnsi"/>
                <w:b/>
                <w:bCs/>
              </w:rPr>
            </w:pPr>
            <w:r w:rsidRPr="00205340">
              <w:rPr>
                <w:rFonts w:cstheme="minorHAnsi"/>
                <w:b/>
                <w:bCs/>
              </w:rPr>
              <w:t>N=83</w:t>
            </w:r>
          </w:p>
        </w:tc>
        <w:tc>
          <w:tcPr>
            <w:tcW w:w="837" w:type="pct"/>
          </w:tcPr>
          <w:p w14:paraId="5DF80FE1" w14:textId="77777777" w:rsidR="00096056" w:rsidRPr="00205340" w:rsidRDefault="00096056">
            <w:pPr>
              <w:pStyle w:val="TableText"/>
              <w:keepNext/>
              <w:keepLines/>
              <w:jc w:val="center"/>
              <w:rPr>
                <w:rFonts w:cstheme="minorHAnsi"/>
                <w:b/>
                <w:bCs/>
              </w:rPr>
            </w:pPr>
            <w:r w:rsidRPr="00205340">
              <w:rPr>
                <w:rFonts w:cstheme="minorHAnsi"/>
                <w:b/>
                <w:bCs/>
              </w:rPr>
              <w:t>Marstacimab</w:t>
            </w:r>
          </w:p>
          <w:p w14:paraId="10861F41" w14:textId="37E0FDE5" w:rsidR="00096056" w:rsidRPr="00205340" w:rsidRDefault="00096056">
            <w:pPr>
              <w:pStyle w:val="TableText"/>
              <w:keepNext/>
              <w:keepLines/>
              <w:jc w:val="center"/>
              <w:rPr>
                <w:rFonts w:cstheme="minorHAnsi"/>
                <w:b/>
                <w:bCs/>
              </w:rPr>
            </w:pPr>
            <w:r w:rsidRPr="00205340">
              <w:rPr>
                <w:rFonts w:cstheme="minorHAnsi"/>
                <w:b/>
                <w:bCs/>
              </w:rPr>
              <w:t>ATP</w:t>
            </w:r>
          </w:p>
          <w:p w14:paraId="0469C567" w14:textId="77777777" w:rsidR="00096056" w:rsidRPr="00205340" w:rsidRDefault="00096056">
            <w:pPr>
              <w:pStyle w:val="TableText"/>
              <w:keepNext/>
              <w:keepLines/>
              <w:jc w:val="center"/>
              <w:rPr>
                <w:rFonts w:cstheme="minorHAnsi"/>
                <w:b/>
                <w:bCs/>
              </w:rPr>
            </w:pPr>
            <w:r w:rsidRPr="00205340">
              <w:rPr>
                <w:rFonts w:cstheme="minorHAnsi"/>
                <w:b/>
                <w:bCs/>
              </w:rPr>
              <w:t>N=83</w:t>
            </w:r>
          </w:p>
        </w:tc>
        <w:tc>
          <w:tcPr>
            <w:tcW w:w="912" w:type="pct"/>
          </w:tcPr>
          <w:p w14:paraId="68C6AA27" w14:textId="77777777" w:rsidR="00096056" w:rsidRPr="00205340" w:rsidRDefault="00096056">
            <w:pPr>
              <w:pStyle w:val="TableText"/>
              <w:keepNext/>
              <w:keepLines/>
              <w:jc w:val="center"/>
              <w:rPr>
                <w:rFonts w:cstheme="minorHAnsi"/>
                <w:b/>
                <w:bCs/>
              </w:rPr>
            </w:pPr>
            <w:r w:rsidRPr="00205340">
              <w:rPr>
                <w:rFonts w:cstheme="minorHAnsi"/>
                <w:b/>
                <w:bCs/>
              </w:rPr>
              <w:t xml:space="preserve">Marstacimab LTE </w:t>
            </w:r>
          </w:p>
          <w:p w14:paraId="287A7AAD" w14:textId="77777777" w:rsidR="00096056" w:rsidRPr="00205340" w:rsidRDefault="00096056">
            <w:pPr>
              <w:pStyle w:val="TableText"/>
              <w:keepNext/>
              <w:keepLines/>
              <w:jc w:val="center"/>
              <w:rPr>
                <w:rFonts w:cstheme="minorHAnsi"/>
                <w:b/>
                <w:bCs/>
              </w:rPr>
            </w:pPr>
            <w:r w:rsidRPr="00205340">
              <w:rPr>
                <w:rFonts w:cstheme="minorHAnsi"/>
                <w:b/>
                <w:bCs/>
              </w:rPr>
              <w:t>(interim CSR)</w:t>
            </w:r>
          </w:p>
          <w:p w14:paraId="7DC116E3" w14:textId="77777777" w:rsidR="00096056" w:rsidRPr="00205340" w:rsidRDefault="00096056">
            <w:pPr>
              <w:pStyle w:val="TableText"/>
              <w:keepNext/>
              <w:keepLines/>
              <w:jc w:val="center"/>
              <w:rPr>
                <w:rFonts w:cstheme="minorHAnsi"/>
                <w:b/>
                <w:bCs/>
              </w:rPr>
            </w:pPr>
            <w:r w:rsidRPr="00205340">
              <w:rPr>
                <w:rFonts w:cstheme="minorHAnsi"/>
                <w:b/>
                <w:bCs/>
              </w:rPr>
              <w:t>N=58</w:t>
            </w:r>
          </w:p>
        </w:tc>
        <w:tc>
          <w:tcPr>
            <w:tcW w:w="913" w:type="pct"/>
          </w:tcPr>
          <w:p w14:paraId="7397ECB6" w14:textId="77777777" w:rsidR="00096056" w:rsidRPr="00205340" w:rsidRDefault="00096056">
            <w:pPr>
              <w:pStyle w:val="TableText"/>
              <w:keepNext/>
              <w:keepLines/>
              <w:jc w:val="center"/>
              <w:rPr>
                <w:rFonts w:cstheme="minorHAnsi"/>
                <w:b/>
                <w:bCs/>
              </w:rPr>
            </w:pPr>
            <w:r w:rsidRPr="00205340">
              <w:rPr>
                <w:rFonts w:cstheme="minorHAnsi"/>
                <w:b/>
                <w:bCs/>
              </w:rPr>
              <w:t>Marstacimab LTE</w:t>
            </w:r>
          </w:p>
          <w:p w14:paraId="2660F1D6" w14:textId="77777777" w:rsidR="00096056" w:rsidRPr="00205340" w:rsidRDefault="00096056">
            <w:pPr>
              <w:pStyle w:val="TableText"/>
              <w:keepNext/>
              <w:keepLines/>
              <w:jc w:val="center"/>
              <w:rPr>
                <w:rFonts w:cstheme="minorHAnsi"/>
                <w:b/>
                <w:bCs/>
              </w:rPr>
            </w:pPr>
            <w:r w:rsidRPr="00205340">
              <w:rPr>
                <w:rFonts w:cstheme="minorHAnsi"/>
                <w:b/>
                <w:bCs/>
              </w:rPr>
              <w:t>(ISTH 2025)</w:t>
            </w:r>
          </w:p>
          <w:p w14:paraId="702A71FC" w14:textId="77777777" w:rsidR="00096056" w:rsidRPr="00205340" w:rsidRDefault="00096056">
            <w:pPr>
              <w:pStyle w:val="TableText"/>
              <w:keepNext/>
              <w:keepLines/>
              <w:jc w:val="center"/>
              <w:rPr>
                <w:rFonts w:cstheme="minorHAnsi"/>
                <w:b/>
                <w:bCs/>
              </w:rPr>
            </w:pPr>
            <w:r w:rsidRPr="00205340">
              <w:rPr>
                <w:rFonts w:cstheme="minorHAnsi"/>
                <w:b/>
                <w:bCs/>
              </w:rPr>
              <w:t>N=75</w:t>
            </w:r>
          </w:p>
        </w:tc>
      </w:tr>
      <w:tr w:rsidR="004D521D" w:rsidRPr="00205340" w14:paraId="01D18B1A" w14:textId="77777777" w:rsidTr="004C2816">
        <w:tc>
          <w:tcPr>
            <w:tcW w:w="1426" w:type="pct"/>
          </w:tcPr>
          <w:p w14:paraId="3A29D4A2" w14:textId="77777777" w:rsidR="00096056" w:rsidRPr="00205340" w:rsidRDefault="00096056">
            <w:pPr>
              <w:pStyle w:val="TableText"/>
              <w:keepNext/>
              <w:keepLines/>
              <w:rPr>
                <w:rFonts w:cstheme="minorHAnsi"/>
              </w:rPr>
            </w:pPr>
            <w:r w:rsidRPr="00205340">
              <w:rPr>
                <w:rFonts w:cstheme="minorHAnsi"/>
              </w:rPr>
              <w:t>Completed the phase, n (%)</w:t>
            </w:r>
          </w:p>
        </w:tc>
        <w:tc>
          <w:tcPr>
            <w:tcW w:w="912" w:type="pct"/>
          </w:tcPr>
          <w:p w14:paraId="71CF2C68" w14:textId="77777777" w:rsidR="00096056" w:rsidRPr="00205340" w:rsidRDefault="00096056">
            <w:pPr>
              <w:pStyle w:val="TableText"/>
              <w:keepNext/>
              <w:keepLines/>
              <w:jc w:val="center"/>
              <w:rPr>
                <w:rFonts w:cstheme="minorHAnsi"/>
              </w:rPr>
            </w:pPr>
            <w:r w:rsidRPr="00205340">
              <w:rPr>
                <w:rFonts w:cstheme="minorHAnsi"/>
              </w:rPr>
              <w:t>83 (100)</w:t>
            </w:r>
          </w:p>
        </w:tc>
        <w:tc>
          <w:tcPr>
            <w:tcW w:w="837" w:type="pct"/>
          </w:tcPr>
          <w:p w14:paraId="33E77EA7" w14:textId="77777777" w:rsidR="00096056" w:rsidRPr="00205340" w:rsidRDefault="00096056">
            <w:pPr>
              <w:pStyle w:val="TableText"/>
              <w:keepNext/>
              <w:keepLines/>
              <w:jc w:val="center"/>
              <w:rPr>
                <w:rFonts w:cstheme="minorHAnsi"/>
              </w:rPr>
            </w:pPr>
            <w:r w:rsidRPr="00205340">
              <w:rPr>
                <w:rFonts w:cstheme="minorHAnsi"/>
              </w:rPr>
              <w:t>78 (94.0)</w:t>
            </w:r>
          </w:p>
        </w:tc>
        <w:tc>
          <w:tcPr>
            <w:tcW w:w="912" w:type="pct"/>
          </w:tcPr>
          <w:p w14:paraId="52F2A3A9" w14:textId="77777777" w:rsidR="00096056" w:rsidRPr="00205340" w:rsidRDefault="00096056">
            <w:pPr>
              <w:pStyle w:val="TableText"/>
              <w:keepNext/>
              <w:keepLines/>
              <w:jc w:val="center"/>
              <w:rPr>
                <w:rFonts w:cstheme="minorHAnsi"/>
              </w:rPr>
            </w:pPr>
            <w:r w:rsidRPr="00205340">
              <w:rPr>
                <w:rFonts w:cstheme="minorHAnsi"/>
              </w:rPr>
              <w:t>-</w:t>
            </w:r>
          </w:p>
        </w:tc>
        <w:tc>
          <w:tcPr>
            <w:tcW w:w="913" w:type="pct"/>
          </w:tcPr>
          <w:p w14:paraId="417D5FD0" w14:textId="77777777" w:rsidR="00096056" w:rsidRPr="00205340" w:rsidRDefault="00096056">
            <w:pPr>
              <w:pStyle w:val="TableText"/>
              <w:keepNext/>
              <w:keepLines/>
              <w:jc w:val="center"/>
              <w:rPr>
                <w:rFonts w:cstheme="minorHAnsi"/>
              </w:rPr>
            </w:pPr>
            <w:r w:rsidRPr="00205340">
              <w:rPr>
                <w:rFonts w:cstheme="minorHAnsi"/>
              </w:rPr>
              <w:t>-</w:t>
            </w:r>
          </w:p>
        </w:tc>
      </w:tr>
      <w:tr w:rsidR="00096056" w:rsidRPr="00205340" w14:paraId="3ECC94D0" w14:textId="77777777">
        <w:tc>
          <w:tcPr>
            <w:tcW w:w="5000" w:type="pct"/>
            <w:gridSpan w:val="5"/>
          </w:tcPr>
          <w:p w14:paraId="5ED2246F" w14:textId="77777777" w:rsidR="00096056" w:rsidRPr="00205340" w:rsidRDefault="00096056">
            <w:pPr>
              <w:pStyle w:val="TableText"/>
              <w:keepNext/>
              <w:keepLines/>
              <w:rPr>
                <w:rFonts w:cstheme="minorHAnsi"/>
                <w:b/>
                <w:bCs/>
              </w:rPr>
            </w:pPr>
            <w:r w:rsidRPr="00205340">
              <w:rPr>
                <w:rFonts w:cstheme="minorHAnsi"/>
                <w:b/>
                <w:bCs/>
              </w:rPr>
              <w:t>Descriptive summary</w:t>
            </w:r>
          </w:p>
        </w:tc>
      </w:tr>
      <w:tr w:rsidR="004D521D" w:rsidRPr="00205340" w14:paraId="026A0234" w14:textId="77777777" w:rsidTr="004C2816">
        <w:tc>
          <w:tcPr>
            <w:tcW w:w="1426" w:type="pct"/>
          </w:tcPr>
          <w:p w14:paraId="4975BBEA" w14:textId="77777777" w:rsidR="00096056" w:rsidRPr="00205340" w:rsidRDefault="00096056">
            <w:pPr>
              <w:pStyle w:val="TableText"/>
              <w:keepNext/>
              <w:keepLines/>
              <w:rPr>
                <w:rFonts w:cstheme="minorHAnsi"/>
              </w:rPr>
            </w:pPr>
            <w:r w:rsidRPr="00205340">
              <w:rPr>
                <w:rFonts w:cstheme="minorHAnsi"/>
              </w:rPr>
              <w:t>Mean ABR (SD)</w:t>
            </w:r>
          </w:p>
        </w:tc>
        <w:tc>
          <w:tcPr>
            <w:tcW w:w="912" w:type="pct"/>
          </w:tcPr>
          <w:p w14:paraId="44B6DD5E" w14:textId="77777777" w:rsidR="00096056" w:rsidRPr="00205340" w:rsidRDefault="00096056">
            <w:pPr>
              <w:pStyle w:val="TableText"/>
              <w:keepNext/>
              <w:keepLines/>
              <w:jc w:val="center"/>
              <w:rPr>
                <w:rFonts w:cstheme="minorHAnsi"/>
              </w:rPr>
            </w:pPr>
            <w:r w:rsidRPr="00205340">
              <w:rPr>
                <w:rFonts w:cstheme="minorHAnsi"/>
              </w:rPr>
              <w:t>7.88 (12.91)</w:t>
            </w:r>
          </w:p>
        </w:tc>
        <w:tc>
          <w:tcPr>
            <w:tcW w:w="837" w:type="pct"/>
          </w:tcPr>
          <w:p w14:paraId="3657456D" w14:textId="77777777" w:rsidR="00096056" w:rsidRPr="00205340" w:rsidRDefault="00096056">
            <w:pPr>
              <w:pStyle w:val="TableText"/>
              <w:keepNext/>
              <w:keepLines/>
              <w:jc w:val="center"/>
              <w:rPr>
                <w:rFonts w:cstheme="minorHAnsi"/>
              </w:rPr>
            </w:pPr>
            <w:r w:rsidRPr="00205340">
              <w:rPr>
                <w:rFonts w:cstheme="minorHAnsi"/>
              </w:rPr>
              <w:t>5.17 (8.04)</w:t>
            </w:r>
          </w:p>
        </w:tc>
        <w:tc>
          <w:tcPr>
            <w:tcW w:w="912" w:type="pct"/>
          </w:tcPr>
          <w:p w14:paraId="4D0F3E1D" w14:textId="77777777" w:rsidR="00096056" w:rsidRPr="00205340" w:rsidRDefault="00096056">
            <w:pPr>
              <w:pStyle w:val="TableText"/>
              <w:keepNext/>
              <w:keepLines/>
              <w:jc w:val="center"/>
              <w:rPr>
                <w:rFonts w:cstheme="minorHAnsi"/>
              </w:rPr>
            </w:pPr>
            <w:r w:rsidRPr="00205340">
              <w:rPr>
                <w:rFonts w:cstheme="minorHAnsi"/>
              </w:rPr>
              <w:t>2.12 (3.93)</w:t>
            </w:r>
          </w:p>
        </w:tc>
        <w:tc>
          <w:tcPr>
            <w:tcW w:w="913" w:type="pct"/>
          </w:tcPr>
          <w:p w14:paraId="5CCEBE5E" w14:textId="77777777" w:rsidR="00096056" w:rsidRPr="00205340" w:rsidRDefault="00096056">
            <w:pPr>
              <w:pStyle w:val="TableText"/>
              <w:keepNext/>
              <w:keepLines/>
              <w:jc w:val="center"/>
              <w:rPr>
                <w:rFonts w:cstheme="minorHAnsi"/>
              </w:rPr>
            </w:pPr>
            <w:r w:rsidRPr="00205340">
              <w:rPr>
                <w:rFonts w:cstheme="minorHAnsi"/>
              </w:rPr>
              <w:t>-</w:t>
            </w:r>
          </w:p>
        </w:tc>
      </w:tr>
      <w:tr w:rsidR="004D521D" w:rsidRPr="00205340" w14:paraId="3B352561" w14:textId="77777777" w:rsidTr="004C2816">
        <w:tc>
          <w:tcPr>
            <w:tcW w:w="1426" w:type="pct"/>
          </w:tcPr>
          <w:p w14:paraId="37E34781" w14:textId="77777777" w:rsidR="00096056" w:rsidRPr="00205340" w:rsidRDefault="00096056">
            <w:pPr>
              <w:pStyle w:val="TableText"/>
              <w:keepNext/>
              <w:keepLines/>
              <w:rPr>
                <w:rFonts w:cstheme="minorHAnsi"/>
              </w:rPr>
            </w:pPr>
            <w:r w:rsidRPr="00205340">
              <w:rPr>
                <w:rFonts w:cstheme="minorHAnsi"/>
              </w:rPr>
              <w:t>Min, Max ABR</w:t>
            </w:r>
          </w:p>
        </w:tc>
        <w:tc>
          <w:tcPr>
            <w:tcW w:w="912" w:type="pct"/>
          </w:tcPr>
          <w:p w14:paraId="253AE5B3" w14:textId="77777777" w:rsidR="00096056" w:rsidRPr="00205340" w:rsidRDefault="00096056">
            <w:pPr>
              <w:pStyle w:val="TableText"/>
              <w:keepNext/>
              <w:keepLines/>
              <w:jc w:val="center"/>
              <w:rPr>
                <w:rFonts w:cstheme="minorHAnsi"/>
              </w:rPr>
            </w:pPr>
            <w:r w:rsidRPr="00205340">
              <w:rPr>
                <w:rFonts w:cstheme="minorHAnsi"/>
              </w:rPr>
              <w:t>0.00, 59.51</w:t>
            </w:r>
          </w:p>
        </w:tc>
        <w:tc>
          <w:tcPr>
            <w:tcW w:w="837" w:type="pct"/>
          </w:tcPr>
          <w:p w14:paraId="5F8AD998" w14:textId="77777777" w:rsidR="00096056" w:rsidRPr="00205340" w:rsidRDefault="00096056">
            <w:pPr>
              <w:pStyle w:val="TableText"/>
              <w:keepNext/>
              <w:keepLines/>
              <w:jc w:val="center"/>
              <w:rPr>
                <w:rFonts w:cstheme="minorHAnsi"/>
              </w:rPr>
            </w:pPr>
            <w:r w:rsidRPr="00205340">
              <w:rPr>
                <w:rFonts w:cstheme="minorHAnsi"/>
              </w:rPr>
              <w:t>0.00, 35.51</w:t>
            </w:r>
          </w:p>
        </w:tc>
        <w:tc>
          <w:tcPr>
            <w:tcW w:w="912" w:type="pct"/>
          </w:tcPr>
          <w:p w14:paraId="6CCA86B0" w14:textId="77777777" w:rsidR="00096056" w:rsidRPr="00205340" w:rsidRDefault="00096056">
            <w:pPr>
              <w:pStyle w:val="TableText"/>
              <w:keepNext/>
              <w:keepLines/>
              <w:jc w:val="center"/>
              <w:rPr>
                <w:rFonts w:cstheme="minorHAnsi"/>
              </w:rPr>
            </w:pPr>
            <w:r w:rsidRPr="00205340">
              <w:rPr>
                <w:rFonts w:cstheme="minorHAnsi"/>
              </w:rPr>
              <w:t>0.00, 20.39</w:t>
            </w:r>
          </w:p>
        </w:tc>
        <w:tc>
          <w:tcPr>
            <w:tcW w:w="913" w:type="pct"/>
          </w:tcPr>
          <w:p w14:paraId="309E1269" w14:textId="77777777" w:rsidR="00096056" w:rsidRPr="00205340" w:rsidRDefault="00096056">
            <w:pPr>
              <w:pStyle w:val="TableText"/>
              <w:keepNext/>
              <w:keepLines/>
              <w:jc w:val="center"/>
              <w:rPr>
                <w:rFonts w:cstheme="minorHAnsi"/>
              </w:rPr>
            </w:pPr>
            <w:r w:rsidRPr="00205340">
              <w:rPr>
                <w:rFonts w:cstheme="minorHAnsi"/>
              </w:rPr>
              <w:t>-</w:t>
            </w:r>
          </w:p>
        </w:tc>
      </w:tr>
      <w:tr w:rsidR="004D521D" w:rsidRPr="00205340" w14:paraId="11D73C40" w14:textId="77777777" w:rsidTr="004C2816">
        <w:tc>
          <w:tcPr>
            <w:tcW w:w="1426" w:type="pct"/>
          </w:tcPr>
          <w:p w14:paraId="00E7CEE9" w14:textId="77777777" w:rsidR="00096056" w:rsidRPr="00205340" w:rsidRDefault="00096056">
            <w:pPr>
              <w:pStyle w:val="TableText"/>
              <w:keepNext/>
              <w:keepLines/>
              <w:rPr>
                <w:rFonts w:cstheme="minorHAnsi"/>
              </w:rPr>
            </w:pPr>
            <w:r w:rsidRPr="00205340">
              <w:rPr>
                <w:rFonts w:cstheme="minorHAnsi"/>
              </w:rPr>
              <w:t>0 bleeds, n (%)</w:t>
            </w:r>
          </w:p>
        </w:tc>
        <w:tc>
          <w:tcPr>
            <w:tcW w:w="912" w:type="pct"/>
          </w:tcPr>
          <w:p w14:paraId="57F97DDC" w14:textId="77777777" w:rsidR="00096056" w:rsidRPr="00205340" w:rsidRDefault="00096056">
            <w:pPr>
              <w:pStyle w:val="TableText"/>
              <w:keepNext/>
              <w:keepLines/>
              <w:jc w:val="center"/>
              <w:rPr>
                <w:rFonts w:cstheme="minorHAnsi"/>
              </w:rPr>
            </w:pPr>
            <w:r w:rsidRPr="00205340">
              <w:rPr>
                <w:rFonts w:cstheme="minorHAnsi"/>
              </w:rPr>
              <w:t>33 (39.8)</w:t>
            </w:r>
          </w:p>
        </w:tc>
        <w:tc>
          <w:tcPr>
            <w:tcW w:w="837" w:type="pct"/>
          </w:tcPr>
          <w:p w14:paraId="195E4A20" w14:textId="77777777" w:rsidR="00096056" w:rsidRPr="00205340" w:rsidRDefault="00096056">
            <w:pPr>
              <w:pStyle w:val="TableText"/>
              <w:keepNext/>
              <w:keepLines/>
              <w:jc w:val="center"/>
              <w:rPr>
                <w:rFonts w:cstheme="minorHAnsi"/>
              </w:rPr>
            </w:pPr>
            <w:r w:rsidRPr="00205340">
              <w:rPr>
                <w:rFonts w:cstheme="minorHAnsi"/>
              </w:rPr>
              <w:t>29 (34.9)</w:t>
            </w:r>
          </w:p>
        </w:tc>
        <w:tc>
          <w:tcPr>
            <w:tcW w:w="912" w:type="pct"/>
          </w:tcPr>
          <w:p w14:paraId="514E6D77" w14:textId="77777777" w:rsidR="00096056" w:rsidRPr="00205340" w:rsidRDefault="00096056">
            <w:pPr>
              <w:pStyle w:val="TableText"/>
              <w:keepNext/>
              <w:keepLines/>
              <w:jc w:val="center"/>
              <w:rPr>
                <w:rFonts w:cstheme="minorHAnsi"/>
              </w:rPr>
            </w:pPr>
            <w:r w:rsidRPr="00205340">
              <w:rPr>
                <w:rFonts w:cstheme="minorHAnsi"/>
              </w:rPr>
              <w:t>36 (62.1)</w:t>
            </w:r>
          </w:p>
        </w:tc>
        <w:tc>
          <w:tcPr>
            <w:tcW w:w="913" w:type="pct"/>
          </w:tcPr>
          <w:p w14:paraId="48CA3EC7" w14:textId="77777777" w:rsidR="00096056" w:rsidRPr="00205340" w:rsidRDefault="00096056">
            <w:pPr>
              <w:pStyle w:val="TableText"/>
              <w:keepNext/>
              <w:keepLines/>
              <w:jc w:val="center"/>
              <w:rPr>
                <w:rFonts w:cstheme="minorHAnsi"/>
              </w:rPr>
            </w:pPr>
            <w:r w:rsidRPr="00205340">
              <w:rPr>
                <w:rFonts w:cstheme="minorHAnsi"/>
              </w:rPr>
              <w:t>-</w:t>
            </w:r>
          </w:p>
        </w:tc>
      </w:tr>
      <w:tr w:rsidR="004D521D" w:rsidRPr="00205340" w14:paraId="3C772C2E" w14:textId="77777777" w:rsidTr="004C2816">
        <w:tc>
          <w:tcPr>
            <w:tcW w:w="1426" w:type="pct"/>
          </w:tcPr>
          <w:p w14:paraId="092F2291" w14:textId="77777777" w:rsidR="00096056" w:rsidRPr="00205340" w:rsidRDefault="00096056">
            <w:pPr>
              <w:pStyle w:val="TableText"/>
              <w:keepNext/>
              <w:keepLines/>
              <w:rPr>
                <w:rFonts w:cstheme="minorHAnsi"/>
              </w:rPr>
            </w:pPr>
            <w:r w:rsidRPr="00205340">
              <w:rPr>
                <w:rFonts w:cstheme="minorHAnsi"/>
              </w:rPr>
              <w:t>1 bleed, n (%)</w:t>
            </w:r>
          </w:p>
        </w:tc>
        <w:tc>
          <w:tcPr>
            <w:tcW w:w="912" w:type="pct"/>
          </w:tcPr>
          <w:p w14:paraId="704DDACE" w14:textId="77777777" w:rsidR="00096056" w:rsidRPr="00205340" w:rsidRDefault="00096056">
            <w:pPr>
              <w:pStyle w:val="TableText"/>
              <w:keepNext/>
              <w:keepLines/>
              <w:jc w:val="center"/>
              <w:rPr>
                <w:rFonts w:cstheme="minorHAnsi"/>
              </w:rPr>
            </w:pPr>
            <w:r w:rsidRPr="00205340">
              <w:rPr>
                <w:rFonts w:cstheme="minorHAnsi"/>
              </w:rPr>
              <w:t>9 (10.8)</w:t>
            </w:r>
          </w:p>
        </w:tc>
        <w:tc>
          <w:tcPr>
            <w:tcW w:w="837" w:type="pct"/>
          </w:tcPr>
          <w:p w14:paraId="75D011A2" w14:textId="77777777" w:rsidR="00096056" w:rsidRPr="00205340" w:rsidRDefault="00096056">
            <w:pPr>
              <w:pStyle w:val="TableText"/>
              <w:keepNext/>
              <w:keepLines/>
              <w:jc w:val="center"/>
              <w:rPr>
                <w:rFonts w:cstheme="minorHAnsi"/>
              </w:rPr>
            </w:pPr>
            <w:r w:rsidRPr="00205340">
              <w:rPr>
                <w:rFonts w:cstheme="minorHAnsi"/>
              </w:rPr>
              <w:t>7 (8.4)</w:t>
            </w:r>
          </w:p>
        </w:tc>
        <w:tc>
          <w:tcPr>
            <w:tcW w:w="912" w:type="pct"/>
          </w:tcPr>
          <w:p w14:paraId="4A417D58" w14:textId="77777777" w:rsidR="00096056" w:rsidRPr="00205340" w:rsidRDefault="00096056">
            <w:pPr>
              <w:pStyle w:val="TableText"/>
              <w:keepNext/>
              <w:keepLines/>
              <w:jc w:val="center"/>
              <w:rPr>
                <w:rFonts w:cstheme="minorHAnsi"/>
              </w:rPr>
            </w:pPr>
            <w:r w:rsidRPr="00205340">
              <w:rPr>
                <w:rFonts w:cstheme="minorHAnsi"/>
              </w:rPr>
              <w:t>-</w:t>
            </w:r>
          </w:p>
        </w:tc>
        <w:tc>
          <w:tcPr>
            <w:tcW w:w="913" w:type="pct"/>
          </w:tcPr>
          <w:p w14:paraId="4D727ECC" w14:textId="77777777" w:rsidR="00096056" w:rsidRPr="00205340" w:rsidRDefault="00096056">
            <w:pPr>
              <w:pStyle w:val="TableText"/>
              <w:keepNext/>
              <w:keepLines/>
              <w:jc w:val="center"/>
              <w:rPr>
                <w:rFonts w:cstheme="minorHAnsi"/>
              </w:rPr>
            </w:pPr>
            <w:r w:rsidRPr="00205340">
              <w:rPr>
                <w:rFonts w:cstheme="minorHAnsi"/>
              </w:rPr>
              <w:t>-</w:t>
            </w:r>
          </w:p>
        </w:tc>
      </w:tr>
      <w:tr w:rsidR="004D521D" w:rsidRPr="00205340" w14:paraId="7E0D8D28" w14:textId="77777777" w:rsidTr="004C2816">
        <w:tc>
          <w:tcPr>
            <w:tcW w:w="1426" w:type="pct"/>
          </w:tcPr>
          <w:p w14:paraId="42E6B2E8" w14:textId="77777777" w:rsidR="00096056" w:rsidRPr="00205340" w:rsidRDefault="00096056">
            <w:pPr>
              <w:pStyle w:val="TableText"/>
              <w:keepNext/>
              <w:keepLines/>
              <w:rPr>
                <w:rFonts w:cstheme="minorHAnsi"/>
              </w:rPr>
            </w:pPr>
            <w:r w:rsidRPr="00205340">
              <w:rPr>
                <w:rFonts w:cstheme="minorHAnsi"/>
              </w:rPr>
              <w:t>2 bleeds, n (%)</w:t>
            </w:r>
          </w:p>
        </w:tc>
        <w:tc>
          <w:tcPr>
            <w:tcW w:w="912" w:type="pct"/>
          </w:tcPr>
          <w:p w14:paraId="276A5216" w14:textId="77777777" w:rsidR="00096056" w:rsidRPr="00205340" w:rsidRDefault="00096056">
            <w:pPr>
              <w:pStyle w:val="TableText"/>
              <w:keepNext/>
              <w:keepLines/>
              <w:jc w:val="center"/>
              <w:rPr>
                <w:rFonts w:cstheme="minorHAnsi"/>
              </w:rPr>
            </w:pPr>
            <w:r w:rsidRPr="00205340">
              <w:rPr>
                <w:rFonts w:cstheme="minorHAnsi"/>
              </w:rPr>
              <w:t>11 (13.3)</w:t>
            </w:r>
          </w:p>
        </w:tc>
        <w:tc>
          <w:tcPr>
            <w:tcW w:w="837" w:type="pct"/>
          </w:tcPr>
          <w:p w14:paraId="34DBEDBC" w14:textId="77777777" w:rsidR="00096056" w:rsidRPr="00205340" w:rsidRDefault="00096056">
            <w:pPr>
              <w:pStyle w:val="TableText"/>
              <w:keepNext/>
              <w:keepLines/>
              <w:jc w:val="center"/>
              <w:rPr>
                <w:rFonts w:cstheme="minorHAnsi"/>
              </w:rPr>
            </w:pPr>
            <w:r w:rsidRPr="00205340">
              <w:rPr>
                <w:rFonts w:cstheme="minorHAnsi"/>
              </w:rPr>
              <w:t>9 (10.8)</w:t>
            </w:r>
          </w:p>
        </w:tc>
        <w:tc>
          <w:tcPr>
            <w:tcW w:w="912" w:type="pct"/>
          </w:tcPr>
          <w:p w14:paraId="743C13AB" w14:textId="77777777" w:rsidR="00096056" w:rsidRPr="00205340" w:rsidRDefault="00096056">
            <w:pPr>
              <w:pStyle w:val="TableText"/>
              <w:keepNext/>
              <w:keepLines/>
              <w:jc w:val="center"/>
              <w:rPr>
                <w:rFonts w:cstheme="minorHAnsi"/>
              </w:rPr>
            </w:pPr>
            <w:r w:rsidRPr="00205340">
              <w:rPr>
                <w:rFonts w:cstheme="minorHAnsi"/>
              </w:rPr>
              <w:t>-</w:t>
            </w:r>
          </w:p>
        </w:tc>
        <w:tc>
          <w:tcPr>
            <w:tcW w:w="913" w:type="pct"/>
          </w:tcPr>
          <w:p w14:paraId="3FCB872D" w14:textId="77777777" w:rsidR="00096056" w:rsidRPr="00205340" w:rsidRDefault="00096056">
            <w:pPr>
              <w:pStyle w:val="TableText"/>
              <w:keepNext/>
              <w:keepLines/>
              <w:jc w:val="center"/>
              <w:rPr>
                <w:rFonts w:cstheme="minorHAnsi"/>
              </w:rPr>
            </w:pPr>
            <w:r w:rsidRPr="00205340">
              <w:rPr>
                <w:rFonts w:cstheme="minorHAnsi"/>
              </w:rPr>
              <w:t>-</w:t>
            </w:r>
          </w:p>
        </w:tc>
      </w:tr>
      <w:tr w:rsidR="004D521D" w:rsidRPr="00205340" w14:paraId="1A69FE2D" w14:textId="77777777" w:rsidTr="004C2816">
        <w:tc>
          <w:tcPr>
            <w:tcW w:w="1426" w:type="pct"/>
          </w:tcPr>
          <w:p w14:paraId="68ED2021" w14:textId="77777777" w:rsidR="00096056" w:rsidRPr="00205340" w:rsidRDefault="00096056">
            <w:pPr>
              <w:pStyle w:val="TableText"/>
              <w:keepNext/>
              <w:keepLines/>
              <w:rPr>
                <w:rFonts w:cstheme="minorHAnsi"/>
              </w:rPr>
            </w:pPr>
            <w:r w:rsidRPr="00205340">
              <w:rPr>
                <w:rFonts w:cstheme="minorHAnsi"/>
              </w:rPr>
              <w:t>≥ 3 bleeds, n (%)</w:t>
            </w:r>
          </w:p>
        </w:tc>
        <w:tc>
          <w:tcPr>
            <w:tcW w:w="912" w:type="pct"/>
          </w:tcPr>
          <w:p w14:paraId="6BF681B4" w14:textId="77777777" w:rsidR="00096056" w:rsidRPr="00205340" w:rsidRDefault="00096056">
            <w:pPr>
              <w:pStyle w:val="TableText"/>
              <w:keepNext/>
              <w:keepLines/>
              <w:jc w:val="center"/>
              <w:rPr>
                <w:rFonts w:cstheme="minorHAnsi"/>
              </w:rPr>
            </w:pPr>
            <w:r w:rsidRPr="00205340">
              <w:rPr>
                <w:rFonts w:cstheme="minorHAnsi"/>
              </w:rPr>
              <w:t>30 (36.1)</w:t>
            </w:r>
          </w:p>
        </w:tc>
        <w:tc>
          <w:tcPr>
            <w:tcW w:w="837" w:type="pct"/>
          </w:tcPr>
          <w:p w14:paraId="6ADACFEC" w14:textId="77777777" w:rsidR="00096056" w:rsidRPr="00205340" w:rsidRDefault="00096056">
            <w:pPr>
              <w:pStyle w:val="TableText"/>
              <w:keepNext/>
              <w:keepLines/>
              <w:jc w:val="center"/>
              <w:rPr>
                <w:rFonts w:cstheme="minorHAnsi"/>
              </w:rPr>
            </w:pPr>
            <w:r w:rsidRPr="00205340">
              <w:rPr>
                <w:rFonts w:cstheme="minorHAnsi"/>
              </w:rPr>
              <w:t>33 (39.8)</w:t>
            </w:r>
          </w:p>
        </w:tc>
        <w:tc>
          <w:tcPr>
            <w:tcW w:w="912" w:type="pct"/>
          </w:tcPr>
          <w:p w14:paraId="6767828C" w14:textId="77777777" w:rsidR="00096056" w:rsidRPr="00205340" w:rsidRDefault="00096056">
            <w:pPr>
              <w:pStyle w:val="TableText"/>
              <w:keepNext/>
              <w:keepLines/>
              <w:jc w:val="center"/>
              <w:rPr>
                <w:rFonts w:cstheme="minorHAnsi"/>
              </w:rPr>
            </w:pPr>
            <w:r w:rsidRPr="00205340">
              <w:rPr>
                <w:rFonts w:cstheme="minorHAnsi"/>
              </w:rPr>
              <w:t>-</w:t>
            </w:r>
          </w:p>
        </w:tc>
        <w:tc>
          <w:tcPr>
            <w:tcW w:w="913" w:type="pct"/>
          </w:tcPr>
          <w:p w14:paraId="090831C5" w14:textId="77777777" w:rsidR="00096056" w:rsidRPr="00205340" w:rsidRDefault="00096056">
            <w:pPr>
              <w:pStyle w:val="TableText"/>
              <w:keepNext/>
              <w:keepLines/>
              <w:jc w:val="center"/>
              <w:rPr>
                <w:rFonts w:cstheme="minorHAnsi"/>
              </w:rPr>
            </w:pPr>
            <w:r w:rsidRPr="00205340">
              <w:rPr>
                <w:rFonts w:cstheme="minorHAnsi"/>
              </w:rPr>
              <w:t>-</w:t>
            </w:r>
          </w:p>
        </w:tc>
      </w:tr>
      <w:tr w:rsidR="00096056" w:rsidRPr="00205340" w14:paraId="57DCFBFD" w14:textId="77777777">
        <w:tc>
          <w:tcPr>
            <w:tcW w:w="5000" w:type="pct"/>
            <w:gridSpan w:val="5"/>
          </w:tcPr>
          <w:p w14:paraId="6F48D33F" w14:textId="31555A6D" w:rsidR="00096056" w:rsidRPr="00205340" w:rsidRDefault="00096056">
            <w:pPr>
              <w:pStyle w:val="TableText"/>
              <w:rPr>
                <w:rFonts w:cstheme="minorHAnsi"/>
                <w:b/>
                <w:bCs/>
              </w:rPr>
            </w:pPr>
            <w:r w:rsidRPr="00205340">
              <w:rPr>
                <w:rFonts w:cstheme="minorHAnsi"/>
                <w:b/>
                <w:bCs/>
              </w:rPr>
              <w:t xml:space="preserve">Model-based </w:t>
            </w:r>
            <w:proofErr w:type="spellStart"/>
            <w:r w:rsidRPr="00205340">
              <w:rPr>
                <w:rFonts w:cstheme="minorHAnsi"/>
                <w:b/>
                <w:bCs/>
              </w:rPr>
              <w:t>summary</w:t>
            </w:r>
            <w:r w:rsidR="007E20E2" w:rsidRPr="00205340">
              <w:rPr>
                <w:rFonts w:cstheme="minorHAnsi"/>
                <w:b/>
                <w:bCs/>
                <w:vertAlign w:val="superscript"/>
              </w:rPr>
              <w:t>c</w:t>
            </w:r>
            <w:proofErr w:type="spellEnd"/>
          </w:p>
        </w:tc>
      </w:tr>
      <w:tr w:rsidR="004D521D" w:rsidRPr="00205340" w14:paraId="5ED10276" w14:textId="77777777" w:rsidTr="004C2816">
        <w:tc>
          <w:tcPr>
            <w:tcW w:w="1426" w:type="pct"/>
          </w:tcPr>
          <w:p w14:paraId="53BC0C86" w14:textId="77777777" w:rsidR="00096056" w:rsidRPr="00205340" w:rsidRDefault="00096056">
            <w:pPr>
              <w:pStyle w:val="TableText"/>
              <w:rPr>
                <w:rFonts w:cstheme="minorHAnsi"/>
              </w:rPr>
            </w:pPr>
            <w:r w:rsidRPr="00205340">
              <w:rPr>
                <w:rFonts w:cstheme="minorHAnsi"/>
              </w:rPr>
              <w:t>Mean ABR (95% CI)</w:t>
            </w:r>
          </w:p>
        </w:tc>
        <w:tc>
          <w:tcPr>
            <w:tcW w:w="912" w:type="pct"/>
            <w:vAlign w:val="center"/>
          </w:tcPr>
          <w:p w14:paraId="703954EE" w14:textId="21397478" w:rsidR="00096056" w:rsidRPr="00205340" w:rsidRDefault="00096056">
            <w:pPr>
              <w:pStyle w:val="TableText"/>
              <w:jc w:val="center"/>
              <w:rPr>
                <w:rFonts w:cstheme="minorHAnsi"/>
              </w:rPr>
            </w:pPr>
            <w:r w:rsidRPr="00205340">
              <w:rPr>
                <w:rFonts w:cstheme="minorHAnsi"/>
              </w:rPr>
              <w:t>7.85</w:t>
            </w:r>
            <w:r w:rsidR="00662755" w:rsidRPr="00205340">
              <w:rPr>
                <w:rFonts w:cstheme="minorHAnsi"/>
              </w:rPr>
              <w:br/>
            </w:r>
            <w:r w:rsidRPr="00205340">
              <w:rPr>
                <w:rFonts w:cstheme="minorHAnsi"/>
              </w:rPr>
              <w:t>(5.09, 10.61)</w:t>
            </w:r>
          </w:p>
        </w:tc>
        <w:tc>
          <w:tcPr>
            <w:tcW w:w="837" w:type="pct"/>
            <w:vAlign w:val="center"/>
          </w:tcPr>
          <w:p w14:paraId="627C3003" w14:textId="3D68A415" w:rsidR="00096056" w:rsidRPr="00205340" w:rsidRDefault="00096056">
            <w:pPr>
              <w:pStyle w:val="TableText"/>
              <w:jc w:val="center"/>
              <w:rPr>
                <w:rFonts w:cstheme="minorHAnsi"/>
              </w:rPr>
            </w:pPr>
            <w:r w:rsidRPr="00205340">
              <w:rPr>
                <w:rFonts w:cstheme="minorHAnsi"/>
              </w:rPr>
              <w:t>5.08</w:t>
            </w:r>
            <w:r w:rsidR="00662755" w:rsidRPr="00205340">
              <w:rPr>
                <w:rFonts w:cstheme="minorHAnsi"/>
              </w:rPr>
              <w:br/>
            </w:r>
            <w:r w:rsidRPr="00205340">
              <w:rPr>
                <w:rFonts w:cstheme="minorHAnsi"/>
              </w:rPr>
              <w:t>(3.40, 6.77)</w:t>
            </w:r>
          </w:p>
        </w:tc>
        <w:tc>
          <w:tcPr>
            <w:tcW w:w="912" w:type="pct"/>
            <w:vAlign w:val="center"/>
          </w:tcPr>
          <w:p w14:paraId="514ABF2D" w14:textId="142DBA54" w:rsidR="00096056" w:rsidRPr="00205340" w:rsidRDefault="00096056">
            <w:pPr>
              <w:pStyle w:val="TableText"/>
              <w:jc w:val="center"/>
              <w:rPr>
                <w:rFonts w:cstheme="minorHAnsi"/>
              </w:rPr>
            </w:pPr>
            <w:r w:rsidRPr="00205340">
              <w:rPr>
                <w:rFonts w:cstheme="minorHAnsi"/>
              </w:rPr>
              <w:t>2.79</w:t>
            </w:r>
            <w:r w:rsidR="00662755" w:rsidRPr="00205340">
              <w:rPr>
                <w:rFonts w:cstheme="minorHAnsi"/>
              </w:rPr>
              <w:br/>
            </w:r>
            <w:r w:rsidRPr="00205340">
              <w:rPr>
                <w:rFonts w:cstheme="minorHAnsi"/>
              </w:rPr>
              <w:t>(1.90, 4.09)</w:t>
            </w:r>
          </w:p>
        </w:tc>
        <w:tc>
          <w:tcPr>
            <w:tcW w:w="913" w:type="pct"/>
            <w:vAlign w:val="center"/>
          </w:tcPr>
          <w:p w14:paraId="3B950441" w14:textId="16A4D79A" w:rsidR="00096056" w:rsidRPr="00205340" w:rsidRDefault="00096056">
            <w:pPr>
              <w:pStyle w:val="TableText"/>
              <w:jc w:val="center"/>
              <w:rPr>
                <w:rFonts w:cstheme="minorHAnsi"/>
              </w:rPr>
            </w:pPr>
            <w:r w:rsidRPr="00205340">
              <w:rPr>
                <w:rFonts w:cstheme="minorHAnsi"/>
              </w:rPr>
              <w:t>2.79</w:t>
            </w:r>
            <w:r w:rsidR="00662755" w:rsidRPr="00205340">
              <w:rPr>
                <w:rFonts w:cstheme="minorHAnsi"/>
              </w:rPr>
              <w:br/>
            </w:r>
            <w:r w:rsidRPr="00205340">
              <w:rPr>
                <w:rFonts w:cstheme="minorHAnsi"/>
              </w:rPr>
              <w:t>(1.96, 3.97)</w:t>
            </w:r>
          </w:p>
        </w:tc>
      </w:tr>
      <w:tr w:rsidR="00096056" w:rsidRPr="00205340" w14:paraId="3BF58C13" w14:textId="77777777">
        <w:tc>
          <w:tcPr>
            <w:tcW w:w="5000" w:type="pct"/>
            <w:gridSpan w:val="5"/>
          </w:tcPr>
          <w:p w14:paraId="13584256" w14:textId="2DCB8702" w:rsidR="00096056" w:rsidRPr="00205340" w:rsidRDefault="00096056">
            <w:pPr>
              <w:pStyle w:val="TableText"/>
              <w:rPr>
                <w:rFonts w:cstheme="minorHAnsi"/>
                <w:b/>
                <w:bCs/>
                <w:vertAlign w:val="superscript"/>
              </w:rPr>
            </w:pPr>
            <w:r w:rsidRPr="00205340">
              <w:rPr>
                <w:rFonts w:cstheme="minorHAnsi"/>
                <w:b/>
                <w:bCs/>
              </w:rPr>
              <w:t xml:space="preserve">Treatment comparison: marstacimab vs factor </w:t>
            </w:r>
            <w:proofErr w:type="spellStart"/>
            <w:r w:rsidRPr="00205340">
              <w:rPr>
                <w:rFonts w:cstheme="minorHAnsi"/>
                <w:b/>
                <w:bCs/>
              </w:rPr>
              <w:t>prophylaxis</w:t>
            </w:r>
            <w:r w:rsidR="007E20E2" w:rsidRPr="00205340">
              <w:rPr>
                <w:rFonts w:cstheme="minorHAnsi"/>
                <w:b/>
                <w:bCs/>
                <w:vertAlign w:val="superscript"/>
              </w:rPr>
              <w:t>d</w:t>
            </w:r>
            <w:proofErr w:type="spellEnd"/>
          </w:p>
        </w:tc>
      </w:tr>
      <w:tr w:rsidR="00D94D37" w:rsidRPr="00205340" w14:paraId="4245DB39" w14:textId="77777777" w:rsidTr="004C2816">
        <w:tc>
          <w:tcPr>
            <w:tcW w:w="1426" w:type="pct"/>
          </w:tcPr>
          <w:p w14:paraId="560B7C88" w14:textId="52F13A41" w:rsidR="00096056" w:rsidRPr="00205340" w:rsidRDefault="00096056">
            <w:pPr>
              <w:pStyle w:val="TableText"/>
              <w:rPr>
                <w:rFonts w:cstheme="minorHAnsi"/>
              </w:rPr>
            </w:pPr>
            <w:r w:rsidRPr="00205340">
              <w:rPr>
                <w:rFonts w:cstheme="minorHAnsi"/>
              </w:rPr>
              <w:t xml:space="preserve">Difference estimate (95% </w:t>
            </w:r>
            <w:proofErr w:type="gramStart"/>
            <w:r w:rsidRPr="00205340">
              <w:rPr>
                <w:rFonts w:cstheme="minorHAnsi"/>
              </w:rPr>
              <w:t>CI)</w:t>
            </w:r>
            <w:r w:rsidR="007E20E2" w:rsidRPr="00205340">
              <w:rPr>
                <w:rFonts w:cstheme="minorHAnsi"/>
                <w:vertAlign w:val="superscript"/>
              </w:rPr>
              <w:t>d</w:t>
            </w:r>
            <w:proofErr w:type="gramEnd"/>
          </w:p>
        </w:tc>
        <w:tc>
          <w:tcPr>
            <w:tcW w:w="1749" w:type="pct"/>
            <w:gridSpan w:val="2"/>
            <w:vAlign w:val="center"/>
          </w:tcPr>
          <w:p w14:paraId="11B56020" w14:textId="77777777" w:rsidR="00096056" w:rsidRPr="00205340" w:rsidRDefault="00096056">
            <w:pPr>
              <w:pStyle w:val="TableText"/>
              <w:jc w:val="center"/>
              <w:rPr>
                <w:rFonts w:cstheme="minorHAnsi"/>
              </w:rPr>
            </w:pPr>
            <w:r w:rsidRPr="00205340">
              <w:rPr>
                <w:rFonts w:cstheme="minorHAnsi"/>
              </w:rPr>
              <w:t>-2.77 (-5.37, -0.16)</w:t>
            </w:r>
          </w:p>
        </w:tc>
        <w:tc>
          <w:tcPr>
            <w:tcW w:w="912" w:type="pct"/>
            <w:vAlign w:val="center"/>
          </w:tcPr>
          <w:p w14:paraId="7635629F" w14:textId="77777777" w:rsidR="00096056" w:rsidRPr="00205340" w:rsidRDefault="00096056">
            <w:pPr>
              <w:pStyle w:val="TableText"/>
              <w:jc w:val="center"/>
              <w:rPr>
                <w:rFonts w:cstheme="minorHAnsi"/>
              </w:rPr>
            </w:pPr>
            <w:r w:rsidRPr="00205340">
              <w:rPr>
                <w:rFonts w:cstheme="minorHAnsi"/>
              </w:rPr>
              <w:t>-</w:t>
            </w:r>
          </w:p>
        </w:tc>
        <w:tc>
          <w:tcPr>
            <w:tcW w:w="913" w:type="pct"/>
            <w:vAlign w:val="center"/>
          </w:tcPr>
          <w:p w14:paraId="79155409" w14:textId="77777777" w:rsidR="00096056" w:rsidRPr="00205340" w:rsidRDefault="00096056">
            <w:pPr>
              <w:pStyle w:val="TableText"/>
              <w:jc w:val="center"/>
              <w:rPr>
                <w:rFonts w:cstheme="minorHAnsi"/>
              </w:rPr>
            </w:pPr>
            <w:r w:rsidRPr="00205340">
              <w:rPr>
                <w:rFonts w:cstheme="minorHAnsi"/>
              </w:rPr>
              <w:t>-</w:t>
            </w:r>
          </w:p>
        </w:tc>
      </w:tr>
      <w:tr w:rsidR="00D94D37" w:rsidRPr="00205340" w14:paraId="5291DA59" w14:textId="77777777" w:rsidTr="004C2816">
        <w:tc>
          <w:tcPr>
            <w:tcW w:w="1426" w:type="pct"/>
          </w:tcPr>
          <w:p w14:paraId="0CF80096" w14:textId="487A29E2" w:rsidR="00096056" w:rsidRPr="00205340" w:rsidRDefault="00096056">
            <w:pPr>
              <w:pStyle w:val="TableText"/>
              <w:rPr>
                <w:rFonts w:cstheme="minorHAnsi"/>
              </w:rPr>
            </w:pPr>
            <w:r w:rsidRPr="00205340">
              <w:rPr>
                <w:rFonts w:cstheme="minorHAnsi"/>
              </w:rPr>
              <w:t>p-</w:t>
            </w:r>
            <w:proofErr w:type="spellStart"/>
            <w:r w:rsidRPr="00205340">
              <w:rPr>
                <w:rFonts w:cstheme="minorHAnsi"/>
              </w:rPr>
              <w:t>value</w:t>
            </w:r>
            <w:r w:rsidR="007E20E2" w:rsidRPr="00205340">
              <w:rPr>
                <w:rFonts w:cstheme="minorHAnsi"/>
                <w:vertAlign w:val="superscript"/>
              </w:rPr>
              <w:t>e</w:t>
            </w:r>
            <w:proofErr w:type="spellEnd"/>
          </w:p>
        </w:tc>
        <w:tc>
          <w:tcPr>
            <w:tcW w:w="1749" w:type="pct"/>
            <w:gridSpan w:val="2"/>
            <w:vAlign w:val="center"/>
          </w:tcPr>
          <w:p w14:paraId="213B3D08" w14:textId="77777777" w:rsidR="00096056" w:rsidRPr="00205340" w:rsidRDefault="00096056">
            <w:pPr>
              <w:pStyle w:val="TableText"/>
              <w:jc w:val="center"/>
              <w:rPr>
                <w:rFonts w:cstheme="minorHAnsi"/>
              </w:rPr>
            </w:pPr>
            <w:r w:rsidRPr="00205340">
              <w:rPr>
                <w:rFonts w:cstheme="minorHAnsi"/>
              </w:rPr>
              <w:t>0.0376</w:t>
            </w:r>
          </w:p>
        </w:tc>
        <w:tc>
          <w:tcPr>
            <w:tcW w:w="912" w:type="pct"/>
            <w:vAlign w:val="center"/>
          </w:tcPr>
          <w:p w14:paraId="78A11AC5" w14:textId="77777777" w:rsidR="00096056" w:rsidRPr="00205340" w:rsidRDefault="00096056">
            <w:pPr>
              <w:pStyle w:val="TableText"/>
              <w:jc w:val="center"/>
              <w:rPr>
                <w:rFonts w:cstheme="minorHAnsi"/>
              </w:rPr>
            </w:pPr>
            <w:r w:rsidRPr="00205340">
              <w:rPr>
                <w:rFonts w:cstheme="minorHAnsi"/>
              </w:rPr>
              <w:t>-</w:t>
            </w:r>
          </w:p>
        </w:tc>
        <w:tc>
          <w:tcPr>
            <w:tcW w:w="913" w:type="pct"/>
            <w:vAlign w:val="center"/>
          </w:tcPr>
          <w:p w14:paraId="578CE09D" w14:textId="77777777" w:rsidR="00096056" w:rsidRPr="00205340" w:rsidRDefault="00096056">
            <w:pPr>
              <w:pStyle w:val="TableText"/>
              <w:jc w:val="center"/>
              <w:rPr>
                <w:rFonts w:cstheme="minorHAnsi"/>
              </w:rPr>
            </w:pPr>
            <w:r w:rsidRPr="00205340">
              <w:rPr>
                <w:rFonts w:cstheme="minorHAnsi"/>
              </w:rPr>
              <w:t>-</w:t>
            </w:r>
          </w:p>
        </w:tc>
      </w:tr>
      <w:tr w:rsidR="00D94D37" w:rsidRPr="00205340" w14:paraId="7800F792" w14:textId="77777777" w:rsidTr="004C2816">
        <w:tc>
          <w:tcPr>
            <w:tcW w:w="1426" w:type="pct"/>
          </w:tcPr>
          <w:p w14:paraId="40727714" w14:textId="1A79D01A" w:rsidR="00096056" w:rsidRPr="00205340" w:rsidRDefault="00096056">
            <w:pPr>
              <w:pStyle w:val="TableText"/>
              <w:rPr>
                <w:rFonts w:cstheme="minorHAnsi"/>
              </w:rPr>
            </w:pPr>
            <w:r w:rsidRPr="00205340">
              <w:rPr>
                <w:rFonts w:cstheme="minorHAnsi"/>
              </w:rPr>
              <w:t xml:space="preserve">% reduction from OP (95% </w:t>
            </w:r>
            <w:proofErr w:type="gramStart"/>
            <w:r w:rsidRPr="00205340">
              <w:rPr>
                <w:rFonts w:cstheme="minorHAnsi"/>
              </w:rPr>
              <w:t>CI)</w:t>
            </w:r>
            <w:r w:rsidR="007E20E2" w:rsidRPr="00205340">
              <w:rPr>
                <w:rFonts w:cstheme="minorHAnsi"/>
                <w:vertAlign w:val="superscript"/>
              </w:rPr>
              <w:t>f</w:t>
            </w:r>
            <w:proofErr w:type="gramEnd"/>
          </w:p>
        </w:tc>
        <w:tc>
          <w:tcPr>
            <w:tcW w:w="1749" w:type="pct"/>
            <w:gridSpan w:val="2"/>
            <w:vAlign w:val="center"/>
          </w:tcPr>
          <w:p w14:paraId="024EFF94" w14:textId="77777777" w:rsidR="00096056" w:rsidRPr="00205340" w:rsidRDefault="00096056">
            <w:pPr>
              <w:pStyle w:val="TableText"/>
              <w:jc w:val="center"/>
              <w:rPr>
                <w:rFonts w:cstheme="minorHAnsi"/>
              </w:rPr>
            </w:pPr>
            <w:r w:rsidRPr="00205340">
              <w:rPr>
                <w:rFonts w:cstheme="minorHAnsi"/>
              </w:rPr>
              <w:t>35.2 (5.6, 55.6)</w:t>
            </w:r>
          </w:p>
        </w:tc>
        <w:tc>
          <w:tcPr>
            <w:tcW w:w="912" w:type="pct"/>
            <w:vAlign w:val="center"/>
          </w:tcPr>
          <w:p w14:paraId="2BAF84EB" w14:textId="77777777" w:rsidR="00096056" w:rsidRPr="00205340" w:rsidRDefault="00096056">
            <w:pPr>
              <w:pStyle w:val="TableText"/>
              <w:jc w:val="center"/>
              <w:rPr>
                <w:rFonts w:cstheme="minorHAnsi"/>
              </w:rPr>
            </w:pPr>
            <w:r w:rsidRPr="00205340">
              <w:rPr>
                <w:rFonts w:cstheme="minorHAnsi"/>
              </w:rPr>
              <w:t>-</w:t>
            </w:r>
          </w:p>
        </w:tc>
        <w:tc>
          <w:tcPr>
            <w:tcW w:w="913" w:type="pct"/>
            <w:vAlign w:val="center"/>
          </w:tcPr>
          <w:p w14:paraId="078AEF0A" w14:textId="77777777" w:rsidR="00096056" w:rsidRPr="00205340" w:rsidRDefault="00096056">
            <w:pPr>
              <w:pStyle w:val="TableText"/>
              <w:jc w:val="center"/>
              <w:rPr>
                <w:rFonts w:cstheme="minorHAnsi"/>
              </w:rPr>
            </w:pPr>
            <w:r w:rsidRPr="00205340">
              <w:rPr>
                <w:rFonts w:cstheme="minorHAnsi"/>
              </w:rPr>
              <w:t>-</w:t>
            </w:r>
          </w:p>
        </w:tc>
      </w:tr>
    </w:tbl>
    <w:p w14:paraId="6805866A" w14:textId="77777777" w:rsidR="004C2816" w:rsidRPr="00205340" w:rsidRDefault="004C2816" w:rsidP="004C2816">
      <w:pPr>
        <w:spacing w:before="0" w:after="0" w:line="240" w:lineRule="auto"/>
        <w:rPr>
          <w:rFonts w:ascii="Arial Narrow" w:hAnsi="Arial Narrow"/>
          <w:sz w:val="18"/>
          <w:szCs w:val="18"/>
        </w:rPr>
      </w:pPr>
      <w:r w:rsidRPr="00205340">
        <w:rPr>
          <w:rFonts w:ascii="Arial Narrow" w:hAnsi="Arial Narrow"/>
          <w:sz w:val="18"/>
          <w:szCs w:val="18"/>
        </w:rPr>
        <w:t>Source: ADAR 1806, Table 24; BASIS CSR interim report body, Table 24</w:t>
      </w:r>
    </w:p>
    <w:p w14:paraId="58268AEF" w14:textId="05FB0CD7" w:rsidR="00096056" w:rsidRPr="00205340" w:rsidRDefault="00096056" w:rsidP="00E822E6">
      <w:pPr>
        <w:spacing w:after="120"/>
        <w:rPr>
          <w:rFonts w:ascii="Arial Narrow" w:hAnsi="Arial Narrow"/>
          <w:sz w:val="18"/>
          <w:szCs w:val="18"/>
        </w:rPr>
      </w:pPr>
      <w:r w:rsidRPr="00205340">
        <w:rPr>
          <w:rFonts w:ascii="Arial Narrow" w:hAnsi="Arial Narrow"/>
          <w:sz w:val="18"/>
          <w:szCs w:val="18"/>
        </w:rPr>
        <w:t xml:space="preserve">ABR = annualised bleeding rate; ATP = active treatment phase; CI = confidence interval; </w:t>
      </w:r>
      <w:r w:rsidR="000A0571" w:rsidRPr="00205340">
        <w:rPr>
          <w:rFonts w:ascii="Arial Narrow" w:hAnsi="Arial Narrow"/>
          <w:sz w:val="18"/>
          <w:szCs w:val="18"/>
        </w:rPr>
        <w:t xml:space="preserve">CSR = clinical study report; </w:t>
      </w:r>
      <w:proofErr w:type="spellStart"/>
      <w:r w:rsidRPr="00205340">
        <w:rPr>
          <w:rFonts w:ascii="Arial Narrow" w:hAnsi="Arial Narrow"/>
          <w:sz w:val="18"/>
          <w:szCs w:val="18"/>
        </w:rPr>
        <w:t>mITT</w:t>
      </w:r>
      <w:proofErr w:type="spellEnd"/>
      <w:r w:rsidRPr="00205340">
        <w:rPr>
          <w:rFonts w:ascii="Arial Narrow" w:hAnsi="Arial Narrow"/>
          <w:sz w:val="18"/>
          <w:szCs w:val="18"/>
        </w:rPr>
        <w:t xml:space="preserve"> = modified intention-to-treat; OP = observational phase; SD = standard deviation</w:t>
      </w:r>
    </w:p>
    <w:p w14:paraId="59ACC611" w14:textId="534B85BF" w:rsidR="00096056" w:rsidRPr="00205340" w:rsidRDefault="007E20E2" w:rsidP="007E20E2">
      <w:pPr>
        <w:spacing w:before="0" w:after="0" w:line="240" w:lineRule="auto"/>
        <w:rPr>
          <w:rFonts w:ascii="Arial Narrow" w:hAnsi="Arial Narrow"/>
          <w:sz w:val="18"/>
          <w:szCs w:val="18"/>
        </w:rPr>
      </w:pPr>
      <w:r w:rsidRPr="00205340">
        <w:rPr>
          <w:rFonts w:ascii="Arial Narrow" w:hAnsi="Arial Narrow"/>
          <w:sz w:val="18"/>
          <w:szCs w:val="18"/>
          <w:vertAlign w:val="superscript"/>
        </w:rPr>
        <w:t>a</w:t>
      </w:r>
      <w:r w:rsidR="00096056" w:rsidRPr="00205340">
        <w:rPr>
          <w:rFonts w:ascii="Arial Narrow" w:hAnsi="Arial Narrow"/>
          <w:sz w:val="18"/>
          <w:szCs w:val="18"/>
        </w:rPr>
        <w:t xml:space="preserve"> ABR refers to annualised bleeding rate calculated as the number of bleeds requiring treatment</w:t>
      </w:r>
      <w:proofErr w:type="gramStart"/>
      <w:r w:rsidR="00096056" w:rsidRPr="00205340">
        <w:rPr>
          <w:rFonts w:ascii="Arial Narrow" w:hAnsi="Arial Narrow"/>
          <w:sz w:val="18"/>
          <w:szCs w:val="18"/>
        </w:rPr>
        <w:t>/(</w:t>
      </w:r>
      <w:proofErr w:type="gramEnd"/>
      <w:r w:rsidR="00096056" w:rsidRPr="00205340">
        <w:rPr>
          <w:rFonts w:ascii="Arial Narrow" w:hAnsi="Arial Narrow"/>
          <w:sz w:val="18"/>
          <w:szCs w:val="18"/>
        </w:rPr>
        <w:t>days on treatment period /365.25). If a participant did not complete a treatment period, the days on treatment ended at the last dosing date + 6 days.</w:t>
      </w:r>
    </w:p>
    <w:p w14:paraId="543772CF" w14:textId="0217B613" w:rsidR="00096056" w:rsidRPr="00205340" w:rsidRDefault="007E20E2" w:rsidP="007E20E2">
      <w:pPr>
        <w:autoSpaceDE w:val="0"/>
        <w:autoSpaceDN w:val="0"/>
        <w:adjustRightInd w:val="0"/>
        <w:spacing w:before="0" w:after="0" w:line="240" w:lineRule="auto"/>
        <w:rPr>
          <w:rFonts w:ascii="Arial Narrow" w:hAnsi="Arial Narrow"/>
          <w:sz w:val="18"/>
          <w:szCs w:val="18"/>
        </w:rPr>
      </w:pPr>
      <w:r w:rsidRPr="00205340">
        <w:rPr>
          <w:rFonts w:ascii="Arial Narrow" w:hAnsi="Arial Narrow"/>
          <w:sz w:val="18"/>
          <w:szCs w:val="18"/>
          <w:vertAlign w:val="superscript"/>
        </w:rPr>
        <w:t>b</w:t>
      </w:r>
      <w:r w:rsidR="00096056" w:rsidRPr="00205340">
        <w:rPr>
          <w:rFonts w:ascii="Arial Narrow" w:hAnsi="Arial Narrow"/>
          <w:sz w:val="18"/>
          <w:szCs w:val="18"/>
        </w:rPr>
        <w:t xml:space="preserve"> </w:t>
      </w:r>
      <w:proofErr w:type="spellStart"/>
      <w:r w:rsidR="00096056" w:rsidRPr="00205340">
        <w:rPr>
          <w:rFonts w:ascii="Arial Narrow" w:hAnsi="Arial Narrow"/>
          <w:sz w:val="18"/>
          <w:szCs w:val="18"/>
        </w:rPr>
        <w:t>mITT</w:t>
      </w:r>
      <w:proofErr w:type="spellEnd"/>
      <w:r w:rsidR="00096056" w:rsidRPr="00205340">
        <w:rPr>
          <w:rFonts w:ascii="Arial Narrow" w:hAnsi="Arial Narrow"/>
          <w:sz w:val="18"/>
          <w:szCs w:val="18"/>
        </w:rPr>
        <w:t xml:space="preserve"> set defined as participants who completed the OP and received at least 1 dose of marstacimab in the ATP. Participants who changed from the non-inhibitor cohort to the inhibitor cohort on or before ATP Day -7 testing were excluded.</w:t>
      </w:r>
    </w:p>
    <w:p w14:paraId="6E3C59F8" w14:textId="60668038" w:rsidR="00096056" w:rsidRPr="00205340" w:rsidRDefault="007E20E2" w:rsidP="007E20E2">
      <w:pPr>
        <w:spacing w:before="0" w:after="0" w:line="240" w:lineRule="auto"/>
        <w:rPr>
          <w:rFonts w:ascii="Arial Narrow" w:hAnsi="Arial Narrow"/>
          <w:sz w:val="18"/>
          <w:szCs w:val="18"/>
        </w:rPr>
      </w:pPr>
      <w:r w:rsidRPr="00205340">
        <w:rPr>
          <w:rFonts w:ascii="Arial Narrow" w:hAnsi="Arial Narrow"/>
          <w:sz w:val="18"/>
          <w:szCs w:val="18"/>
          <w:vertAlign w:val="superscript"/>
        </w:rPr>
        <w:t>c</w:t>
      </w:r>
      <w:r w:rsidR="00096056" w:rsidRPr="00205340">
        <w:rPr>
          <w:rFonts w:ascii="Arial Narrow" w:hAnsi="Arial Narrow"/>
          <w:sz w:val="18"/>
          <w:szCs w:val="18"/>
        </w:rPr>
        <w:t xml:space="preserve"> Based on a repeated measure negative binomial regression model via generali</w:t>
      </w:r>
      <w:r w:rsidR="00125024" w:rsidRPr="00205340">
        <w:rPr>
          <w:rFonts w:ascii="Arial Narrow" w:hAnsi="Arial Narrow"/>
          <w:sz w:val="18"/>
          <w:szCs w:val="18"/>
        </w:rPr>
        <w:t>s</w:t>
      </w:r>
      <w:r w:rsidR="00096056" w:rsidRPr="00205340">
        <w:rPr>
          <w:rFonts w:ascii="Arial Narrow" w:hAnsi="Arial Narrow"/>
          <w:sz w:val="18"/>
          <w:szCs w:val="18"/>
        </w:rPr>
        <w:t>ed estimating equation approach with identity link function, the working correlation was set as unstructured. The model used the number of bleeds as a response variable, and duration (in years) and the interaction by treatment (marstacimab prophylaxis or routine prophylaxis) and duration as factors without intercept.</w:t>
      </w:r>
    </w:p>
    <w:p w14:paraId="1C547914" w14:textId="464F8CD2" w:rsidR="00096056" w:rsidRPr="00205340" w:rsidRDefault="007E20E2" w:rsidP="007E20E2">
      <w:pPr>
        <w:spacing w:before="0" w:after="0" w:line="240" w:lineRule="auto"/>
        <w:rPr>
          <w:rFonts w:ascii="Arial Narrow" w:hAnsi="Arial Narrow"/>
          <w:sz w:val="18"/>
          <w:szCs w:val="18"/>
        </w:rPr>
      </w:pPr>
      <w:r w:rsidRPr="00205340">
        <w:rPr>
          <w:rFonts w:ascii="Arial Narrow" w:hAnsi="Arial Narrow"/>
          <w:sz w:val="18"/>
          <w:szCs w:val="18"/>
          <w:vertAlign w:val="superscript"/>
        </w:rPr>
        <w:t>d</w:t>
      </w:r>
      <w:r w:rsidR="00096056" w:rsidRPr="00205340">
        <w:rPr>
          <w:rFonts w:ascii="Arial Narrow" w:hAnsi="Arial Narrow"/>
          <w:sz w:val="18"/>
          <w:szCs w:val="18"/>
        </w:rPr>
        <w:t xml:space="preserve"> </w:t>
      </w:r>
      <w:proofErr w:type="gramStart"/>
      <w:r w:rsidR="00096056" w:rsidRPr="00205340">
        <w:rPr>
          <w:rFonts w:ascii="Arial Narrow" w:hAnsi="Arial Narrow"/>
          <w:sz w:val="18"/>
          <w:szCs w:val="18"/>
        </w:rPr>
        <w:t>Non-inferiority</w:t>
      </w:r>
      <w:proofErr w:type="gramEnd"/>
      <w:r w:rsidR="00096056" w:rsidRPr="00205340">
        <w:rPr>
          <w:rFonts w:ascii="Arial Narrow" w:hAnsi="Arial Narrow"/>
          <w:sz w:val="18"/>
          <w:szCs w:val="18"/>
        </w:rPr>
        <w:t xml:space="preserve"> of marstacimab prophylaxis is declared when the upper bound </w:t>
      </w:r>
      <w:r w:rsidR="00125024" w:rsidRPr="00205340">
        <w:rPr>
          <w:rFonts w:ascii="Arial Narrow" w:hAnsi="Arial Narrow"/>
          <w:sz w:val="18"/>
          <w:szCs w:val="18"/>
        </w:rPr>
        <w:t xml:space="preserve">of </w:t>
      </w:r>
      <w:r w:rsidR="00096056" w:rsidRPr="00205340">
        <w:rPr>
          <w:rFonts w:ascii="Arial Narrow" w:hAnsi="Arial Narrow"/>
          <w:sz w:val="18"/>
          <w:szCs w:val="18"/>
        </w:rPr>
        <w:t>the 95% CI lies below 2.5. If noninferiority is established, then a testing for superiority is to be conducted. Superiority is declared when the upper bound of the 95% CI lies below 0.</w:t>
      </w:r>
    </w:p>
    <w:p w14:paraId="6FB5C303" w14:textId="693AE26F" w:rsidR="00096056" w:rsidRPr="00205340" w:rsidRDefault="007E20E2" w:rsidP="007E20E2">
      <w:pPr>
        <w:spacing w:before="0" w:after="0" w:line="240" w:lineRule="auto"/>
        <w:rPr>
          <w:rFonts w:ascii="Arial Narrow" w:hAnsi="Arial Narrow"/>
          <w:sz w:val="18"/>
          <w:szCs w:val="18"/>
        </w:rPr>
      </w:pPr>
      <w:r w:rsidRPr="00205340">
        <w:rPr>
          <w:rFonts w:ascii="Arial Narrow" w:hAnsi="Arial Narrow"/>
          <w:sz w:val="18"/>
          <w:szCs w:val="18"/>
          <w:vertAlign w:val="superscript"/>
        </w:rPr>
        <w:t>e</w:t>
      </w:r>
      <w:r w:rsidR="00096056" w:rsidRPr="00205340">
        <w:rPr>
          <w:rFonts w:ascii="Arial Narrow" w:hAnsi="Arial Narrow"/>
          <w:sz w:val="18"/>
          <w:szCs w:val="18"/>
        </w:rPr>
        <w:t xml:space="preserve"> </w:t>
      </w:r>
      <w:r w:rsidRPr="00205340">
        <w:rPr>
          <w:rFonts w:ascii="Arial Narrow" w:hAnsi="Arial Narrow"/>
          <w:sz w:val="18"/>
          <w:szCs w:val="18"/>
        </w:rPr>
        <w:t>p</w:t>
      </w:r>
      <w:r w:rsidR="00096056" w:rsidRPr="00205340">
        <w:rPr>
          <w:rFonts w:ascii="Arial Narrow" w:hAnsi="Arial Narrow"/>
          <w:sz w:val="18"/>
          <w:szCs w:val="18"/>
        </w:rPr>
        <w:t>-value for the null hypothesis of difference=0.</w:t>
      </w:r>
    </w:p>
    <w:p w14:paraId="2B07469F" w14:textId="4A2D5439" w:rsidR="00096056" w:rsidRPr="00205340" w:rsidRDefault="007E20E2" w:rsidP="00E822E6">
      <w:pPr>
        <w:spacing w:before="0" w:after="120" w:line="240" w:lineRule="auto"/>
        <w:rPr>
          <w:rFonts w:ascii="Arial Narrow" w:hAnsi="Arial Narrow"/>
          <w:sz w:val="18"/>
          <w:szCs w:val="18"/>
        </w:rPr>
      </w:pPr>
      <w:r w:rsidRPr="00205340">
        <w:rPr>
          <w:rFonts w:ascii="Arial Narrow" w:hAnsi="Arial Narrow"/>
          <w:sz w:val="18"/>
          <w:szCs w:val="18"/>
          <w:vertAlign w:val="superscript"/>
        </w:rPr>
        <w:t>f</w:t>
      </w:r>
      <w:r w:rsidR="00096056" w:rsidRPr="00205340">
        <w:rPr>
          <w:rFonts w:ascii="Arial Narrow" w:hAnsi="Arial Narrow"/>
          <w:sz w:val="18"/>
          <w:szCs w:val="18"/>
        </w:rPr>
        <w:t xml:space="preserve"> Supplemental statistics derived as (1-</w:t>
      </w:r>
      <w:proofErr w:type="gramStart"/>
      <w:r w:rsidR="00096056" w:rsidRPr="00205340">
        <w:rPr>
          <w:rFonts w:ascii="Arial Narrow" w:hAnsi="Arial Narrow"/>
          <w:sz w:val="18"/>
          <w:szCs w:val="18"/>
        </w:rPr>
        <w:t>ratio)*</w:t>
      </w:r>
      <w:proofErr w:type="gramEnd"/>
      <w:r w:rsidR="00096056" w:rsidRPr="00205340">
        <w:rPr>
          <w:rFonts w:ascii="Arial Narrow" w:hAnsi="Arial Narrow"/>
          <w:sz w:val="18"/>
          <w:szCs w:val="18"/>
        </w:rPr>
        <w:t>100; The ratio and 95% CI were obtained from a repeated measure negative binomial regression model via generali</w:t>
      </w:r>
      <w:r w:rsidR="00125024" w:rsidRPr="00205340">
        <w:rPr>
          <w:rFonts w:ascii="Arial Narrow" w:hAnsi="Arial Narrow"/>
          <w:sz w:val="18"/>
          <w:szCs w:val="18"/>
        </w:rPr>
        <w:t>s</w:t>
      </w:r>
      <w:r w:rsidR="00096056" w:rsidRPr="00205340">
        <w:rPr>
          <w:rFonts w:ascii="Arial Narrow" w:hAnsi="Arial Narrow"/>
          <w:sz w:val="18"/>
          <w:szCs w:val="18"/>
        </w:rPr>
        <w:t>ed estimating equation approach with log link function. The working correlation was set as unstructured. The model used the number of bleeds as a response variable, treatment (marstacimab prophylaxis or routine prophylaxis) as a factor, and log time on treatment as an offset variable to account for different duration on treatment.</w:t>
      </w:r>
    </w:p>
    <w:p w14:paraId="285286F5" w14:textId="0E542963" w:rsidR="006A0BE8" w:rsidRPr="00205340" w:rsidRDefault="0024172D" w:rsidP="0024172D">
      <w:pPr>
        <w:pStyle w:val="Heading4"/>
      </w:pPr>
      <w:r w:rsidRPr="00205340">
        <w:lastRenderedPageBreak/>
        <w:t>Factor replacement consumption</w:t>
      </w:r>
    </w:p>
    <w:p w14:paraId="11AEE879" w14:textId="0941C779" w:rsidR="00072169" w:rsidRPr="00205340" w:rsidRDefault="00072169" w:rsidP="00072169">
      <w:r w:rsidRPr="00205340">
        <w:t xml:space="preserve">Factor consumption was included as an </w:t>
      </w:r>
      <w:r w:rsidR="007C1EE1" w:rsidRPr="00205340">
        <w:t>e</w:t>
      </w:r>
      <w:r w:rsidRPr="00205340">
        <w:t>xploratory outcome in the ADAR and the BASIS</w:t>
      </w:r>
      <w:r w:rsidR="00D12CCF" w:rsidRPr="00205340">
        <w:t xml:space="preserve"> / BASIS LTE</w:t>
      </w:r>
      <w:r w:rsidRPr="00205340">
        <w:t xml:space="preserve"> trial</w:t>
      </w:r>
      <w:r w:rsidR="00D12CCF" w:rsidRPr="00205340">
        <w:t>s (see</w:t>
      </w:r>
      <w:r w:rsidR="00F04910" w:rsidRPr="00205340">
        <w:t xml:space="preserve"> </w:t>
      </w:r>
      <w:r w:rsidR="00F04910" w:rsidRPr="00205340">
        <w:fldChar w:fldCharType="begin" w:fldLock="1"/>
      </w:r>
      <w:r w:rsidR="00F04910" w:rsidRPr="00205340">
        <w:instrText xml:space="preserve"> REF _Ref227156833 \h </w:instrText>
      </w:r>
      <w:r w:rsidR="00205340">
        <w:instrText xml:space="preserve"> \* MERGEFORMAT </w:instrText>
      </w:r>
      <w:r w:rsidR="00F04910" w:rsidRPr="00205340">
        <w:fldChar w:fldCharType="separate"/>
      </w:r>
      <w:r w:rsidR="00F04910" w:rsidRPr="00205340">
        <w:t xml:space="preserve">Table </w:t>
      </w:r>
      <w:r w:rsidR="00F04910" w:rsidRPr="00205340">
        <w:rPr>
          <w:noProof/>
        </w:rPr>
        <w:t>10</w:t>
      </w:r>
      <w:r w:rsidR="00F04910" w:rsidRPr="00205340">
        <w:fldChar w:fldCharType="end"/>
      </w:r>
      <w:r w:rsidR="00A307AC" w:rsidRPr="00205340">
        <w:t>).</w:t>
      </w:r>
    </w:p>
    <w:p w14:paraId="62CA1335" w14:textId="175AF5AB" w:rsidR="007F0511" w:rsidRPr="00205340" w:rsidRDefault="007F0511" w:rsidP="007F0511">
      <w:pPr>
        <w:jc w:val="both"/>
      </w:pPr>
      <w:r w:rsidRPr="00205340">
        <w:t xml:space="preserve">For the prior </w:t>
      </w:r>
      <w:r w:rsidR="00125024" w:rsidRPr="00205340">
        <w:t xml:space="preserve">factor </w:t>
      </w:r>
      <w:r w:rsidRPr="00205340">
        <w:t xml:space="preserve">prophylaxis group, </w:t>
      </w:r>
      <w:r w:rsidR="007C1EE1" w:rsidRPr="00205340">
        <w:t xml:space="preserve">annualised </w:t>
      </w:r>
      <w:r w:rsidRPr="00205340">
        <w:t>mean total factor replacement consumption was 248,871 IU during the OP and 16,246 IU during the marstacimab ATP</w:t>
      </w:r>
      <w:r w:rsidR="00C415EC" w:rsidRPr="00205340">
        <w:t>.</w:t>
      </w:r>
    </w:p>
    <w:p w14:paraId="7D4FB22A" w14:textId="05C1FCC3" w:rsidR="007F0511" w:rsidRPr="00205340" w:rsidRDefault="007F0511" w:rsidP="007F0511">
      <w:pPr>
        <w:jc w:val="both"/>
      </w:pPr>
      <w:r w:rsidRPr="00205340">
        <w:t xml:space="preserve">At the time of the interim analysis of the BASIS LTE, </w:t>
      </w:r>
      <w:r w:rsidR="00C415EC" w:rsidRPr="00205340">
        <w:t xml:space="preserve">the annualised </w:t>
      </w:r>
      <w:r w:rsidRPr="00205340">
        <w:t xml:space="preserve">mean total factor consumption was 7,529 IU in the prior prophylaxis group, </w:t>
      </w:r>
      <w:r w:rsidR="00C415EC" w:rsidRPr="00205340">
        <w:t xml:space="preserve">consistent with </w:t>
      </w:r>
      <w:r w:rsidR="00125024" w:rsidRPr="00205340">
        <w:t xml:space="preserve">a </w:t>
      </w:r>
      <w:r w:rsidR="00C415EC" w:rsidRPr="00205340">
        <w:t>further</w:t>
      </w:r>
      <w:r w:rsidRPr="00205340">
        <w:t xml:space="preserve"> reduction in overall factor consumption</w:t>
      </w:r>
      <w:r w:rsidR="00A307AC" w:rsidRPr="00205340">
        <w:t>.</w:t>
      </w:r>
    </w:p>
    <w:p w14:paraId="4476C3BF" w14:textId="383653FB" w:rsidR="00604647" w:rsidRPr="00205340" w:rsidRDefault="00604647" w:rsidP="00604647">
      <w:pPr>
        <w:pStyle w:val="Caption"/>
      </w:pPr>
      <w:bookmarkStart w:id="42" w:name="_Ref227156833"/>
      <w:r w:rsidRPr="00205340">
        <w:t xml:space="preserve">Table </w:t>
      </w:r>
      <w:fldSimple w:instr=" SEQ Table \* ARABIC ">
        <w:r w:rsidR="002C6A9B" w:rsidRPr="00205340">
          <w:rPr>
            <w:noProof/>
          </w:rPr>
          <w:t>10</w:t>
        </w:r>
      </w:fldSimple>
      <w:bookmarkEnd w:id="42"/>
      <w:r w:rsidRPr="00205340">
        <w:t xml:space="preserve"> Annualised factor replacement consumption during the factor prophylaxis OP and marstacimab ATP in the BASIS trial and during marstacimab treatment for the BASIS LTE (interim results)</w:t>
      </w:r>
    </w:p>
    <w:tbl>
      <w:tblPr>
        <w:tblStyle w:val="TableGrid"/>
        <w:tblW w:w="0" w:type="auto"/>
        <w:tblLook w:val="04A0" w:firstRow="1" w:lastRow="0" w:firstColumn="1" w:lastColumn="0" w:noHBand="0" w:noVBand="1"/>
      </w:tblPr>
      <w:tblGrid>
        <w:gridCol w:w="1503"/>
        <w:gridCol w:w="1569"/>
        <w:gridCol w:w="1411"/>
        <w:gridCol w:w="2033"/>
        <w:gridCol w:w="2268"/>
      </w:tblGrid>
      <w:tr w:rsidR="004D521D" w:rsidRPr="00205340" w14:paraId="5783DF20" w14:textId="77777777" w:rsidTr="00683A1C">
        <w:tc>
          <w:tcPr>
            <w:tcW w:w="1503" w:type="dxa"/>
          </w:tcPr>
          <w:p w14:paraId="296054B1" w14:textId="77777777" w:rsidR="00683A1C" w:rsidRPr="00205340" w:rsidRDefault="00683A1C">
            <w:pPr>
              <w:spacing w:after="120"/>
              <w:rPr>
                <w:rFonts w:ascii="Arial Narrow" w:hAnsi="Arial Narrow" w:cstheme="minorHAnsi"/>
                <w:b/>
                <w:bCs/>
                <w:sz w:val="20"/>
                <w:szCs w:val="20"/>
              </w:rPr>
            </w:pPr>
            <w:r w:rsidRPr="00205340">
              <w:rPr>
                <w:rFonts w:ascii="Arial Narrow" w:hAnsi="Arial Narrow" w:cstheme="minorHAnsi"/>
                <w:b/>
                <w:bCs/>
                <w:sz w:val="20"/>
                <w:szCs w:val="20"/>
              </w:rPr>
              <w:t>Outcome</w:t>
            </w:r>
          </w:p>
        </w:tc>
        <w:tc>
          <w:tcPr>
            <w:tcW w:w="1569" w:type="dxa"/>
          </w:tcPr>
          <w:p w14:paraId="738DB478" w14:textId="77777777" w:rsidR="00683A1C" w:rsidRPr="00205340" w:rsidRDefault="00683A1C">
            <w:pPr>
              <w:pStyle w:val="TableText"/>
              <w:spacing w:before="120" w:after="120"/>
              <w:rPr>
                <w:rFonts w:cstheme="minorHAnsi"/>
                <w:b/>
                <w:bCs/>
                <w:kern w:val="2"/>
                <w:szCs w:val="20"/>
                <w:lang w:eastAsia="en-AU"/>
                <w14:ligatures w14:val="standardContextual"/>
              </w:rPr>
            </w:pPr>
            <w:r w:rsidRPr="00205340">
              <w:rPr>
                <w:rFonts w:cstheme="minorHAnsi"/>
                <w:b/>
                <w:bCs/>
                <w:kern w:val="2"/>
                <w:szCs w:val="20"/>
                <w:lang w:eastAsia="en-AU"/>
                <w14:ligatures w14:val="standardContextual"/>
              </w:rPr>
              <w:t>Factor Prophylaxis OP</w:t>
            </w:r>
          </w:p>
          <w:p w14:paraId="1E515156" w14:textId="77777777" w:rsidR="00683A1C" w:rsidRPr="00205340" w:rsidRDefault="00683A1C">
            <w:pPr>
              <w:spacing w:after="120"/>
              <w:rPr>
                <w:rFonts w:ascii="Arial Narrow" w:hAnsi="Arial Narrow" w:cstheme="minorHAnsi"/>
                <w:b/>
                <w:bCs/>
                <w:sz w:val="20"/>
                <w:szCs w:val="20"/>
              </w:rPr>
            </w:pPr>
            <w:r w:rsidRPr="00205340">
              <w:rPr>
                <w:rFonts w:ascii="Arial Narrow" w:hAnsi="Arial Narrow" w:cstheme="minorHAnsi"/>
                <w:b/>
                <w:bCs/>
                <w:sz w:val="20"/>
                <w:szCs w:val="20"/>
              </w:rPr>
              <w:t>N=83</w:t>
            </w:r>
          </w:p>
        </w:tc>
        <w:tc>
          <w:tcPr>
            <w:tcW w:w="1411" w:type="dxa"/>
          </w:tcPr>
          <w:p w14:paraId="30AA1FE4" w14:textId="77777777" w:rsidR="00683A1C" w:rsidRPr="00205340" w:rsidRDefault="00683A1C">
            <w:pPr>
              <w:pStyle w:val="TableText"/>
              <w:spacing w:before="120" w:after="120"/>
              <w:rPr>
                <w:rFonts w:cstheme="minorHAnsi"/>
                <w:b/>
                <w:bCs/>
                <w:kern w:val="2"/>
                <w:szCs w:val="20"/>
                <w:lang w:eastAsia="en-AU"/>
                <w14:ligatures w14:val="standardContextual"/>
              </w:rPr>
            </w:pPr>
            <w:r w:rsidRPr="00205340">
              <w:rPr>
                <w:rFonts w:cstheme="minorHAnsi"/>
                <w:b/>
                <w:bCs/>
                <w:kern w:val="2"/>
                <w:szCs w:val="20"/>
                <w:lang w:eastAsia="en-AU"/>
                <w14:ligatures w14:val="standardContextual"/>
              </w:rPr>
              <w:t>Marstacimab ATP</w:t>
            </w:r>
          </w:p>
          <w:p w14:paraId="09964AE5" w14:textId="77777777" w:rsidR="00683A1C" w:rsidRPr="00205340" w:rsidRDefault="00683A1C">
            <w:pPr>
              <w:spacing w:after="120"/>
              <w:rPr>
                <w:rFonts w:ascii="Arial Narrow" w:hAnsi="Arial Narrow" w:cstheme="minorHAnsi"/>
                <w:b/>
                <w:bCs/>
                <w:sz w:val="20"/>
                <w:szCs w:val="20"/>
              </w:rPr>
            </w:pPr>
            <w:r w:rsidRPr="00205340">
              <w:rPr>
                <w:rFonts w:ascii="Arial Narrow" w:hAnsi="Arial Narrow" w:cstheme="minorHAnsi"/>
                <w:b/>
                <w:bCs/>
                <w:sz w:val="20"/>
                <w:szCs w:val="20"/>
              </w:rPr>
              <w:t>N=83</w:t>
            </w:r>
          </w:p>
        </w:tc>
        <w:tc>
          <w:tcPr>
            <w:tcW w:w="2033" w:type="dxa"/>
          </w:tcPr>
          <w:p w14:paraId="65C3D73B" w14:textId="77777777" w:rsidR="00683A1C" w:rsidRPr="00205340" w:rsidRDefault="00683A1C">
            <w:pPr>
              <w:spacing w:after="120"/>
              <w:rPr>
                <w:rFonts w:ascii="Arial Narrow" w:hAnsi="Arial Narrow" w:cstheme="minorHAnsi"/>
                <w:b/>
                <w:bCs/>
                <w:sz w:val="20"/>
                <w:szCs w:val="20"/>
              </w:rPr>
            </w:pPr>
            <w:r w:rsidRPr="00205340">
              <w:rPr>
                <w:rFonts w:ascii="Arial Narrow" w:hAnsi="Arial Narrow" w:cstheme="minorHAnsi"/>
                <w:b/>
                <w:bCs/>
                <w:sz w:val="20"/>
                <w:szCs w:val="20"/>
              </w:rPr>
              <w:t>Marstacimab LTE</w:t>
            </w:r>
          </w:p>
          <w:p w14:paraId="2524DA70" w14:textId="77777777" w:rsidR="00683A1C" w:rsidRPr="00205340" w:rsidRDefault="00683A1C">
            <w:pPr>
              <w:spacing w:after="120"/>
              <w:rPr>
                <w:rFonts w:ascii="Arial Narrow" w:hAnsi="Arial Narrow" w:cstheme="minorHAnsi"/>
                <w:b/>
                <w:bCs/>
                <w:sz w:val="20"/>
                <w:szCs w:val="20"/>
              </w:rPr>
            </w:pPr>
            <w:r w:rsidRPr="00205340">
              <w:rPr>
                <w:rFonts w:ascii="Arial Narrow" w:hAnsi="Arial Narrow" w:cstheme="minorHAnsi"/>
                <w:b/>
                <w:bCs/>
                <w:sz w:val="20"/>
                <w:szCs w:val="20"/>
              </w:rPr>
              <w:t>(Interim CSR)</w:t>
            </w:r>
          </w:p>
          <w:p w14:paraId="11DCB2A9" w14:textId="77777777" w:rsidR="00683A1C" w:rsidRPr="00205340" w:rsidRDefault="00683A1C">
            <w:pPr>
              <w:spacing w:after="120"/>
              <w:rPr>
                <w:rFonts w:ascii="Arial Narrow" w:hAnsi="Arial Narrow" w:cstheme="minorHAnsi"/>
                <w:b/>
                <w:bCs/>
                <w:sz w:val="20"/>
                <w:szCs w:val="20"/>
              </w:rPr>
            </w:pPr>
            <w:r w:rsidRPr="00205340">
              <w:rPr>
                <w:rFonts w:ascii="Arial Narrow" w:hAnsi="Arial Narrow" w:cstheme="minorHAnsi"/>
                <w:b/>
                <w:bCs/>
                <w:sz w:val="20"/>
                <w:szCs w:val="20"/>
              </w:rPr>
              <w:t>N=58</w:t>
            </w:r>
          </w:p>
        </w:tc>
        <w:tc>
          <w:tcPr>
            <w:tcW w:w="2268" w:type="dxa"/>
          </w:tcPr>
          <w:p w14:paraId="5ABECB2B" w14:textId="77777777" w:rsidR="00683A1C" w:rsidRPr="00205340" w:rsidRDefault="00683A1C">
            <w:pPr>
              <w:spacing w:after="120"/>
              <w:rPr>
                <w:rFonts w:ascii="Arial Narrow" w:hAnsi="Arial Narrow" w:cstheme="minorHAnsi"/>
                <w:b/>
                <w:bCs/>
                <w:sz w:val="20"/>
                <w:szCs w:val="20"/>
              </w:rPr>
            </w:pPr>
            <w:r w:rsidRPr="00205340">
              <w:rPr>
                <w:rFonts w:ascii="Arial Narrow" w:hAnsi="Arial Narrow" w:cstheme="minorHAnsi"/>
                <w:b/>
                <w:bCs/>
                <w:sz w:val="20"/>
                <w:szCs w:val="20"/>
              </w:rPr>
              <w:t>Difference</w:t>
            </w:r>
          </w:p>
          <w:p w14:paraId="64851F4A" w14:textId="77777777" w:rsidR="00683A1C" w:rsidRPr="00205340" w:rsidRDefault="00683A1C">
            <w:pPr>
              <w:spacing w:after="120"/>
              <w:rPr>
                <w:rFonts w:ascii="Arial Narrow" w:hAnsi="Arial Narrow" w:cstheme="minorHAnsi"/>
                <w:b/>
                <w:bCs/>
                <w:sz w:val="20"/>
                <w:szCs w:val="20"/>
              </w:rPr>
            </w:pPr>
            <w:r w:rsidRPr="00205340">
              <w:rPr>
                <w:rFonts w:ascii="Arial Narrow" w:hAnsi="Arial Narrow" w:cstheme="minorHAnsi"/>
                <w:b/>
                <w:bCs/>
                <w:sz w:val="20"/>
                <w:szCs w:val="20"/>
              </w:rPr>
              <w:t>(95% CI)</w:t>
            </w:r>
          </w:p>
          <w:p w14:paraId="620E3E96" w14:textId="77777777" w:rsidR="00683A1C" w:rsidRPr="00205340" w:rsidRDefault="00683A1C">
            <w:pPr>
              <w:spacing w:after="120"/>
              <w:rPr>
                <w:rFonts w:ascii="Arial Narrow" w:hAnsi="Arial Narrow" w:cstheme="minorHAnsi"/>
                <w:b/>
                <w:bCs/>
                <w:sz w:val="20"/>
                <w:szCs w:val="20"/>
              </w:rPr>
            </w:pPr>
            <w:r w:rsidRPr="00205340">
              <w:rPr>
                <w:rFonts w:ascii="Arial Narrow" w:hAnsi="Arial Narrow" w:cstheme="minorHAnsi"/>
                <w:b/>
                <w:bCs/>
                <w:sz w:val="20"/>
                <w:szCs w:val="20"/>
              </w:rPr>
              <w:t>p-value</w:t>
            </w:r>
          </w:p>
        </w:tc>
      </w:tr>
      <w:tr w:rsidR="004D521D" w:rsidRPr="00205340" w14:paraId="58A93177" w14:textId="77777777" w:rsidTr="00683A1C">
        <w:tc>
          <w:tcPr>
            <w:tcW w:w="1503" w:type="dxa"/>
          </w:tcPr>
          <w:p w14:paraId="4A5B81D9" w14:textId="77777777" w:rsidR="00683A1C" w:rsidRPr="00205340" w:rsidRDefault="00683A1C">
            <w:pPr>
              <w:spacing w:after="120"/>
              <w:rPr>
                <w:rFonts w:ascii="Arial Narrow" w:hAnsi="Arial Narrow" w:cstheme="minorHAnsi"/>
                <w:sz w:val="20"/>
                <w:szCs w:val="20"/>
              </w:rPr>
            </w:pPr>
            <w:r w:rsidRPr="00205340">
              <w:rPr>
                <w:rFonts w:ascii="Arial Narrow" w:hAnsi="Arial Narrow" w:cstheme="minorHAnsi"/>
                <w:sz w:val="20"/>
                <w:szCs w:val="20"/>
              </w:rPr>
              <w:t>Factor replacement consumption, total IU (annualised)</w:t>
            </w:r>
          </w:p>
        </w:tc>
        <w:tc>
          <w:tcPr>
            <w:tcW w:w="1569" w:type="dxa"/>
            <w:vAlign w:val="center"/>
          </w:tcPr>
          <w:p w14:paraId="67547404" w14:textId="78F0875E" w:rsidR="00683A1C" w:rsidRPr="00205340" w:rsidRDefault="00683A1C">
            <w:pPr>
              <w:spacing w:after="120"/>
              <w:jc w:val="center"/>
              <w:rPr>
                <w:rFonts w:ascii="Arial Narrow" w:hAnsi="Arial Narrow" w:cstheme="minorHAnsi"/>
                <w:sz w:val="20"/>
                <w:szCs w:val="20"/>
              </w:rPr>
            </w:pPr>
            <w:r w:rsidRPr="00205340">
              <w:rPr>
                <w:rFonts w:ascii="Arial Narrow" w:hAnsi="Arial Narrow" w:cstheme="minorHAnsi"/>
                <w:sz w:val="20"/>
                <w:szCs w:val="20"/>
              </w:rPr>
              <w:t xml:space="preserve">248,871 </w:t>
            </w:r>
          </w:p>
        </w:tc>
        <w:tc>
          <w:tcPr>
            <w:tcW w:w="1411" w:type="dxa"/>
            <w:vAlign w:val="center"/>
          </w:tcPr>
          <w:p w14:paraId="2DF39ABE" w14:textId="3E8618F6" w:rsidR="00683A1C" w:rsidRPr="00205340" w:rsidRDefault="00683A1C">
            <w:pPr>
              <w:spacing w:after="120"/>
              <w:jc w:val="center"/>
              <w:rPr>
                <w:rFonts w:ascii="Arial Narrow" w:hAnsi="Arial Narrow" w:cstheme="minorHAnsi"/>
                <w:sz w:val="20"/>
                <w:szCs w:val="20"/>
              </w:rPr>
            </w:pPr>
            <w:r w:rsidRPr="00205340">
              <w:rPr>
                <w:rFonts w:ascii="Arial Narrow" w:hAnsi="Arial Narrow" w:cstheme="minorHAnsi"/>
                <w:sz w:val="20"/>
                <w:szCs w:val="20"/>
              </w:rPr>
              <w:t xml:space="preserve">16,246 </w:t>
            </w:r>
          </w:p>
        </w:tc>
        <w:tc>
          <w:tcPr>
            <w:tcW w:w="2033" w:type="dxa"/>
            <w:vAlign w:val="center"/>
          </w:tcPr>
          <w:p w14:paraId="758423F7" w14:textId="397859ED" w:rsidR="00683A1C" w:rsidRPr="00205340" w:rsidRDefault="00683A1C">
            <w:pPr>
              <w:spacing w:after="120"/>
              <w:jc w:val="center"/>
              <w:rPr>
                <w:rFonts w:ascii="Arial Narrow" w:hAnsi="Arial Narrow" w:cstheme="minorHAnsi"/>
                <w:sz w:val="20"/>
                <w:szCs w:val="20"/>
              </w:rPr>
            </w:pPr>
            <w:r w:rsidRPr="00205340">
              <w:rPr>
                <w:rFonts w:ascii="Arial Narrow" w:hAnsi="Arial Narrow" w:cstheme="minorHAnsi"/>
                <w:sz w:val="20"/>
                <w:szCs w:val="20"/>
              </w:rPr>
              <w:t xml:space="preserve">7,529 </w:t>
            </w:r>
          </w:p>
        </w:tc>
        <w:tc>
          <w:tcPr>
            <w:tcW w:w="2268" w:type="dxa"/>
            <w:vAlign w:val="center"/>
          </w:tcPr>
          <w:p w14:paraId="6964BCBB" w14:textId="77777777" w:rsidR="00683A1C" w:rsidRPr="00205340" w:rsidRDefault="00683A1C">
            <w:pPr>
              <w:spacing w:after="120"/>
              <w:jc w:val="center"/>
              <w:rPr>
                <w:rFonts w:ascii="Arial Narrow" w:hAnsi="Arial Narrow" w:cstheme="minorHAnsi"/>
                <w:sz w:val="20"/>
                <w:szCs w:val="20"/>
              </w:rPr>
            </w:pPr>
            <w:r w:rsidRPr="00205340">
              <w:rPr>
                <w:rFonts w:ascii="Arial Narrow" w:hAnsi="Arial Narrow" w:cstheme="minorHAnsi"/>
                <w:sz w:val="20"/>
                <w:szCs w:val="20"/>
              </w:rPr>
              <w:t>NR</w:t>
            </w:r>
          </w:p>
        </w:tc>
      </w:tr>
    </w:tbl>
    <w:p w14:paraId="6EBFA74A" w14:textId="12A6503E" w:rsidR="00296087" w:rsidRPr="00205340" w:rsidRDefault="00296087" w:rsidP="00804321">
      <w:pPr>
        <w:spacing w:after="120" w:line="240" w:lineRule="auto"/>
        <w:rPr>
          <w:rFonts w:ascii="Arial Narrow" w:hAnsi="Arial Narrow"/>
          <w:sz w:val="18"/>
          <w:szCs w:val="18"/>
        </w:rPr>
      </w:pPr>
      <w:r w:rsidRPr="00205340">
        <w:rPr>
          <w:rFonts w:ascii="Arial Narrow" w:hAnsi="Arial Narrow"/>
          <w:sz w:val="18"/>
          <w:szCs w:val="18"/>
        </w:rPr>
        <w:t>Source: ADAR 1806, pp. 63, 64</w:t>
      </w:r>
    </w:p>
    <w:p w14:paraId="1B9A8907" w14:textId="73717C3E" w:rsidR="0024172D" w:rsidRPr="00205340" w:rsidRDefault="0024172D" w:rsidP="00291735">
      <w:pPr>
        <w:spacing w:after="120" w:line="240" w:lineRule="auto"/>
        <w:rPr>
          <w:rFonts w:ascii="Arial Narrow" w:hAnsi="Arial Narrow"/>
          <w:sz w:val="18"/>
          <w:szCs w:val="18"/>
        </w:rPr>
      </w:pPr>
      <w:r w:rsidRPr="00205340">
        <w:rPr>
          <w:rFonts w:ascii="Arial Narrow" w:hAnsi="Arial Narrow"/>
          <w:sz w:val="18"/>
          <w:szCs w:val="18"/>
        </w:rPr>
        <w:t>Abbreviations: ATP: active treatment phase; CI: confidence interval;</w:t>
      </w:r>
      <w:r w:rsidR="00F7639C" w:rsidRPr="00205340">
        <w:rPr>
          <w:rFonts w:ascii="Arial Narrow" w:hAnsi="Arial Narrow"/>
          <w:sz w:val="18"/>
          <w:szCs w:val="18"/>
        </w:rPr>
        <w:t xml:space="preserve"> CSR = clinical study report;</w:t>
      </w:r>
      <w:r w:rsidRPr="00205340">
        <w:rPr>
          <w:rFonts w:ascii="Arial Narrow" w:hAnsi="Arial Narrow"/>
          <w:sz w:val="18"/>
          <w:szCs w:val="18"/>
        </w:rPr>
        <w:t xml:space="preserve"> IU = international units; LTE = long-term extension; NR = not reported; OP: observational phase.</w:t>
      </w:r>
    </w:p>
    <w:p w14:paraId="1AE0E967" w14:textId="1011BD21" w:rsidR="00096056" w:rsidRPr="00205340" w:rsidRDefault="00151C26" w:rsidP="00E822E6">
      <w:pPr>
        <w:pStyle w:val="Heading4"/>
      </w:pPr>
      <w:r w:rsidRPr="00205340">
        <w:t>Patient reported outcome</w:t>
      </w:r>
      <w:r w:rsidR="007E05DB" w:rsidRPr="00205340">
        <w:t>s</w:t>
      </w:r>
    </w:p>
    <w:p w14:paraId="7AA4E010" w14:textId="3B8E30D8" w:rsidR="00A02DE4" w:rsidRPr="00205340" w:rsidRDefault="009E0A48" w:rsidP="00F04910">
      <w:pPr>
        <w:spacing w:after="120"/>
      </w:pPr>
      <w:r w:rsidRPr="00205340">
        <w:t xml:space="preserve">Patient reported outcomes (PROs) were reported as </w:t>
      </w:r>
      <w:r w:rsidR="00291735" w:rsidRPr="00205340">
        <w:t xml:space="preserve">combined </w:t>
      </w:r>
      <w:r w:rsidRPr="00205340">
        <w:t>data for HMA and HMB</w:t>
      </w:r>
      <w:r w:rsidR="00156422" w:rsidRPr="00205340">
        <w:t xml:space="preserve">. </w:t>
      </w:r>
      <w:r w:rsidR="00A102A8" w:rsidRPr="00205340">
        <w:t>O</w:t>
      </w:r>
      <w:r w:rsidR="001C0AFC" w:rsidRPr="00205340">
        <w:t xml:space="preserve">nly one included outcome measure for PROs, </w:t>
      </w:r>
      <w:r w:rsidR="0032782E" w:rsidRPr="00205340">
        <w:t>change in</w:t>
      </w:r>
      <w:r w:rsidR="00443849" w:rsidRPr="00205340">
        <w:t xml:space="preserve"> 12-month </w:t>
      </w:r>
      <w:proofErr w:type="spellStart"/>
      <w:r w:rsidR="00443849" w:rsidRPr="00205340">
        <w:t>Haemo</w:t>
      </w:r>
      <w:proofErr w:type="spellEnd"/>
      <w:r w:rsidR="00443849" w:rsidRPr="00205340">
        <w:t>-QoL</w:t>
      </w:r>
      <w:r w:rsidR="00F350D5" w:rsidRPr="00205340">
        <w:t xml:space="preserve"> </w:t>
      </w:r>
      <w:r w:rsidR="0039136F" w:rsidRPr="00205340">
        <w:t>(a questionnaire use</w:t>
      </w:r>
      <w:r w:rsidR="00ED5B87" w:rsidRPr="00205340">
        <w:t>d</w:t>
      </w:r>
      <w:r w:rsidR="0039136F" w:rsidRPr="00205340">
        <w:t xml:space="preserve"> to determine self-reported QoL in adolescents)</w:t>
      </w:r>
      <w:r w:rsidR="00F350D5" w:rsidRPr="00205340">
        <w:t xml:space="preserve"> physical domain score, </w:t>
      </w:r>
      <w:r w:rsidR="00A102A8" w:rsidRPr="00205340">
        <w:t>reached statistical significance</w:t>
      </w:r>
      <w:r w:rsidR="00291735" w:rsidRPr="00205340">
        <w:t xml:space="preserve"> (p&lt;0.05)</w:t>
      </w:r>
      <w:r w:rsidR="00A102A8" w:rsidRPr="00205340">
        <w:t xml:space="preserve">, and no clinically important differences were observed across the </w:t>
      </w:r>
      <w:r w:rsidR="003F6AD2" w:rsidRPr="00205340">
        <w:t xml:space="preserve">other </w:t>
      </w:r>
      <w:r w:rsidR="00A102A8" w:rsidRPr="00205340">
        <w:t>outcome measures considered</w:t>
      </w:r>
      <w:r w:rsidR="00F46A90" w:rsidRPr="00205340">
        <w:t xml:space="preserve"> (</w:t>
      </w:r>
      <w:r w:rsidR="00F04910" w:rsidRPr="00205340">
        <w:fldChar w:fldCharType="begin" w:fldLock="1"/>
      </w:r>
      <w:r w:rsidR="00F04910" w:rsidRPr="00205340">
        <w:instrText xml:space="preserve"> REF _Ref227156860 \h </w:instrText>
      </w:r>
      <w:r w:rsidR="00205340">
        <w:instrText xml:space="preserve"> \* MERGEFORMAT </w:instrText>
      </w:r>
      <w:r w:rsidR="00F04910" w:rsidRPr="00205340">
        <w:fldChar w:fldCharType="separate"/>
      </w:r>
      <w:r w:rsidR="00F04910" w:rsidRPr="00205340">
        <w:t xml:space="preserve">Table </w:t>
      </w:r>
      <w:r w:rsidR="00F04910" w:rsidRPr="00205340">
        <w:rPr>
          <w:noProof/>
        </w:rPr>
        <w:t>11</w:t>
      </w:r>
      <w:r w:rsidR="00F04910" w:rsidRPr="00205340">
        <w:fldChar w:fldCharType="end"/>
      </w:r>
      <w:r w:rsidR="00F46A90" w:rsidRPr="00205340">
        <w:t>)</w:t>
      </w:r>
      <w:r w:rsidR="00A102A8" w:rsidRPr="00205340">
        <w:t>.</w:t>
      </w:r>
    </w:p>
    <w:p w14:paraId="17B79A9C" w14:textId="7676A489" w:rsidR="00F04910" w:rsidRPr="00205340" w:rsidRDefault="00F04910" w:rsidP="00F04910">
      <w:pPr>
        <w:pStyle w:val="Caption"/>
      </w:pPr>
      <w:bookmarkStart w:id="43" w:name="_Ref227156860"/>
      <w:r w:rsidRPr="00205340">
        <w:t xml:space="preserve">Table </w:t>
      </w:r>
      <w:fldSimple w:instr=" SEQ Table \* ARABIC ">
        <w:r w:rsidR="002C6A9B" w:rsidRPr="00205340">
          <w:rPr>
            <w:noProof/>
          </w:rPr>
          <w:t>11</w:t>
        </w:r>
      </w:fldSimple>
      <w:bookmarkEnd w:id="43"/>
      <w:r w:rsidRPr="00205340">
        <w:t xml:space="preserve"> Comparison of PROs for the OP and ATP of the BASIS trial</w:t>
      </w:r>
    </w:p>
    <w:tbl>
      <w:tblPr>
        <w:tblStyle w:val="TableGrid"/>
        <w:tblW w:w="8784" w:type="dxa"/>
        <w:tblLook w:val="04A0" w:firstRow="1" w:lastRow="0" w:firstColumn="1" w:lastColumn="0" w:noHBand="0" w:noVBand="1"/>
      </w:tblPr>
      <w:tblGrid>
        <w:gridCol w:w="2263"/>
        <w:gridCol w:w="1418"/>
        <w:gridCol w:w="1559"/>
        <w:gridCol w:w="1134"/>
        <w:gridCol w:w="963"/>
        <w:gridCol w:w="1447"/>
      </w:tblGrid>
      <w:tr w:rsidR="0065629D" w:rsidRPr="00205340" w14:paraId="0B44C0F0" w14:textId="77777777" w:rsidTr="00000617">
        <w:tc>
          <w:tcPr>
            <w:tcW w:w="2263" w:type="dxa"/>
          </w:tcPr>
          <w:p w14:paraId="13533F4A" w14:textId="77777777" w:rsidR="00176A45" w:rsidRPr="00205340" w:rsidRDefault="00176A45" w:rsidP="005C116D">
            <w:pPr>
              <w:spacing w:before="40" w:after="40"/>
              <w:rPr>
                <w:rFonts w:ascii="Arial Narrow" w:hAnsi="Arial Narrow" w:cstheme="minorHAnsi"/>
                <w:b/>
                <w:bCs/>
                <w:sz w:val="20"/>
                <w:szCs w:val="20"/>
                <w:vertAlign w:val="superscript"/>
              </w:rPr>
            </w:pPr>
            <w:proofErr w:type="spellStart"/>
            <w:r w:rsidRPr="00205340">
              <w:rPr>
                <w:rFonts w:ascii="Arial Narrow" w:hAnsi="Arial Narrow" w:cstheme="minorHAnsi"/>
                <w:b/>
                <w:bCs/>
                <w:sz w:val="20"/>
                <w:szCs w:val="20"/>
              </w:rPr>
              <w:t>Outcome</w:t>
            </w:r>
            <w:r w:rsidRPr="00205340">
              <w:rPr>
                <w:rFonts w:ascii="Arial Narrow" w:hAnsi="Arial Narrow" w:cstheme="minorHAnsi"/>
                <w:b/>
                <w:bCs/>
                <w:sz w:val="20"/>
                <w:szCs w:val="20"/>
                <w:vertAlign w:val="superscript"/>
              </w:rPr>
              <w:t>a</w:t>
            </w:r>
            <w:proofErr w:type="spellEnd"/>
          </w:p>
        </w:tc>
        <w:tc>
          <w:tcPr>
            <w:tcW w:w="1418" w:type="dxa"/>
          </w:tcPr>
          <w:p w14:paraId="7BAFB36D" w14:textId="77777777" w:rsidR="00176A45" w:rsidRPr="00205340" w:rsidRDefault="00176A45" w:rsidP="005C116D">
            <w:pPr>
              <w:pStyle w:val="TableText"/>
              <w:rPr>
                <w:rFonts w:cstheme="minorHAnsi"/>
                <w:b/>
                <w:bCs/>
                <w:kern w:val="2"/>
                <w:szCs w:val="20"/>
                <w:lang w:eastAsia="en-AU"/>
                <w14:ligatures w14:val="standardContextual"/>
              </w:rPr>
            </w:pPr>
            <w:r w:rsidRPr="00205340">
              <w:rPr>
                <w:rFonts w:cstheme="minorHAnsi"/>
                <w:b/>
                <w:bCs/>
                <w:kern w:val="2"/>
                <w:szCs w:val="20"/>
                <w:lang w:eastAsia="en-AU"/>
                <w14:ligatures w14:val="standardContextual"/>
              </w:rPr>
              <w:t>Marstacimab ATP</w:t>
            </w:r>
          </w:p>
          <w:p w14:paraId="1E83499F" w14:textId="77777777" w:rsidR="00176A45" w:rsidRPr="00205340" w:rsidRDefault="00176A45" w:rsidP="005C116D">
            <w:pPr>
              <w:spacing w:before="40" w:after="40"/>
              <w:rPr>
                <w:rFonts w:ascii="Arial Narrow" w:hAnsi="Arial Narrow" w:cstheme="minorHAnsi"/>
                <w:b/>
                <w:bCs/>
                <w:sz w:val="20"/>
                <w:szCs w:val="20"/>
              </w:rPr>
            </w:pPr>
            <w:r w:rsidRPr="00205340">
              <w:rPr>
                <w:rFonts w:ascii="Arial Narrow" w:hAnsi="Arial Narrow" w:cstheme="minorHAnsi"/>
                <w:b/>
                <w:bCs/>
                <w:sz w:val="20"/>
                <w:szCs w:val="20"/>
              </w:rPr>
              <w:t>N=63</w:t>
            </w:r>
          </w:p>
        </w:tc>
        <w:tc>
          <w:tcPr>
            <w:tcW w:w="1559" w:type="dxa"/>
          </w:tcPr>
          <w:p w14:paraId="2DAC1754" w14:textId="77777777" w:rsidR="00176A45" w:rsidRPr="00205340" w:rsidRDefault="00176A45" w:rsidP="005C116D">
            <w:pPr>
              <w:pStyle w:val="TableText"/>
              <w:rPr>
                <w:rFonts w:cstheme="minorHAnsi"/>
                <w:b/>
                <w:bCs/>
                <w:kern w:val="2"/>
                <w:szCs w:val="20"/>
                <w:lang w:eastAsia="en-AU"/>
                <w14:ligatures w14:val="standardContextual"/>
              </w:rPr>
            </w:pPr>
            <w:r w:rsidRPr="00205340">
              <w:rPr>
                <w:rFonts w:cstheme="minorHAnsi"/>
                <w:b/>
                <w:bCs/>
                <w:kern w:val="2"/>
                <w:szCs w:val="20"/>
                <w:lang w:eastAsia="en-AU"/>
                <w14:ligatures w14:val="standardContextual"/>
              </w:rPr>
              <w:t>Factor Prophylaxis OP</w:t>
            </w:r>
          </w:p>
          <w:p w14:paraId="3E07BEB1" w14:textId="77777777" w:rsidR="00176A45" w:rsidRPr="00205340" w:rsidRDefault="00176A45" w:rsidP="005C116D">
            <w:pPr>
              <w:spacing w:before="40" w:after="40"/>
              <w:rPr>
                <w:rFonts w:ascii="Arial Narrow" w:hAnsi="Arial Narrow" w:cstheme="minorHAnsi"/>
                <w:b/>
                <w:bCs/>
                <w:sz w:val="20"/>
                <w:szCs w:val="20"/>
              </w:rPr>
            </w:pPr>
            <w:r w:rsidRPr="00205340">
              <w:rPr>
                <w:rFonts w:ascii="Arial Narrow" w:hAnsi="Arial Narrow" w:cstheme="minorHAnsi"/>
                <w:b/>
                <w:bCs/>
                <w:sz w:val="20"/>
                <w:szCs w:val="20"/>
              </w:rPr>
              <w:t>N=63</w:t>
            </w:r>
          </w:p>
        </w:tc>
        <w:tc>
          <w:tcPr>
            <w:tcW w:w="1134" w:type="dxa"/>
          </w:tcPr>
          <w:p w14:paraId="4A2B6996" w14:textId="1BAE0A44" w:rsidR="00176A45" w:rsidRPr="00205340" w:rsidRDefault="00176A45" w:rsidP="005C116D">
            <w:pPr>
              <w:spacing w:before="40" w:after="40"/>
              <w:rPr>
                <w:rFonts w:ascii="Arial Narrow" w:hAnsi="Arial Narrow" w:cstheme="minorHAnsi"/>
                <w:b/>
                <w:bCs/>
                <w:sz w:val="20"/>
                <w:szCs w:val="20"/>
              </w:rPr>
            </w:pPr>
            <w:r w:rsidRPr="00205340">
              <w:rPr>
                <w:rFonts w:ascii="Arial Narrow" w:hAnsi="Arial Narrow" w:cstheme="minorHAnsi"/>
                <w:b/>
                <w:bCs/>
                <w:sz w:val="20"/>
                <w:szCs w:val="20"/>
              </w:rPr>
              <w:t>Difference</w:t>
            </w:r>
          </w:p>
          <w:p w14:paraId="7E7E7ECC" w14:textId="77777777" w:rsidR="00176A45" w:rsidRPr="00205340" w:rsidRDefault="00176A45" w:rsidP="005C116D">
            <w:pPr>
              <w:spacing w:before="40" w:after="40"/>
              <w:rPr>
                <w:rFonts w:ascii="Arial Narrow" w:hAnsi="Arial Narrow" w:cstheme="minorHAnsi"/>
                <w:b/>
                <w:bCs/>
                <w:sz w:val="20"/>
                <w:szCs w:val="20"/>
              </w:rPr>
            </w:pPr>
            <w:r w:rsidRPr="00205340">
              <w:rPr>
                <w:rFonts w:ascii="Arial Narrow" w:hAnsi="Arial Narrow" w:cstheme="minorHAnsi"/>
                <w:b/>
                <w:bCs/>
                <w:sz w:val="20"/>
                <w:szCs w:val="20"/>
              </w:rPr>
              <w:t>(95% CI)</w:t>
            </w:r>
          </w:p>
        </w:tc>
        <w:tc>
          <w:tcPr>
            <w:tcW w:w="963" w:type="dxa"/>
          </w:tcPr>
          <w:p w14:paraId="55D35A1C" w14:textId="77777777" w:rsidR="00176A45" w:rsidRPr="00205340" w:rsidRDefault="00176A45" w:rsidP="005C116D">
            <w:pPr>
              <w:spacing w:before="40" w:after="40"/>
              <w:rPr>
                <w:rFonts w:ascii="Arial Narrow" w:hAnsi="Arial Narrow" w:cstheme="minorHAnsi"/>
                <w:b/>
                <w:bCs/>
                <w:sz w:val="20"/>
                <w:szCs w:val="20"/>
              </w:rPr>
            </w:pPr>
            <w:r w:rsidRPr="00205340">
              <w:rPr>
                <w:rFonts w:ascii="Arial Narrow" w:hAnsi="Arial Narrow" w:cstheme="minorHAnsi"/>
                <w:b/>
                <w:bCs/>
                <w:sz w:val="20"/>
                <w:szCs w:val="20"/>
              </w:rPr>
              <w:t>p-value</w:t>
            </w:r>
          </w:p>
        </w:tc>
        <w:tc>
          <w:tcPr>
            <w:tcW w:w="1447" w:type="dxa"/>
          </w:tcPr>
          <w:p w14:paraId="2834C3B5" w14:textId="77777777" w:rsidR="00176A45" w:rsidRPr="00205340" w:rsidRDefault="00176A45" w:rsidP="005C116D">
            <w:pPr>
              <w:spacing w:before="40" w:after="40"/>
              <w:rPr>
                <w:rFonts w:ascii="Arial Narrow" w:hAnsi="Arial Narrow" w:cstheme="minorHAnsi"/>
                <w:b/>
                <w:bCs/>
                <w:sz w:val="20"/>
                <w:szCs w:val="20"/>
              </w:rPr>
            </w:pPr>
            <w:r w:rsidRPr="00205340">
              <w:rPr>
                <w:rFonts w:ascii="Arial Narrow" w:hAnsi="Arial Narrow" w:cstheme="minorHAnsi"/>
                <w:b/>
                <w:bCs/>
                <w:sz w:val="20"/>
                <w:szCs w:val="20"/>
              </w:rPr>
              <w:t>Effect size</w:t>
            </w:r>
          </w:p>
        </w:tc>
      </w:tr>
      <w:tr w:rsidR="0065629D" w:rsidRPr="00205340" w14:paraId="1D529846" w14:textId="77777777" w:rsidTr="00000617">
        <w:tc>
          <w:tcPr>
            <w:tcW w:w="2263" w:type="dxa"/>
          </w:tcPr>
          <w:p w14:paraId="67AA63EB" w14:textId="77777777" w:rsidR="00176A45" w:rsidRPr="00205340" w:rsidRDefault="00176A45" w:rsidP="005C116D">
            <w:pPr>
              <w:spacing w:before="40" w:after="40"/>
              <w:rPr>
                <w:rFonts w:ascii="Arial Narrow" w:hAnsi="Arial Narrow" w:cstheme="minorHAnsi"/>
                <w:sz w:val="20"/>
                <w:szCs w:val="20"/>
                <w:vertAlign w:val="superscript"/>
              </w:rPr>
            </w:pPr>
            <w:r w:rsidRPr="00205340">
              <w:rPr>
                <w:rFonts w:ascii="Arial Narrow" w:hAnsi="Arial Narrow" w:cstheme="minorHAnsi"/>
                <w:sz w:val="20"/>
                <w:szCs w:val="20"/>
              </w:rPr>
              <w:t>Haem-A-</w:t>
            </w:r>
            <w:proofErr w:type="spellStart"/>
            <w:r w:rsidRPr="00205340">
              <w:rPr>
                <w:rFonts w:ascii="Arial Narrow" w:hAnsi="Arial Narrow" w:cstheme="minorHAnsi"/>
                <w:sz w:val="20"/>
                <w:szCs w:val="20"/>
              </w:rPr>
              <w:t>QoL</w:t>
            </w:r>
            <w:r w:rsidRPr="00205340">
              <w:rPr>
                <w:rFonts w:ascii="Arial Narrow" w:hAnsi="Arial Narrow" w:cstheme="minorHAnsi"/>
                <w:sz w:val="20"/>
                <w:szCs w:val="20"/>
                <w:vertAlign w:val="superscript"/>
              </w:rPr>
              <w:t>b</w:t>
            </w:r>
            <w:proofErr w:type="spellEnd"/>
          </w:p>
          <w:p w14:paraId="0EC81913" w14:textId="77777777" w:rsidR="00176A45" w:rsidRPr="00205340" w:rsidRDefault="00176A45" w:rsidP="005C116D">
            <w:pPr>
              <w:spacing w:before="40" w:after="40"/>
              <w:rPr>
                <w:rFonts w:ascii="Arial Narrow" w:hAnsi="Arial Narrow" w:cstheme="minorHAnsi"/>
                <w:sz w:val="20"/>
                <w:szCs w:val="20"/>
                <w:vertAlign w:val="superscript"/>
              </w:rPr>
            </w:pPr>
            <w:r w:rsidRPr="00205340">
              <w:rPr>
                <w:rFonts w:ascii="Arial Narrow" w:hAnsi="Arial Narrow" w:cstheme="minorHAnsi"/>
                <w:sz w:val="20"/>
                <w:szCs w:val="20"/>
              </w:rPr>
              <w:t>6-month</w:t>
            </w:r>
            <w:r w:rsidRPr="00205340">
              <w:rPr>
                <w:rFonts w:ascii="Arial Narrow" w:hAnsi="Arial Narrow" w:cstheme="minorHAnsi"/>
                <w:sz w:val="20"/>
                <w:szCs w:val="20"/>
                <w:vertAlign w:val="superscript"/>
              </w:rPr>
              <w:t xml:space="preserve">c </w:t>
            </w:r>
            <w:r w:rsidRPr="00205340">
              <w:rPr>
                <w:rFonts w:ascii="Arial Narrow" w:hAnsi="Arial Narrow" w:cstheme="minorHAnsi"/>
                <w:sz w:val="20"/>
                <w:szCs w:val="20"/>
              </w:rPr>
              <w:t>PDS</w:t>
            </w:r>
          </w:p>
        </w:tc>
        <w:tc>
          <w:tcPr>
            <w:tcW w:w="1418" w:type="dxa"/>
            <w:vAlign w:val="center"/>
          </w:tcPr>
          <w:p w14:paraId="2D769431"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-6.1</w:t>
            </w:r>
            <w:r w:rsidRPr="00205340">
              <w:rPr>
                <w:rFonts w:ascii="Arial Narrow" w:hAnsi="Arial Narrow" w:cstheme="minorHAnsi"/>
                <w:sz w:val="20"/>
                <w:szCs w:val="20"/>
              </w:rPr>
              <w:br/>
              <w:t>(-12.6, 0.4)</w:t>
            </w:r>
          </w:p>
        </w:tc>
        <w:tc>
          <w:tcPr>
            <w:tcW w:w="1559" w:type="dxa"/>
            <w:vAlign w:val="center"/>
          </w:tcPr>
          <w:p w14:paraId="391FEEAC"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sz w:val="20"/>
                <w:szCs w:val="20"/>
              </w:rPr>
              <w:t>-3.0</w:t>
            </w:r>
            <w:r w:rsidRPr="00205340">
              <w:rPr>
                <w:rFonts w:ascii="Arial Narrow" w:hAnsi="Arial Narrow" w:cstheme="minorHAnsi"/>
                <w:sz w:val="20"/>
                <w:szCs w:val="20"/>
              </w:rPr>
              <w:br/>
              <w:t>(-8.2, 2.2)</w:t>
            </w:r>
          </w:p>
        </w:tc>
        <w:tc>
          <w:tcPr>
            <w:tcW w:w="1134" w:type="dxa"/>
            <w:vAlign w:val="center"/>
          </w:tcPr>
          <w:p w14:paraId="19141248"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-2.2</w:t>
            </w:r>
            <w:r w:rsidRPr="00205340">
              <w:rPr>
                <w:rFonts w:ascii="Arial Narrow" w:hAnsi="Arial Narrow" w:cstheme="minorHAnsi"/>
                <w:color w:val="auto"/>
                <w:kern w:val="2"/>
                <w:sz w:val="20"/>
                <w:szCs w:val="20"/>
              </w:rPr>
              <w:br/>
              <w:t>(-9.1, 4.6)</w:t>
            </w:r>
          </w:p>
        </w:tc>
        <w:tc>
          <w:tcPr>
            <w:tcW w:w="963" w:type="dxa"/>
            <w:vAlign w:val="center"/>
          </w:tcPr>
          <w:p w14:paraId="320E06CF"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0.522</w:t>
            </w:r>
          </w:p>
        </w:tc>
        <w:tc>
          <w:tcPr>
            <w:tcW w:w="1447" w:type="dxa"/>
            <w:vAlign w:val="center"/>
          </w:tcPr>
          <w:p w14:paraId="5F2804F2"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0.08 (negligible)</w:t>
            </w:r>
          </w:p>
        </w:tc>
      </w:tr>
      <w:tr w:rsidR="0065629D" w:rsidRPr="00205340" w14:paraId="5C9E5F4A" w14:textId="77777777" w:rsidTr="00000617">
        <w:tc>
          <w:tcPr>
            <w:tcW w:w="2263" w:type="dxa"/>
          </w:tcPr>
          <w:p w14:paraId="04A87F8A" w14:textId="77777777" w:rsidR="00176A45" w:rsidRPr="00205340" w:rsidRDefault="00176A45" w:rsidP="005C116D">
            <w:pPr>
              <w:spacing w:before="40" w:after="40"/>
              <w:rPr>
                <w:rFonts w:ascii="Arial Narrow" w:hAnsi="Arial Narrow" w:cstheme="minorHAnsi"/>
                <w:sz w:val="20"/>
                <w:szCs w:val="20"/>
                <w:vertAlign w:val="subscript"/>
              </w:rPr>
            </w:pPr>
            <w:r w:rsidRPr="00205340">
              <w:rPr>
                <w:rFonts w:ascii="Arial Narrow" w:hAnsi="Arial Narrow" w:cstheme="minorHAnsi"/>
                <w:sz w:val="20"/>
                <w:szCs w:val="20"/>
              </w:rPr>
              <w:t>Haem-A-QoL</w:t>
            </w:r>
          </w:p>
          <w:p w14:paraId="4F3176E5" w14:textId="77777777" w:rsidR="00176A45" w:rsidRPr="00205340" w:rsidRDefault="00176A45" w:rsidP="005C116D">
            <w:pPr>
              <w:pStyle w:val="Default"/>
              <w:spacing w:before="40" w:after="40"/>
              <w:rPr>
                <w:rFonts w:ascii="Arial Narrow" w:hAnsi="Arial Narrow" w:cstheme="minorHAnsi"/>
                <w:color w:val="auto"/>
                <w:kern w:val="2"/>
                <w:sz w:val="20"/>
                <w:szCs w:val="20"/>
              </w:rPr>
            </w:pPr>
            <w:r w:rsidRPr="00205340">
              <w:rPr>
                <w:rFonts w:ascii="Arial Narrow" w:hAnsi="Arial Narrow" w:cstheme="minorHAnsi"/>
                <w:sz w:val="20"/>
                <w:szCs w:val="20"/>
              </w:rPr>
              <w:t>12-month</w:t>
            </w:r>
            <w:r w:rsidRPr="00205340">
              <w:rPr>
                <w:rFonts w:ascii="Arial Narrow" w:hAnsi="Arial Narrow" w:cstheme="minorHAnsi"/>
                <w:sz w:val="20"/>
                <w:szCs w:val="20"/>
                <w:vertAlign w:val="superscript"/>
              </w:rPr>
              <w:t xml:space="preserve">d </w:t>
            </w:r>
            <w:r w:rsidRPr="00205340">
              <w:rPr>
                <w:rFonts w:ascii="Arial Narrow" w:hAnsi="Arial Narrow" w:cstheme="minorHAnsi"/>
                <w:sz w:val="20"/>
                <w:szCs w:val="20"/>
              </w:rPr>
              <w:t>PDS</w:t>
            </w:r>
          </w:p>
        </w:tc>
        <w:tc>
          <w:tcPr>
            <w:tcW w:w="1418" w:type="dxa"/>
            <w:vAlign w:val="center"/>
          </w:tcPr>
          <w:p w14:paraId="37AB1E03"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-8.3</w:t>
            </w:r>
            <w:r w:rsidRPr="00205340">
              <w:rPr>
                <w:rFonts w:ascii="Arial Narrow" w:hAnsi="Arial Narrow" w:cstheme="minorHAnsi"/>
                <w:sz w:val="20"/>
                <w:szCs w:val="20"/>
              </w:rPr>
              <w:br/>
              <w:t>(-15.4, -1.3)</w:t>
            </w:r>
          </w:p>
        </w:tc>
        <w:tc>
          <w:tcPr>
            <w:tcW w:w="1559" w:type="dxa"/>
            <w:vAlign w:val="center"/>
          </w:tcPr>
          <w:p w14:paraId="3AAB255E"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sz w:val="20"/>
                <w:szCs w:val="20"/>
              </w:rPr>
              <w:t>-3.0</w:t>
            </w:r>
            <w:r w:rsidRPr="00205340">
              <w:rPr>
                <w:rFonts w:ascii="Arial Narrow" w:hAnsi="Arial Narrow" w:cstheme="minorHAnsi"/>
                <w:sz w:val="20"/>
                <w:szCs w:val="20"/>
              </w:rPr>
              <w:br/>
              <w:t>(-8.2, 2.2)</w:t>
            </w:r>
          </w:p>
        </w:tc>
        <w:tc>
          <w:tcPr>
            <w:tcW w:w="1134" w:type="dxa"/>
            <w:vAlign w:val="center"/>
          </w:tcPr>
          <w:p w14:paraId="52C55D8A"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-5.0</w:t>
            </w:r>
            <w:r w:rsidRPr="00205340">
              <w:rPr>
                <w:rFonts w:ascii="Arial Narrow" w:hAnsi="Arial Narrow" w:cstheme="minorHAnsi"/>
                <w:color w:val="auto"/>
                <w:kern w:val="2"/>
                <w:sz w:val="20"/>
                <w:szCs w:val="20"/>
              </w:rPr>
              <w:br/>
              <w:t>(-12.4, 2.4)</w:t>
            </w:r>
          </w:p>
        </w:tc>
        <w:tc>
          <w:tcPr>
            <w:tcW w:w="963" w:type="dxa"/>
            <w:vAlign w:val="center"/>
          </w:tcPr>
          <w:p w14:paraId="78A26187"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0.185</w:t>
            </w:r>
          </w:p>
        </w:tc>
        <w:tc>
          <w:tcPr>
            <w:tcW w:w="1447" w:type="dxa"/>
            <w:vAlign w:val="center"/>
          </w:tcPr>
          <w:p w14:paraId="0884758D"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w:t>
            </w:r>
          </w:p>
        </w:tc>
      </w:tr>
      <w:tr w:rsidR="0065629D" w:rsidRPr="00205340" w14:paraId="6C9B981E" w14:textId="77777777" w:rsidTr="00000617">
        <w:tc>
          <w:tcPr>
            <w:tcW w:w="2263" w:type="dxa"/>
          </w:tcPr>
          <w:p w14:paraId="42BA7525" w14:textId="77777777" w:rsidR="00176A45" w:rsidRPr="00205340" w:rsidRDefault="00176A45" w:rsidP="005C116D">
            <w:pPr>
              <w:spacing w:before="40" w:after="40"/>
              <w:rPr>
                <w:rFonts w:ascii="Arial Narrow" w:hAnsi="Arial Narrow" w:cstheme="minorHAnsi"/>
                <w:sz w:val="20"/>
                <w:szCs w:val="20"/>
                <w:vertAlign w:val="superscript"/>
              </w:rPr>
            </w:pPr>
            <w:r w:rsidRPr="00205340">
              <w:rPr>
                <w:rFonts w:ascii="Arial Narrow" w:hAnsi="Arial Narrow" w:cstheme="minorHAnsi"/>
                <w:sz w:val="20"/>
                <w:szCs w:val="20"/>
              </w:rPr>
              <w:t>Haem-A-QoL</w:t>
            </w:r>
          </w:p>
          <w:p w14:paraId="062CEF6D" w14:textId="77777777" w:rsidR="00176A45" w:rsidRPr="00205340" w:rsidRDefault="00176A45" w:rsidP="005C116D">
            <w:pPr>
              <w:pStyle w:val="Default"/>
              <w:spacing w:before="40" w:after="40"/>
              <w:rPr>
                <w:rFonts w:ascii="Arial Narrow" w:hAnsi="Arial Narrow" w:cstheme="minorHAnsi"/>
                <w:color w:val="auto"/>
                <w:kern w:val="2"/>
                <w:sz w:val="20"/>
                <w:szCs w:val="20"/>
              </w:rPr>
            </w:pPr>
            <w:r w:rsidRPr="00205340">
              <w:rPr>
                <w:rFonts w:ascii="Arial Narrow" w:hAnsi="Arial Narrow" w:cstheme="minorHAnsi"/>
                <w:sz w:val="20"/>
                <w:szCs w:val="20"/>
              </w:rPr>
              <w:t>6-month</w:t>
            </w:r>
            <w:r w:rsidRPr="00205340">
              <w:rPr>
                <w:rFonts w:ascii="Arial Narrow" w:hAnsi="Arial Narrow" w:cstheme="minorHAnsi"/>
                <w:sz w:val="20"/>
                <w:szCs w:val="20"/>
                <w:vertAlign w:val="superscript"/>
              </w:rPr>
              <w:t xml:space="preserve"> </w:t>
            </w:r>
            <w:r w:rsidRPr="00205340">
              <w:rPr>
                <w:rFonts w:ascii="Arial Narrow" w:hAnsi="Arial Narrow" w:cstheme="minorHAnsi"/>
                <w:sz w:val="20"/>
                <w:szCs w:val="20"/>
              </w:rPr>
              <w:t>TS</w:t>
            </w:r>
          </w:p>
        </w:tc>
        <w:tc>
          <w:tcPr>
            <w:tcW w:w="1418" w:type="dxa"/>
            <w:vAlign w:val="center"/>
          </w:tcPr>
          <w:p w14:paraId="04E9DA0E"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-3.7</w:t>
            </w:r>
            <w:r w:rsidRPr="00205340">
              <w:rPr>
                <w:rFonts w:ascii="Arial Narrow" w:hAnsi="Arial Narrow" w:cstheme="minorHAnsi"/>
                <w:sz w:val="20"/>
                <w:szCs w:val="20"/>
              </w:rPr>
              <w:br/>
              <w:t>(-6.8, –0.6)</w:t>
            </w:r>
          </w:p>
        </w:tc>
        <w:tc>
          <w:tcPr>
            <w:tcW w:w="1559" w:type="dxa"/>
            <w:vAlign w:val="center"/>
          </w:tcPr>
          <w:p w14:paraId="1A5EFA12"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-1.2</w:t>
            </w:r>
            <w:r w:rsidRPr="00205340">
              <w:rPr>
                <w:rFonts w:ascii="Arial Narrow" w:hAnsi="Arial Narrow" w:cstheme="minorHAnsi"/>
                <w:sz w:val="20"/>
                <w:szCs w:val="20"/>
              </w:rPr>
              <w:br/>
              <w:t xml:space="preserve">(-3.5, 1.1) </w:t>
            </w:r>
          </w:p>
        </w:tc>
        <w:tc>
          <w:tcPr>
            <w:tcW w:w="1134" w:type="dxa"/>
            <w:vAlign w:val="center"/>
          </w:tcPr>
          <w:p w14:paraId="48AC33BE"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-2.8</w:t>
            </w:r>
            <w:r w:rsidRPr="00205340">
              <w:rPr>
                <w:rFonts w:ascii="Arial Narrow" w:hAnsi="Arial Narrow" w:cstheme="minorHAnsi"/>
                <w:sz w:val="20"/>
                <w:szCs w:val="20"/>
              </w:rPr>
              <w:br/>
              <w:t>(-6.6, 1.0)</w:t>
            </w:r>
          </w:p>
        </w:tc>
        <w:tc>
          <w:tcPr>
            <w:tcW w:w="963" w:type="dxa"/>
            <w:vAlign w:val="center"/>
          </w:tcPr>
          <w:p w14:paraId="1149EA80"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0.149</w:t>
            </w:r>
          </w:p>
        </w:tc>
        <w:tc>
          <w:tcPr>
            <w:tcW w:w="1447" w:type="dxa"/>
            <w:vAlign w:val="center"/>
          </w:tcPr>
          <w:p w14:paraId="5BB5E83F"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0.17 (negligible)</w:t>
            </w:r>
          </w:p>
        </w:tc>
      </w:tr>
      <w:tr w:rsidR="0065629D" w:rsidRPr="00205340" w14:paraId="58A3289E" w14:textId="77777777" w:rsidTr="00000617">
        <w:tc>
          <w:tcPr>
            <w:tcW w:w="2263" w:type="dxa"/>
          </w:tcPr>
          <w:p w14:paraId="2827B1EF" w14:textId="77777777" w:rsidR="00176A45" w:rsidRPr="00205340" w:rsidRDefault="00176A45" w:rsidP="005C116D">
            <w:pPr>
              <w:spacing w:before="40" w:after="40"/>
              <w:rPr>
                <w:rFonts w:ascii="Arial Narrow" w:hAnsi="Arial Narrow" w:cstheme="minorHAnsi"/>
                <w:sz w:val="20"/>
                <w:szCs w:val="20"/>
                <w:vertAlign w:val="subscript"/>
              </w:rPr>
            </w:pPr>
            <w:r w:rsidRPr="00205340">
              <w:rPr>
                <w:rFonts w:ascii="Arial Narrow" w:hAnsi="Arial Narrow" w:cstheme="minorHAnsi"/>
                <w:sz w:val="20"/>
                <w:szCs w:val="20"/>
              </w:rPr>
              <w:t>Haem-A-QoL</w:t>
            </w:r>
          </w:p>
          <w:p w14:paraId="15E1DB32" w14:textId="77777777" w:rsidR="00176A45" w:rsidRPr="00205340" w:rsidRDefault="00176A45" w:rsidP="005C116D">
            <w:pPr>
              <w:pStyle w:val="Default"/>
              <w:spacing w:before="40" w:after="40"/>
              <w:rPr>
                <w:rFonts w:ascii="Arial Narrow" w:hAnsi="Arial Narrow" w:cstheme="minorHAnsi"/>
                <w:color w:val="auto"/>
                <w:kern w:val="2"/>
                <w:sz w:val="20"/>
                <w:szCs w:val="20"/>
              </w:rPr>
            </w:pPr>
            <w:r w:rsidRPr="00205340">
              <w:rPr>
                <w:rFonts w:ascii="Arial Narrow" w:hAnsi="Arial Narrow" w:cstheme="minorHAnsi"/>
                <w:sz w:val="20"/>
                <w:szCs w:val="20"/>
              </w:rPr>
              <w:t>12-month TS</w:t>
            </w:r>
          </w:p>
        </w:tc>
        <w:tc>
          <w:tcPr>
            <w:tcW w:w="1418" w:type="dxa"/>
            <w:vAlign w:val="center"/>
          </w:tcPr>
          <w:p w14:paraId="14A2B794"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-4.9</w:t>
            </w:r>
            <w:r w:rsidRPr="00205340">
              <w:rPr>
                <w:rFonts w:ascii="Arial Narrow" w:hAnsi="Arial Narrow" w:cstheme="minorHAnsi"/>
                <w:sz w:val="20"/>
                <w:szCs w:val="20"/>
              </w:rPr>
              <w:br/>
              <w:t>(-8.1, -1.7)</w:t>
            </w:r>
          </w:p>
        </w:tc>
        <w:tc>
          <w:tcPr>
            <w:tcW w:w="1559" w:type="dxa"/>
            <w:vAlign w:val="center"/>
          </w:tcPr>
          <w:p w14:paraId="416954E6"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-1.2</w:t>
            </w:r>
            <w:r w:rsidRPr="00205340">
              <w:rPr>
                <w:rFonts w:ascii="Arial Narrow" w:hAnsi="Arial Narrow" w:cstheme="minorHAnsi"/>
                <w:sz w:val="20"/>
                <w:szCs w:val="20"/>
              </w:rPr>
              <w:br/>
              <w:t>(-3.5, 1.1)</w:t>
            </w:r>
          </w:p>
        </w:tc>
        <w:tc>
          <w:tcPr>
            <w:tcW w:w="1134" w:type="dxa"/>
            <w:vAlign w:val="center"/>
          </w:tcPr>
          <w:p w14:paraId="00EAD4E0"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-3.7</w:t>
            </w:r>
            <w:r w:rsidRPr="00205340">
              <w:rPr>
                <w:rFonts w:ascii="Arial Narrow" w:hAnsi="Arial Narrow" w:cstheme="minorHAnsi"/>
                <w:sz w:val="20"/>
                <w:szCs w:val="20"/>
              </w:rPr>
              <w:br/>
              <w:t>(-8.3, 0.9)</w:t>
            </w:r>
          </w:p>
        </w:tc>
        <w:tc>
          <w:tcPr>
            <w:tcW w:w="963" w:type="dxa"/>
            <w:vAlign w:val="center"/>
          </w:tcPr>
          <w:p w14:paraId="4BF53645"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0.111</w:t>
            </w:r>
          </w:p>
        </w:tc>
        <w:tc>
          <w:tcPr>
            <w:tcW w:w="1447" w:type="dxa"/>
            <w:vAlign w:val="center"/>
          </w:tcPr>
          <w:p w14:paraId="192FC4F2"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w:t>
            </w:r>
          </w:p>
        </w:tc>
      </w:tr>
      <w:tr w:rsidR="0065629D" w:rsidRPr="00205340" w14:paraId="2EB425A0" w14:textId="77777777" w:rsidTr="00000617">
        <w:tc>
          <w:tcPr>
            <w:tcW w:w="2263" w:type="dxa"/>
          </w:tcPr>
          <w:p w14:paraId="065A11CA" w14:textId="77777777"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b/>
                <w:bCs/>
                <w:sz w:val="20"/>
                <w:szCs w:val="20"/>
              </w:rPr>
              <w:t>Outcome</w:t>
            </w:r>
          </w:p>
        </w:tc>
        <w:tc>
          <w:tcPr>
            <w:tcW w:w="1418" w:type="dxa"/>
          </w:tcPr>
          <w:p w14:paraId="4869246F" w14:textId="77777777" w:rsidR="00176A45" w:rsidRPr="00205340" w:rsidRDefault="00176A45" w:rsidP="005C116D">
            <w:pPr>
              <w:pStyle w:val="TableText"/>
              <w:rPr>
                <w:rFonts w:cstheme="minorHAnsi"/>
                <w:b/>
                <w:bCs/>
                <w:kern w:val="2"/>
                <w:szCs w:val="20"/>
                <w:lang w:eastAsia="en-AU"/>
                <w14:ligatures w14:val="standardContextual"/>
              </w:rPr>
            </w:pPr>
            <w:r w:rsidRPr="00205340">
              <w:rPr>
                <w:rFonts w:cstheme="minorHAnsi"/>
                <w:b/>
                <w:bCs/>
                <w:kern w:val="2"/>
                <w:szCs w:val="20"/>
                <w:lang w:eastAsia="en-AU"/>
                <w14:ligatures w14:val="standardContextual"/>
              </w:rPr>
              <w:t>Marstacimab ATP</w:t>
            </w:r>
          </w:p>
          <w:p w14:paraId="04A79D0E" w14:textId="77777777" w:rsidR="00176A45" w:rsidRPr="00205340" w:rsidRDefault="00176A45" w:rsidP="005C116D">
            <w:pPr>
              <w:spacing w:before="40" w:after="40"/>
              <w:rPr>
                <w:rFonts w:ascii="Arial Narrow" w:hAnsi="Arial Narrow" w:cstheme="minorHAnsi"/>
                <w:b/>
                <w:bCs/>
                <w:sz w:val="20"/>
                <w:szCs w:val="20"/>
              </w:rPr>
            </w:pPr>
            <w:r w:rsidRPr="00205340">
              <w:rPr>
                <w:rFonts w:ascii="Arial Narrow" w:hAnsi="Arial Narrow" w:cstheme="minorHAnsi"/>
                <w:b/>
                <w:bCs/>
                <w:sz w:val="20"/>
                <w:szCs w:val="20"/>
              </w:rPr>
              <w:t>N=20</w:t>
            </w:r>
          </w:p>
        </w:tc>
        <w:tc>
          <w:tcPr>
            <w:tcW w:w="1559" w:type="dxa"/>
          </w:tcPr>
          <w:p w14:paraId="2D40D6B0" w14:textId="77777777" w:rsidR="00176A45" w:rsidRPr="00205340" w:rsidRDefault="00176A45" w:rsidP="005C116D">
            <w:pPr>
              <w:pStyle w:val="TableText"/>
              <w:rPr>
                <w:rFonts w:cstheme="minorHAnsi"/>
                <w:b/>
                <w:bCs/>
                <w:kern w:val="2"/>
                <w:szCs w:val="20"/>
                <w:lang w:eastAsia="en-AU"/>
                <w14:ligatures w14:val="standardContextual"/>
              </w:rPr>
            </w:pPr>
            <w:r w:rsidRPr="00205340">
              <w:rPr>
                <w:rFonts w:cstheme="minorHAnsi"/>
                <w:b/>
                <w:bCs/>
                <w:kern w:val="2"/>
                <w:szCs w:val="20"/>
                <w:lang w:eastAsia="en-AU"/>
                <w14:ligatures w14:val="standardContextual"/>
              </w:rPr>
              <w:t>Factor Prophylaxis OP</w:t>
            </w:r>
          </w:p>
          <w:p w14:paraId="2B78E50C" w14:textId="77777777" w:rsidR="00176A45" w:rsidRPr="00205340" w:rsidRDefault="00176A45" w:rsidP="005C116D">
            <w:pPr>
              <w:spacing w:before="40" w:after="40"/>
              <w:rPr>
                <w:rFonts w:ascii="Arial Narrow" w:hAnsi="Arial Narrow" w:cstheme="minorHAnsi"/>
                <w:b/>
                <w:bCs/>
                <w:sz w:val="20"/>
                <w:szCs w:val="20"/>
              </w:rPr>
            </w:pPr>
            <w:r w:rsidRPr="00205340">
              <w:rPr>
                <w:rFonts w:ascii="Arial Narrow" w:hAnsi="Arial Narrow" w:cstheme="minorHAnsi"/>
                <w:b/>
                <w:bCs/>
                <w:sz w:val="20"/>
                <w:szCs w:val="20"/>
              </w:rPr>
              <w:t>N=20</w:t>
            </w:r>
          </w:p>
        </w:tc>
        <w:tc>
          <w:tcPr>
            <w:tcW w:w="1134" w:type="dxa"/>
          </w:tcPr>
          <w:p w14:paraId="57F7BF4C" w14:textId="77777777" w:rsidR="00176A45" w:rsidRPr="00205340" w:rsidRDefault="00176A45" w:rsidP="005C116D">
            <w:pPr>
              <w:spacing w:before="40" w:after="40"/>
              <w:rPr>
                <w:rFonts w:ascii="Arial Narrow" w:hAnsi="Arial Narrow" w:cstheme="minorHAnsi"/>
                <w:b/>
                <w:bCs/>
                <w:sz w:val="20"/>
                <w:szCs w:val="20"/>
              </w:rPr>
            </w:pPr>
            <w:r w:rsidRPr="00205340">
              <w:rPr>
                <w:rFonts w:ascii="Arial Narrow" w:hAnsi="Arial Narrow" w:cstheme="minorHAnsi"/>
                <w:b/>
                <w:bCs/>
                <w:sz w:val="20"/>
                <w:szCs w:val="20"/>
              </w:rPr>
              <w:t>Difference</w:t>
            </w:r>
          </w:p>
          <w:p w14:paraId="56729A74" w14:textId="77777777"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b/>
                <w:bCs/>
                <w:sz w:val="20"/>
                <w:szCs w:val="20"/>
              </w:rPr>
              <w:t>(95% CI)</w:t>
            </w:r>
          </w:p>
        </w:tc>
        <w:tc>
          <w:tcPr>
            <w:tcW w:w="963" w:type="dxa"/>
          </w:tcPr>
          <w:p w14:paraId="059C37CD" w14:textId="77777777"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b/>
                <w:bCs/>
                <w:sz w:val="20"/>
                <w:szCs w:val="20"/>
              </w:rPr>
              <w:t>p-value</w:t>
            </w:r>
          </w:p>
        </w:tc>
        <w:tc>
          <w:tcPr>
            <w:tcW w:w="1447" w:type="dxa"/>
          </w:tcPr>
          <w:p w14:paraId="551556EA" w14:textId="77777777" w:rsidR="00176A45" w:rsidRPr="00205340" w:rsidRDefault="00176A45" w:rsidP="005C116D">
            <w:pPr>
              <w:spacing w:before="40" w:after="40"/>
              <w:rPr>
                <w:rFonts w:ascii="Arial Narrow" w:hAnsi="Arial Narrow" w:cstheme="minorHAnsi"/>
                <w:sz w:val="20"/>
                <w:szCs w:val="20"/>
                <w:vertAlign w:val="superscript"/>
              </w:rPr>
            </w:pPr>
            <w:r w:rsidRPr="00205340">
              <w:rPr>
                <w:rFonts w:ascii="Arial Narrow" w:hAnsi="Arial Narrow" w:cstheme="minorHAnsi"/>
                <w:b/>
                <w:bCs/>
                <w:sz w:val="20"/>
                <w:szCs w:val="20"/>
              </w:rPr>
              <w:t>Effect size</w:t>
            </w:r>
          </w:p>
        </w:tc>
      </w:tr>
      <w:tr w:rsidR="0065629D" w:rsidRPr="00205340" w14:paraId="345F2FBD" w14:textId="77777777" w:rsidTr="00000617">
        <w:tc>
          <w:tcPr>
            <w:tcW w:w="2263" w:type="dxa"/>
          </w:tcPr>
          <w:p w14:paraId="50144410" w14:textId="77777777" w:rsidR="00176A45" w:rsidRPr="00205340" w:rsidRDefault="00176A45" w:rsidP="005C116D">
            <w:pPr>
              <w:spacing w:before="40" w:after="40"/>
              <w:rPr>
                <w:rFonts w:ascii="Arial Narrow" w:hAnsi="Arial Narrow" w:cstheme="minorHAnsi"/>
                <w:sz w:val="20"/>
                <w:szCs w:val="20"/>
                <w:vertAlign w:val="superscript"/>
              </w:rPr>
            </w:pPr>
            <w:proofErr w:type="spellStart"/>
            <w:r w:rsidRPr="00205340">
              <w:rPr>
                <w:rFonts w:ascii="Arial Narrow" w:hAnsi="Arial Narrow" w:cstheme="minorHAnsi"/>
                <w:sz w:val="20"/>
                <w:szCs w:val="20"/>
              </w:rPr>
              <w:lastRenderedPageBreak/>
              <w:t>Haemo-QoL</w:t>
            </w:r>
            <w:r w:rsidRPr="00205340">
              <w:rPr>
                <w:rFonts w:ascii="Arial Narrow" w:hAnsi="Arial Narrow" w:cstheme="minorHAnsi"/>
                <w:sz w:val="20"/>
                <w:szCs w:val="20"/>
                <w:vertAlign w:val="superscript"/>
              </w:rPr>
              <w:t>f</w:t>
            </w:r>
            <w:proofErr w:type="spellEnd"/>
          </w:p>
          <w:p w14:paraId="34840AF5" w14:textId="2E72A001"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sz w:val="20"/>
                <w:szCs w:val="20"/>
              </w:rPr>
              <w:t>6</w:t>
            </w:r>
            <w:r w:rsidR="00F00C02" w:rsidRPr="00205340">
              <w:rPr>
                <w:rFonts w:ascii="Arial Narrow" w:hAnsi="Arial Narrow" w:cstheme="minorHAnsi"/>
                <w:sz w:val="20"/>
                <w:szCs w:val="20"/>
              </w:rPr>
              <w:t>-</w:t>
            </w:r>
            <w:r w:rsidRPr="00205340">
              <w:rPr>
                <w:rFonts w:ascii="Arial Narrow" w:hAnsi="Arial Narrow" w:cstheme="minorHAnsi"/>
                <w:sz w:val="20"/>
                <w:szCs w:val="20"/>
              </w:rPr>
              <w:t>month PDS</w:t>
            </w:r>
          </w:p>
        </w:tc>
        <w:tc>
          <w:tcPr>
            <w:tcW w:w="1418" w:type="dxa"/>
            <w:vAlign w:val="center"/>
          </w:tcPr>
          <w:p w14:paraId="48A5171F"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-17.9</w:t>
            </w:r>
            <w:r w:rsidRPr="00205340">
              <w:rPr>
                <w:rFonts w:ascii="Arial Narrow" w:hAnsi="Arial Narrow" w:cstheme="minorHAnsi"/>
                <w:sz w:val="20"/>
                <w:szCs w:val="20"/>
              </w:rPr>
              <w:br/>
              <w:t>(-27.7, -5.4)</w:t>
            </w:r>
          </w:p>
        </w:tc>
        <w:tc>
          <w:tcPr>
            <w:tcW w:w="1559" w:type="dxa"/>
            <w:vAlign w:val="center"/>
          </w:tcPr>
          <w:p w14:paraId="0074C9FF"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sz w:val="20"/>
                <w:szCs w:val="20"/>
              </w:rPr>
              <w:t>-0.9</w:t>
            </w:r>
            <w:r w:rsidRPr="00205340">
              <w:rPr>
                <w:rFonts w:ascii="Arial Narrow" w:hAnsi="Arial Narrow" w:cstheme="minorHAnsi"/>
                <w:sz w:val="20"/>
                <w:szCs w:val="20"/>
              </w:rPr>
              <w:br/>
              <w:t>(-14.3, 12.5)</w:t>
            </w:r>
          </w:p>
        </w:tc>
        <w:tc>
          <w:tcPr>
            <w:tcW w:w="1134" w:type="dxa"/>
            <w:vAlign w:val="center"/>
          </w:tcPr>
          <w:p w14:paraId="1B75E4ED"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-18.7</w:t>
            </w:r>
            <w:r w:rsidRPr="00205340">
              <w:rPr>
                <w:rFonts w:ascii="Arial Narrow" w:hAnsi="Arial Narrow" w:cstheme="minorHAnsi"/>
                <w:color w:val="auto"/>
                <w:kern w:val="2"/>
                <w:sz w:val="20"/>
                <w:szCs w:val="20"/>
              </w:rPr>
              <w:br/>
              <w:t>(-35.7, 5.4)</w:t>
            </w:r>
          </w:p>
        </w:tc>
        <w:tc>
          <w:tcPr>
            <w:tcW w:w="963" w:type="dxa"/>
            <w:vAlign w:val="center"/>
          </w:tcPr>
          <w:p w14:paraId="14DC0ECD"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0.135</w:t>
            </w:r>
          </w:p>
        </w:tc>
        <w:tc>
          <w:tcPr>
            <w:tcW w:w="1447" w:type="dxa"/>
            <w:vAlign w:val="center"/>
          </w:tcPr>
          <w:p w14:paraId="59307E03"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0.78 (large)</w:t>
            </w:r>
          </w:p>
        </w:tc>
      </w:tr>
      <w:tr w:rsidR="0065629D" w:rsidRPr="00205340" w14:paraId="2E8BCAE9" w14:textId="77777777" w:rsidTr="00000617">
        <w:tc>
          <w:tcPr>
            <w:tcW w:w="2263" w:type="dxa"/>
          </w:tcPr>
          <w:p w14:paraId="42B7445F" w14:textId="77777777" w:rsidR="00176A45" w:rsidRPr="00205340" w:rsidRDefault="00176A45" w:rsidP="005C116D">
            <w:pPr>
              <w:spacing w:before="40" w:after="40"/>
              <w:rPr>
                <w:rFonts w:ascii="Arial Narrow" w:hAnsi="Arial Narrow" w:cstheme="minorHAnsi"/>
                <w:sz w:val="20"/>
                <w:szCs w:val="20"/>
                <w:vertAlign w:val="superscript"/>
              </w:rPr>
            </w:pPr>
            <w:bookmarkStart w:id="44" w:name="_Hlk215493364"/>
            <w:proofErr w:type="spellStart"/>
            <w:r w:rsidRPr="00205340">
              <w:rPr>
                <w:rFonts w:ascii="Arial Narrow" w:hAnsi="Arial Narrow" w:cstheme="minorHAnsi"/>
                <w:sz w:val="20"/>
                <w:szCs w:val="20"/>
              </w:rPr>
              <w:t>Haemo</w:t>
            </w:r>
            <w:proofErr w:type="spellEnd"/>
            <w:r w:rsidRPr="00205340">
              <w:rPr>
                <w:rFonts w:ascii="Arial Narrow" w:hAnsi="Arial Narrow" w:cstheme="minorHAnsi"/>
                <w:sz w:val="20"/>
                <w:szCs w:val="20"/>
              </w:rPr>
              <w:t>-QoL</w:t>
            </w:r>
          </w:p>
          <w:p w14:paraId="0BC6BAC5" w14:textId="66142A68"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sz w:val="20"/>
                <w:szCs w:val="20"/>
              </w:rPr>
              <w:t>12</w:t>
            </w:r>
            <w:r w:rsidR="00F00C02" w:rsidRPr="00205340">
              <w:rPr>
                <w:rFonts w:ascii="Arial Narrow" w:hAnsi="Arial Narrow" w:cstheme="minorHAnsi"/>
                <w:sz w:val="20"/>
                <w:szCs w:val="20"/>
              </w:rPr>
              <w:t>-</w:t>
            </w:r>
            <w:r w:rsidRPr="00205340">
              <w:rPr>
                <w:rFonts w:ascii="Arial Narrow" w:hAnsi="Arial Narrow" w:cstheme="minorHAnsi"/>
                <w:sz w:val="20"/>
                <w:szCs w:val="20"/>
              </w:rPr>
              <w:t>month PDS</w:t>
            </w:r>
            <w:bookmarkEnd w:id="44"/>
          </w:p>
        </w:tc>
        <w:tc>
          <w:tcPr>
            <w:tcW w:w="1418" w:type="dxa"/>
            <w:vAlign w:val="center"/>
          </w:tcPr>
          <w:p w14:paraId="61F7CB44"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-7.9</w:t>
            </w:r>
            <w:r w:rsidRPr="00205340">
              <w:rPr>
                <w:rFonts w:ascii="Arial Narrow" w:hAnsi="Arial Narrow" w:cstheme="minorHAnsi"/>
                <w:sz w:val="20"/>
                <w:szCs w:val="20"/>
              </w:rPr>
              <w:br/>
              <w:t>(-28.6, -4.5)</w:t>
            </w:r>
          </w:p>
        </w:tc>
        <w:tc>
          <w:tcPr>
            <w:tcW w:w="1559" w:type="dxa"/>
            <w:vAlign w:val="center"/>
          </w:tcPr>
          <w:p w14:paraId="7A3DD647"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sz w:val="20"/>
                <w:szCs w:val="20"/>
              </w:rPr>
              <w:t>-0.9</w:t>
            </w:r>
            <w:r w:rsidRPr="00205340">
              <w:rPr>
                <w:rFonts w:ascii="Arial Narrow" w:hAnsi="Arial Narrow" w:cstheme="minorHAnsi"/>
                <w:sz w:val="20"/>
                <w:szCs w:val="20"/>
              </w:rPr>
              <w:br/>
              <w:t xml:space="preserve">(-14.3, 12.5) </w:t>
            </w:r>
          </w:p>
        </w:tc>
        <w:tc>
          <w:tcPr>
            <w:tcW w:w="1134" w:type="dxa"/>
            <w:vAlign w:val="center"/>
          </w:tcPr>
          <w:p w14:paraId="3152552F"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-14.3</w:t>
            </w:r>
            <w:r w:rsidRPr="00205340">
              <w:rPr>
                <w:rFonts w:ascii="Arial Narrow" w:hAnsi="Arial Narrow" w:cstheme="minorHAnsi"/>
                <w:color w:val="auto"/>
                <w:kern w:val="2"/>
                <w:sz w:val="20"/>
                <w:szCs w:val="20"/>
              </w:rPr>
              <w:br/>
              <w:t>(-31.2, 0.0)</w:t>
            </w:r>
          </w:p>
        </w:tc>
        <w:tc>
          <w:tcPr>
            <w:tcW w:w="963" w:type="dxa"/>
            <w:vAlign w:val="center"/>
          </w:tcPr>
          <w:p w14:paraId="3E9ABB6C"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0.043</w:t>
            </w:r>
          </w:p>
        </w:tc>
        <w:tc>
          <w:tcPr>
            <w:tcW w:w="1447" w:type="dxa"/>
            <w:vAlign w:val="center"/>
          </w:tcPr>
          <w:p w14:paraId="511505C9"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w:t>
            </w:r>
          </w:p>
        </w:tc>
      </w:tr>
      <w:tr w:rsidR="0065629D" w:rsidRPr="00205340" w14:paraId="4CD6E8F4" w14:textId="77777777" w:rsidTr="00000617">
        <w:tc>
          <w:tcPr>
            <w:tcW w:w="2263" w:type="dxa"/>
          </w:tcPr>
          <w:p w14:paraId="43F40CC9" w14:textId="77777777" w:rsidR="00176A45" w:rsidRPr="00205340" w:rsidRDefault="00176A45" w:rsidP="005C116D">
            <w:pPr>
              <w:spacing w:before="40" w:after="40"/>
              <w:rPr>
                <w:rFonts w:ascii="Arial Narrow" w:hAnsi="Arial Narrow" w:cstheme="minorHAnsi"/>
                <w:sz w:val="20"/>
                <w:szCs w:val="20"/>
                <w:vertAlign w:val="superscript"/>
              </w:rPr>
            </w:pPr>
            <w:proofErr w:type="spellStart"/>
            <w:r w:rsidRPr="00205340">
              <w:rPr>
                <w:rFonts w:ascii="Arial Narrow" w:hAnsi="Arial Narrow" w:cstheme="minorHAnsi"/>
                <w:sz w:val="20"/>
                <w:szCs w:val="20"/>
              </w:rPr>
              <w:t>Haemo</w:t>
            </w:r>
            <w:proofErr w:type="spellEnd"/>
            <w:r w:rsidRPr="00205340">
              <w:rPr>
                <w:rFonts w:ascii="Arial Narrow" w:hAnsi="Arial Narrow" w:cstheme="minorHAnsi"/>
                <w:sz w:val="20"/>
                <w:szCs w:val="20"/>
              </w:rPr>
              <w:t>-QoL</w:t>
            </w:r>
          </w:p>
          <w:p w14:paraId="049B4115" w14:textId="399D79A7"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sz w:val="20"/>
                <w:szCs w:val="20"/>
              </w:rPr>
              <w:t>6</w:t>
            </w:r>
            <w:r w:rsidR="00F00C02" w:rsidRPr="00205340">
              <w:rPr>
                <w:rFonts w:ascii="Arial Narrow" w:hAnsi="Arial Narrow" w:cstheme="minorHAnsi"/>
                <w:sz w:val="20"/>
                <w:szCs w:val="20"/>
              </w:rPr>
              <w:t>-</w:t>
            </w:r>
            <w:r w:rsidRPr="00205340">
              <w:rPr>
                <w:rFonts w:ascii="Arial Narrow" w:hAnsi="Arial Narrow" w:cstheme="minorHAnsi"/>
                <w:sz w:val="20"/>
                <w:szCs w:val="20"/>
              </w:rPr>
              <w:t>month TS</w:t>
            </w:r>
          </w:p>
        </w:tc>
        <w:tc>
          <w:tcPr>
            <w:tcW w:w="1418" w:type="dxa"/>
            <w:vAlign w:val="center"/>
          </w:tcPr>
          <w:p w14:paraId="531C6FBC"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-5.0</w:t>
            </w:r>
            <w:r w:rsidRPr="00205340">
              <w:rPr>
                <w:rFonts w:ascii="Arial Narrow" w:hAnsi="Arial Narrow" w:cstheme="minorHAnsi"/>
                <w:sz w:val="20"/>
                <w:szCs w:val="20"/>
              </w:rPr>
              <w:br/>
              <w:t>(-10.5, 0.4)</w:t>
            </w:r>
          </w:p>
        </w:tc>
        <w:tc>
          <w:tcPr>
            <w:tcW w:w="1559" w:type="dxa"/>
            <w:vAlign w:val="center"/>
          </w:tcPr>
          <w:p w14:paraId="04F7667A"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0.8</w:t>
            </w:r>
            <w:r w:rsidRPr="00205340">
              <w:rPr>
                <w:rFonts w:ascii="Arial Narrow" w:hAnsi="Arial Narrow" w:cstheme="minorHAnsi"/>
                <w:sz w:val="20"/>
                <w:szCs w:val="20"/>
              </w:rPr>
              <w:br/>
              <w:t>(-6.2, 7.8)</w:t>
            </w:r>
          </w:p>
        </w:tc>
        <w:tc>
          <w:tcPr>
            <w:tcW w:w="1134" w:type="dxa"/>
            <w:vAlign w:val="center"/>
          </w:tcPr>
          <w:p w14:paraId="22230E5E"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-6.5</w:t>
            </w:r>
            <w:r w:rsidRPr="00205340">
              <w:rPr>
                <w:rFonts w:ascii="Arial Narrow" w:hAnsi="Arial Narrow" w:cstheme="minorHAnsi"/>
                <w:sz w:val="20"/>
                <w:szCs w:val="20"/>
              </w:rPr>
              <w:br/>
              <w:t>(-15.2, 2.2).</w:t>
            </w:r>
          </w:p>
        </w:tc>
        <w:tc>
          <w:tcPr>
            <w:tcW w:w="963" w:type="dxa"/>
            <w:vAlign w:val="center"/>
          </w:tcPr>
          <w:p w14:paraId="35EB00E5"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w:t>
            </w:r>
          </w:p>
        </w:tc>
        <w:tc>
          <w:tcPr>
            <w:tcW w:w="1447" w:type="dxa"/>
            <w:vAlign w:val="center"/>
          </w:tcPr>
          <w:p w14:paraId="138E1561"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0.58 (medium)</w:t>
            </w:r>
          </w:p>
        </w:tc>
      </w:tr>
      <w:tr w:rsidR="0065629D" w:rsidRPr="00205340" w14:paraId="4D918F64" w14:textId="77777777" w:rsidTr="00000617">
        <w:tc>
          <w:tcPr>
            <w:tcW w:w="2263" w:type="dxa"/>
          </w:tcPr>
          <w:p w14:paraId="6BB3B3C0" w14:textId="77777777" w:rsidR="00176A45" w:rsidRPr="00205340" w:rsidRDefault="00176A45" w:rsidP="005C116D">
            <w:pPr>
              <w:spacing w:before="40" w:after="40"/>
              <w:rPr>
                <w:rFonts w:ascii="Arial Narrow" w:hAnsi="Arial Narrow" w:cstheme="minorHAnsi"/>
                <w:sz w:val="20"/>
                <w:szCs w:val="20"/>
                <w:vertAlign w:val="superscript"/>
              </w:rPr>
            </w:pPr>
            <w:proofErr w:type="spellStart"/>
            <w:r w:rsidRPr="00205340">
              <w:rPr>
                <w:rFonts w:ascii="Arial Narrow" w:hAnsi="Arial Narrow" w:cstheme="minorHAnsi"/>
                <w:sz w:val="20"/>
                <w:szCs w:val="20"/>
              </w:rPr>
              <w:t>Haemo</w:t>
            </w:r>
            <w:proofErr w:type="spellEnd"/>
            <w:r w:rsidRPr="00205340">
              <w:rPr>
                <w:rFonts w:ascii="Arial Narrow" w:hAnsi="Arial Narrow" w:cstheme="minorHAnsi"/>
                <w:sz w:val="20"/>
                <w:szCs w:val="20"/>
              </w:rPr>
              <w:t>-QoL</w:t>
            </w:r>
          </w:p>
          <w:p w14:paraId="6803C828" w14:textId="66C1CFCD"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sz w:val="20"/>
                <w:szCs w:val="20"/>
              </w:rPr>
              <w:t>12</w:t>
            </w:r>
            <w:r w:rsidR="00F00C02" w:rsidRPr="00205340">
              <w:rPr>
                <w:rFonts w:ascii="Arial Narrow" w:hAnsi="Arial Narrow" w:cstheme="minorHAnsi"/>
                <w:sz w:val="20"/>
                <w:szCs w:val="20"/>
              </w:rPr>
              <w:t>-</w:t>
            </w:r>
            <w:r w:rsidRPr="00205340">
              <w:rPr>
                <w:rFonts w:ascii="Arial Narrow" w:hAnsi="Arial Narrow" w:cstheme="minorHAnsi"/>
                <w:sz w:val="20"/>
                <w:szCs w:val="20"/>
              </w:rPr>
              <w:t>month TS</w:t>
            </w:r>
          </w:p>
        </w:tc>
        <w:tc>
          <w:tcPr>
            <w:tcW w:w="1418" w:type="dxa"/>
            <w:vAlign w:val="center"/>
          </w:tcPr>
          <w:p w14:paraId="742286A9"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NR</w:t>
            </w:r>
          </w:p>
        </w:tc>
        <w:tc>
          <w:tcPr>
            <w:tcW w:w="1559" w:type="dxa"/>
            <w:vAlign w:val="center"/>
          </w:tcPr>
          <w:p w14:paraId="6B950351"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NR</w:t>
            </w:r>
          </w:p>
        </w:tc>
        <w:tc>
          <w:tcPr>
            <w:tcW w:w="1134" w:type="dxa"/>
            <w:vAlign w:val="center"/>
          </w:tcPr>
          <w:p w14:paraId="4EAD396E"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NR</w:t>
            </w:r>
          </w:p>
        </w:tc>
        <w:tc>
          <w:tcPr>
            <w:tcW w:w="963" w:type="dxa"/>
            <w:vAlign w:val="center"/>
          </w:tcPr>
          <w:p w14:paraId="6681064D"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NR</w:t>
            </w:r>
          </w:p>
        </w:tc>
        <w:tc>
          <w:tcPr>
            <w:tcW w:w="1447" w:type="dxa"/>
            <w:vAlign w:val="center"/>
          </w:tcPr>
          <w:p w14:paraId="7EDBB3E7"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NR</w:t>
            </w:r>
          </w:p>
        </w:tc>
      </w:tr>
      <w:tr w:rsidR="0065629D" w:rsidRPr="00205340" w14:paraId="4A7BD449" w14:textId="77777777" w:rsidTr="00000617">
        <w:tc>
          <w:tcPr>
            <w:tcW w:w="2263" w:type="dxa"/>
          </w:tcPr>
          <w:p w14:paraId="6436CD83" w14:textId="77777777"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b/>
                <w:bCs/>
                <w:sz w:val="20"/>
                <w:szCs w:val="20"/>
              </w:rPr>
              <w:t>Outcome</w:t>
            </w:r>
          </w:p>
        </w:tc>
        <w:tc>
          <w:tcPr>
            <w:tcW w:w="1418" w:type="dxa"/>
          </w:tcPr>
          <w:p w14:paraId="257700CB" w14:textId="77777777" w:rsidR="00176A45" w:rsidRPr="00205340" w:rsidRDefault="00176A45" w:rsidP="005C116D">
            <w:pPr>
              <w:pStyle w:val="TableText"/>
              <w:rPr>
                <w:rFonts w:cstheme="minorHAnsi"/>
                <w:b/>
                <w:bCs/>
                <w:kern w:val="2"/>
                <w:szCs w:val="20"/>
                <w:lang w:eastAsia="en-AU"/>
                <w14:ligatures w14:val="standardContextual"/>
              </w:rPr>
            </w:pPr>
            <w:r w:rsidRPr="00205340">
              <w:rPr>
                <w:rFonts w:cstheme="minorHAnsi"/>
                <w:b/>
                <w:bCs/>
                <w:kern w:val="2"/>
                <w:szCs w:val="20"/>
                <w:lang w:eastAsia="en-AU"/>
                <w14:ligatures w14:val="standardContextual"/>
              </w:rPr>
              <w:t>Marstacimab ATP</w:t>
            </w:r>
          </w:p>
          <w:p w14:paraId="61663C4B" w14:textId="77777777"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b/>
                <w:bCs/>
                <w:sz w:val="20"/>
                <w:szCs w:val="20"/>
              </w:rPr>
              <w:t>N=83</w:t>
            </w:r>
          </w:p>
        </w:tc>
        <w:tc>
          <w:tcPr>
            <w:tcW w:w="1559" w:type="dxa"/>
          </w:tcPr>
          <w:p w14:paraId="2A23ED34" w14:textId="77777777" w:rsidR="00176A45" w:rsidRPr="00205340" w:rsidRDefault="00176A45" w:rsidP="005C116D">
            <w:pPr>
              <w:pStyle w:val="TableText"/>
              <w:rPr>
                <w:rFonts w:cstheme="minorHAnsi"/>
                <w:b/>
                <w:bCs/>
                <w:kern w:val="2"/>
                <w:szCs w:val="20"/>
                <w:lang w:eastAsia="en-AU"/>
                <w14:ligatures w14:val="standardContextual"/>
              </w:rPr>
            </w:pPr>
            <w:r w:rsidRPr="00205340">
              <w:rPr>
                <w:rFonts w:cstheme="minorHAnsi"/>
                <w:b/>
                <w:bCs/>
                <w:kern w:val="2"/>
                <w:szCs w:val="20"/>
                <w:lang w:eastAsia="en-AU"/>
                <w14:ligatures w14:val="standardContextual"/>
              </w:rPr>
              <w:t>Factor Prophylaxis OP</w:t>
            </w:r>
          </w:p>
          <w:p w14:paraId="3F4FA335" w14:textId="77777777" w:rsidR="00176A45" w:rsidRPr="00205340" w:rsidRDefault="00176A45" w:rsidP="005C116D">
            <w:pPr>
              <w:spacing w:before="40" w:after="40"/>
              <w:rPr>
                <w:rFonts w:ascii="Arial Narrow" w:hAnsi="Arial Narrow" w:cstheme="minorHAnsi"/>
                <w:b/>
                <w:bCs/>
                <w:sz w:val="20"/>
                <w:szCs w:val="20"/>
              </w:rPr>
            </w:pPr>
            <w:r w:rsidRPr="00205340">
              <w:rPr>
                <w:rFonts w:ascii="Arial Narrow" w:hAnsi="Arial Narrow" w:cstheme="minorHAnsi"/>
                <w:b/>
                <w:bCs/>
                <w:sz w:val="20"/>
                <w:szCs w:val="20"/>
              </w:rPr>
              <w:t>N=83</w:t>
            </w:r>
          </w:p>
        </w:tc>
        <w:tc>
          <w:tcPr>
            <w:tcW w:w="1134" w:type="dxa"/>
          </w:tcPr>
          <w:p w14:paraId="6D34EE62" w14:textId="77777777" w:rsidR="00176A45" w:rsidRPr="00205340" w:rsidRDefault="00176A45" w:rsidP="005C116D">
            <w:pPr>
              <w:spacing w:before="40" w:after="40"/>
              <w:rPr>
                <w:rFonts w:ascii="Arial Narrow" w:hAnsi="Arial Narrow" w:cstheme="minorHAnsi"/>
                <w:b/>
                <w:bCs/>
                <w:sz w:val="20"/>
                <w:szCs w:val="20"/>
                <w:vertAlign w:val="superscript"/>
              </w:rPr>
            </w:pPr>
            <w:proofErr w:type="spellStart"/>
            <w:r w:rsidRPr="00205340">
              <w:rPr>
                <w:rFonts w:ascii="Arial Narrow" w:hAnsi="Arial Narrow" w:cstheme="minorHAnsi"/>
                <w:b/>
                <w:bCs/>
                <w:sz w:val="20"/>
                <w:szCs w:val="20"/>
              </w:rPr>
              <w:t>Difference</w:t>
            </w:r>
            <w:r w:rsidRPr="00205340">
              <w:rPr>
                <w:rFonts w:ascii="Arial Narrow" w:hAnsi="Arial Narrow" w:cstheme="minorHAnsi"/>
                <w:b/>
                <w:bCs/>
                <w:sz w:val="20"/>
                <w:szCs w:val="20"/>
                <w:vertAlign w:val="superscript"/>
              </w:rPr>
              <w:t>g</w:t>
            </w:r>
            <w:proofErr w:type="spellEnd"/>
          </w:p>
          <w:p w14:paraId="22AA2668" w14:textId="77777777"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b/>
                <w:bCs/>
                <w:sz w:val="20"/>
                <w:szCs w:val="20"/>
              </w:rPr>
              <w:t>(95% CI)</w:t>
            </w:r>
          </w:p>
        </w:tc>
        <w:tc>
          <w:tcPr>
            <w:tcW w:w="963" w:type="dxa"/>
          </w:tcPr>
          <w:p w14:paraId="7490208C" w14:textId="77777777"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b/>
                <w:bCs/>
                <w:sz w:val="20"/>
                <w:szCs w:val="20"/>
              </w:rPr>
              <w:t>p-value</w:t>
            </w:r>
          </w:p>
        </w:tc>
        <w:tc>
          <w:tcPr>
            <w:tcW w:w="1447" w:type="dxa"/>
          </w:tcPr>
          <w:p w14:paraId="583D809C" w14:textId="77777777"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b/>
                <w:bCs/>
                <w:sz w:val="20"/>
                <w:szCs w:val="20"/>
              </w:rPr>
              <w:t>Effect size</w:t>
            </w:r>
          </w:p>
        </w:tc>
      </w:tr>
      <w:tr w:rsidR="0065629D" w:rsidRPr="00205340" w14:paraId="7926456E" w14:textId="77777777" w:rsidTr="00000617">
        <w:tc>
          <w:tcPr>
            <w:tcW w:w="2263" w:type="dxa"/>
          </w:tcPr>
          <w:p w14:paraId="0B8BD8C7" w14:textId="77777777" w:rsidR="00176A45" w:rsidRPr="00205340" w:rsidRDefault="00176A45" w:rsidP="005C116D">
            <w:pPr>
              <w:spacing w:before="40" w:after="40"/>
              <w:rPr>
                <w:rFonts w:ascii="Arial Narrow" w:hAnsi="Arial Narrow" w:cstheme="minorHAnsi"/>
                <w:sz w:val="20"/>
                <w:szCs w:val="20"/>
              </w:rPr>
            </w:pPr>
            <w:bookmarkStart w:id="45" w:name="_Hlk215494052"/>
            <w:r w:rsidRPr="00205340">
              <w:rPr>
                <w:rFonts w:ascii="Arial Narrow" w:hAnsi="Arial Narrow" w:cstheme="minorHAnsi"/>
                <w:sz w:val="20"/>
                <w:szCs w:val="20"/>
              </w:rPr>
              <w:t xml:space="preserve">EQ-5D-5L index </w:t>
            </w:r>
            <w:proofErr w:type="spellStart"/>
            <w:r w:rsidRPr="00205340">
              <w:rPr>
                <w:rFonts w:ascii="Arial Narrow" w:hAnsi="Arial Narrow" w:cstheme="minorHAnsi"/>
                <w:sz w:val="20"/>
                <w:szCs w:val="20"/>
              </w:rPr>
              <w:t>score</w:t>
            </w:r>
            <w:r w:rsidRPr="00205340">
              <w:rPr>
                <w:rFonts w:ascii="Arial Narrow" w:hAnsi="Arial Narrow" w:cstheme="minorHAnsi"/>
                <w:sz w:val="20"/>
                <w:szCs w:val="20"/>
                <w:vertAlign w:val="superscript"/>
              </w:rPr>
              <w:t>h</w:t>
            </w:r>
            <w:proofErr w:type="spellEnd"/>
          </w:p>
          <w:p w14:paraId="0F07FF1F" w14:textId="63C1E978"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sz w:val="20"/>
                <w:szCs w:val="20"/>
              </w:rPr>
              <w:t>6</w:t>
            </w:r>
            <w:r w:rsidR="00F00C02" w:rsidRPr="00205340">
              <w:rPr>
                <w:rFonts w:ascii="Arial Narrow" w:hAnsi="Arial Narrow" w:cstheme="minorHAnsi"/>
                <w:sz w:val="20"/>
                <w:szCs w:val="20"/>
              </w:rPr>
              <w:t>-</w:t>
            </w:r>
            <w:r w:rsidRPr="00205340">
              <w:rPr>
                <w:rFonts w:ascii="Arial Narrow" w:hAnsi="Arial Narrow" w:cstheme="minorHAnsi"/>
                <w:sz w:val="20"/>
                <w:szCs w:val="20"/>
              </w:rPr>
              <w:t>month</w:t>
            </w:r>
          </w:p>
        </w:tc>
        <w:tc>
          <w:tcPr>
            <w:tcW w:w="1418" w:type="dxa"/>
            <w:vAlign w:val="center"/>
          </w:tcPr>
          <w:p w14:paraId="40D2FDE9"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0.075</w:t>
            </w:r>
            <w:r w:rsidRPr="00205340">
              <w:rPr>
                <w:rFonts w:ascii="Arial Narrow" w:hAnsi="Arial Narrow" w:cstheme="minorHAnsi"/>
                <w:color w:val="auto"/>
                <w:kern w:val="2"/>
                <w:sz w:val="20"/>
                <w:szCs w:val="20"/>
              </w:rPr>
              <w:br/>
              <w:t>(0.018, 0.133)</w:t>
            </w:r>
          </w:p>
        </w:tc>
        <w:tc>
          <w:tcPr>
            <w:tcW w:w="1559" w:type="dxa"/>
            <w:vAlign w:val="center"/>
          </w:tcPr>
          <w:p w14:paraId="7963AF94"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0.030</w:t>
            </w:r>
            <w:r w:rsidRPr="00205340">
              <w:rPr>
                <w:rFonts w:ascii="Arial Narrow" w:hAnsi="Arial Narrow" w:cstheme="minorHAnsi"/>
                <w:color w:val="auto"/>
                <w:kern w:val="2"/>
                <w:sz w:val="20"/>
                <w:szCs w:val="20"/>
              </w:rPr>
              <w:br/>
              <w:t>(-0.014, 0.074)</w:t>
            </w:r>
          </w:p>
        </w:tc>
        <w:tc>
          <w:tcPr>
            <w:tcW w:w="1134" w:type="dxa"/>
            <w:vAlign w:val="center"/>
          </w:tcPr>
          <w:p w14:paraId="0053BC1A"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 xml:space="preserve">0.022 </w:t>
            </w:r>
            <w:r w:rsidRPr="00205340">
              <w:rPr>
                <w:rFonts w:ascii="Arial Narrow" w:hAnsi="Arial Narrow" w:cstheme="minorHAnsi"/>
                <w:color w:val="auto"/>
                <w:kern w:val="2"/>
                <w:sz w:val="20"/>
                <w:szCs w:val="20"/>
              </w:rPr>
              <w:br/>
              <w:t>(-0.043, 0.088)</w:t>
            </w:r>
          </w:p>
        </w:tc>
        <w:tc>
          <w:tcPr>
            <w:tcW w:w="963" w:type="dxa"/>
            <w:vAlign w:val="center"/>
          </w:tcPr>
          <w:p w14:paraId="2763E453"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0.505</w:t>
            </w:r>
          </w:p>
        </w:tc>
        <w:tc>
          <w:tcPr>
            <w:tcW w:w="1447" w:type="dxa"/>
            <w:vAlign w:val="center"/>
          </w:tcPr>
          <w:p w14:paraId="3E3B0471"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0.12 (small)</w:t>
            </w:r>
          </w:p>
        </w:tc>
      </w:tr>
      <w:tr w:rsidR="0065629D" w:rsidRPr="00205340" w14:paraId="066614F9" w14:textId="77777777" w:rsidTr="00000617">
        <w:tc>
          <w:tcPr>
            <w:tcW w:w="2263" w:type="dxa"/>
          </w:tcPr>
          <w:p w14:paraId="4C4279C2" w14:textId="77777777"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sz w:val="20"/>
                <w:szCs w:val="20"/>
              </w:rPr>
              <w:t>EQ-5D-5L index score</w:t>
            </w:r>
          </w:p>
          <w:p w14:paraId="2D45D76D" w14:textId="023EDBE5"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sz w:val="20"/>
                <w:szCs w:val="20"/>
              </w:rPr>
              <w:t>12</w:t>
            </w:r>
            <w:r w:rsidR="00F00C02" w:rsidRPr="00205340">
              <w:rPr>
                <w:rFonts w:ascii="Arial Narrow" w:hAnsi="Arial Narrow" w:cstheme="minorHAnsi"/>
                <w:sz w:val="20"/>
                <w:szCs w:val="20"/>
              </w:rPr>
              <w:t>-</w:t>
            </w:r>
            <w:r w:rsidRPr="00205340">
              <w:rPr>
                <w:rFonts w:ascii="Arial Narrow" w:hAnsi="Arial Narrow" w:cstheme="minorHAnsi"/>
                <w:sz w:val="20"/>
                <w:szCs w:val="20"/>
              </w:rPr>
              <w:t>month</w:t>
            </w:r>
          </w:p>
        </w:tc>
        <w:tc>
          <w:tcPr>
            <w:tcW w:w="1418" w:type="dxa"/>
            <w:vAlign w:val="center"/>
          </w:tcPr>
          <w:p w14:paraId="6B66432B" w14:textId="77777777" w:rsidR="00176A45" w:rsidRPr="00205340" w:rsidRDefault="00176A45" w:rsidP="005C116D">
            <w:pPr>
              <w:pStyle w:val="Default"/>
              <w:spacing w:before="40" w:after="40"/>
              <w:jc w:val="center"/>
              <w:rPr>
                <w:rFonts w:ascii="Arial Narrow" w:hAnsi="Arial Narrow" w:cstheme="minorHAnsi"/>
                <w:kern w:val="2"/>
                <w:szCs w:val="20"/>
              </w:rPr>
            </w:pPr>
            <w:r w:rsidRPr="00205340">
              <w:rPr>
                <w:rFonts w:ascii="Arial Narrow" w:hAnsi="Arial Narrow" w:cstheme="minorHAnsi"/>
                <w:color w:val="auto"/>
                <w:kern w:val="2"/>
                <w:sz w:val="20"/>
                <w:szCs w:val="20"/>
              </w:rPr>
              <w:t>0.064</w:t>
            </w:r>
            <w:r w:rsidRPr="00205340">
              <w:rPr>
                <w:rFonts w:ascii="Arial Narrow" w:hAnsi="Arial Narrow" w:cstheme="minorHAnsi"/>
                <w:color w:val="auto"/>
                <w:kern w:val="2"/>
                <w:sz w:val="20"/>
                <w:szCs w:val="20"/>
              </w:rPr>
              <w:br/>
              <w:t>(0.009, 0.119)</w:t>
            </w:r>
          </w:p>
        </w:tc>
        <w:tc>
          <w:tcPr>
            <w:tcW w:w="1559" w:type="dxa"/>
            <w:vAlign w:val="center"/>
          </w:tcPr>
          <w:p w14:paraId="4D2BA8E7"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0.030</w:t>
            </w:r>
            <w:r w:rsidRPr="00205340">
              <w:rPr>
                <w:rFonts w:ascii="Arial Narrow" w:hAnsi="Arial Narrow" w:cstheme="minorHAnsi"/>
                <w:color w:val="auto"/>
                <w:kern w:val="2"/>
                <w:sz w:val="20"/>
                <w:szCs w:val="20"/>
              </w:rPr>
              <w:br/>
              <w:t>(-0.014, 0.074)</w:t>
            </w:r>
          </w:p>
        </w:tc>
        <w:tc>
          <w:tcPr>
            <w:tcW w:w="1134" w:type="dxa"/>
            <w:vAlign w:val="center"/>
          </w:tcPr>
          <w:p w14:paraId="1EFB8F7F"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0.023</w:t>
            </w:r>
            <w:r w:rsidRPr="00205340">
              <w:rPr>
                <w:rFonts w:ascii="Arial Narrow" w:hAnsi="Arial Narrow" w:cstheme="minorHAnsi"/>
                <w:color w:val="auto"/>
                <w:kern w:val="2"/>
                <w:sz w:val="20"/>
                <w:szCs w:val="20"/>
              </w:rPr>
              <w:br/>
              <w:t>(-0.042, 0.087)</w:t>
            </w:r>
          </w:p>
        </w:tc>
        <w:tc>
          <w:tcPr>
            <w:tcW w:w="963" w:type="dxa"/>
            <w:vAlign w:val="center"/>
          </w:tcPr>
          <w:p w14:paraId="33BCABFE"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0.493</w:t>
            </w:r>
          </w:p>
        </w:tc>
        <w:tc>
          <w:tcPr>
            <w:tcW w:w="1447" w:type="dxa"/>
            <w:vAlign w:val="center"/>
          </w:tcPr>
          <w:p w14:paraId="681EF33B"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w:t>
            </w:r>
          </w:p>
        </w:tc>
      </w:tr>
      <w:tr w:rsidR="0065629D" w:rsidRPr="00205340" w14:paraId="41917C6D" w14:textId="77777777" w:rsidTr="00000617">
        <w:tc>
          <w:tcPr>
            <w:tcW w:w="2263" w:type="dxa"/>
          </w:tcPr>
          <w:p w14:paraId="153F5593" w14:textId="77777777"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sz w:val="20"/>
                <w:szCs w:val="20"/>
              </w:rPr>
              <w:t xml:space="preserve">EQ-VAS </w:t>
            </w:r>
            <w:proofErr w:type="spellStart"/>
            <w:r w:rsidRPr="00205340">
              <w:rPr>
                <w:rFonts w:ascii="Arial Narrow" w:hAnsi="Arial Narrow" w:cstheme="minorHAnsi"/>
                <w:sz w:val="20"/>
                <w:szCs w:val="20"/>
              </w:rPr>
              <w:t>score</w:t>
            </w:r>
            <w:r w:rsidRPr="00205340">
              <w:rPr>
                <w:rFonts w:ascii="Arial Narrow" w:hAnsi="Arial Narrow" w:cstheme="minorHAnsi"/>
                <w:sz w:val="20"/>
                <w:szCs w:val="20"/>
                <w:vertAlign w:val="superscript"/>
              </w:rPr>
              <w:t>i</w:t>
            </w:r>
            <w:proofErr w:type="spellEnd"/>
            <w:r w:rsidRPr="00205340">
              <w:rPr>
                <w:rFonts w:ascii="Arial Narrow" w:hAnsi="Arial Narrow" w:cstheme="minorHAnsi"/>
                <w:sz w:val="20"/>
                <w:szCs w:val="20"/>
                <w:vertAlign w:val="superscript"/>
              </w:rPr>
              <w:t xml:space="preserve"> </w:t>
            </w:r>
          </w:p>
          <w:p w14:paraId="39C295F6" w14:textId="7AD7EFA7"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sz w:val="20"/>
                <w:szCs w:val="20"/>
              </w:rPr>
              <w:t>6</w:t>
            </w:r>
            <w:r w:rsidR="00F00C02" w:rsidRPr="00205340">
              <w:rPr>
                <w:rFonts w:ascii="Arial Narrow" w:hAnsi="Arial Narrow" w:cstheme="minorHAnsi"/>
                <w:sz w:val="20"/>
                <w:szCs w:val="20"/>
              </w:rPr>
              <w:t>-</w:t>
            </w:r>
            <w:r w:rsidRPr="00205340">
              <w:rPr>
                <w:rFonts w:ascii="Arial Narrow" w:hAnsi="Arial Narrow" w:cstheme="minorHAnsi"/>
                <w:sz w:val="20"/>
                <w:szCs w:val="20"/>
              </w:rPr>
              <w:t>month</w:t>
            </w:r>
          </w:p>
        </w:tc>
        <w:tc>
          <w:tcPr>
            <w:tcW w:w="1418" w:type="dxa"/>
            <w:vAlign w:val="center"/>
          </w:tcPr>
          <w:p w14:paraId="78FFC2A0"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4.5</w:t>
            </w:r>
            <w:r w:rsidRPr="00205340">
              <w:rPr>
                <w:rFonts w:ascii="Arial Narrow" w:hAnsi="Arial Narrow" w:cstheme="minorHAnsi"/>
                <w:color w:val="auto"/>
                <w:kern w:val="2"/>
                <w:sz w:val="20"/>
                <w:szCs w:val="20"/>
              </w:rPr>
              <w:br/>
              <w:t>(1.4, 7.7)</w:t>
            </w:r>
          </w:p>
        </w:tc>
        <w:tc>
          <w:tcPr>
            <w:tcW w:w="1559" w:type="dxa"/>
            <w:vAlign w:val="center"/>
          </w:tcPr>
          <w:p w14:paraId="06DA602D"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3.0</w:t>
            </w:r>
            <w:r w:rsidRPr="00205340">
              <w:rPr>
                <w:rFonts w:ascii="Arial Narrow" w:hAnsi="Arial Narrow" w:cstheme="minorHAnsi"/>
                <w:color w:val="auto"/>
                <w:kern w:val="2"/>
                <w:sz w:val="20"/>
                <w:szCs w:val="20"/>
              </w:rPr>
              <w:br/>
              <w:t xml:space="preserve">(-0.6, 6.6) </w:t>
            </w:r>
          </w:p>
        </w:tc>
        <w:tc>
          <w:tcPr>
            <w:tcW w:w="1134" w:type="dxa"/>
            <w:vAlign w:val="center"/>
          </w:tcPr>
          <w:p w14:paraId="02A84F21"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0.6</w:t>
            </w:r>
            <w:r w:rsidRPr="00205340">
              <w:rPr>
                <w:rFonts w:ascii="Arial Narrow" w:hAnsi="Arial Narrow" w:cstheme="minorHAnsi"/>
                <w:color w:val="auto"/>
                <w:kern w:val="2"/>
                <w:sz w:val="20"/>
                <w:szCs w:val="20"/>
              </w:rPr>
              <w:br/>
              <w:t>(-4.0, 5.1)</w:t>
            </w:r>
          </w:p>
        </w:tc>
        <w:tc>
          <w:tcPr>
            <w:tcW w:w="963" w:type="dxa"/>
            <w:vAlign w:val="center"/>
          </w:tcPr>
          <w:p w14:paraId="0DF061FC"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0.801</w:t>
            </w:r>
          </w:p>
        </w:tc>
        <w:tc>
          <w:tcPr>
            <w:tcW w:w="1447" w:type="dxa"/>
            <w:vAlign w:val="center"/>
          </w:tcPr>
          <w:p w14:paraId="59EBAE7B"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0.03</w:t>
            </w:r>
          </w:p>
        </w:tc>
      </w:tr>
      <w:tr w:rsidR="0065629D" w:rsidRPr="00205340" w14:paraId="7D05948F" w14:textId="77777777" w:rsidTr="00000617">
        <w:tc>
          <w:tcPr>
            <w:tcW w:w="2263" w:type="dxa"/>
          </w:tcPr>
          <w:p w14:paraId="055F2FFA" w14:textId="77777777"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sz w:val="20"/>
                <w:szCs w:val="20"/>
              </w:rPr>
              <w:t>EQ-VAS score</w:t>
            </w:r>
          </w:p>
          <w:p w14:paraId="2FC03D26" w14:textId="2A0F9B44"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sz w:val="20"/>
                <w:szCs w:val="20"/>
              </w:rPr>
              <w:t>12</w:t>
            </w:r>
            <w:r w:rsidR="00F00C02" w:rsidRPr="00205340">
              <w:rPr>
                <w:rFonts w:ascii="Arial Narrow" w:hAnsi="Arial Narrow" w:cstheme="minorHAnsi"/>
                <w:sz w:val="20"/>
                <w:szCs w:val="20"/>
              </w:rPr>
              <w:t>-</w:t>
            </w:r>
            <w:r w:rsidRPr="00205340">
              <w:rPr>
                <w:rFonts w:ascii="Arial Narrow" w:hAnsi="Arial Narrow" w:cstheme="minorHAnsi"/>
                <w:sz w:val="20"/>
                <w:szCs w:val="20"/>
              </w:rPr>
              <w:t>month</w:t>
            </w:r>
          </w:p>
        </w:tc>
        <w:tc>
          <w:tcPr>
            <w:tcW w:w="1418" w:type="dxa"/>
            <w:vAlign w:val="center"/>
          </w:tcPr>
          <w:p w14:paraId="7CF69E89"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3.0</w:t>
            </w:r>
            <w:r w:rsidRPr="00205340">
              <w:rPr>
                <w:rFonts w:ascii="Arial Narrow" w:hAnsi="Arial Narrow" w:cstheme="minorHAnsi"/>
                <w:color w:val="auto"/>
                <w:kern w:val="2"/>
                <w:sz w:val="20"/>
                <w:szCs w:val="20"/>
              </w:rPr>
              <w:br/>
              <w:t xml:space="preserve">(-0.2, 6.2) </w:t>
            </w:r>
          </w:p>
        </w:tc>
        <w:tc>
          <w:tcPr>
            <w:tcW w:w="1559" w:type="dxa"/>
            <w:vAlign w:val="center"/>
          </w:tcPr>
          <w:p w14:paraId="1C2CF5C4"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3.0</w:t>
            </w:r>
            <w:r w:rsidRPr="00205340">
              <w:rPr>
                <w:rFonts w:ascii="Arial Narrow" w:hAnsi="Arial Narrow" w:cstheme="minorHAnsi"/>
                <w:color w:val="auto"/>
                <w:kern w:val="2"/>
                <w:sz w:val="20"/>
                <w:szCs w:val="20"/>
              </w:rPr>
              <w:br/>
              <w:t xml:space="preserve">(-0.6, 6.6) </w:t>
            </w:r>
          </w:p>
        </w:tc>
        <w:tc>
          <w:tcPr>
            <w:tcW w:w="1134" w:type="dxa"/>
            <w:vAlign w:val="center"/>
          </w:tcPr>
          <w:p w14:paraId="03DD2DC2"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-1.5</w:t>
            </w:r>
            <w:r w:rsidRPr="00205340">
              <w:rPr>
                <w:rFonts w:ascii="Arial Narrow" w:hAnsi="Arial Narrow" w:cstheme="minorHAnsi"/>
                <w:color w:val="auto"/>
                <w:kern w:val="2"/>
                <w:sz w:val="20"/>
                <w:szCs w:val="20"/>
              </w:rPr>
              <w:br/>
              <w:t>(-6.9, 3.8)</w:t>
            </w:r>
          </w:p>
        </w:tc>
        <w:tc>
          <w:tcPr>
            <w:tcW w:w="963" w:type="dxa"/>
            <w:vAlign w:val="center"/>
          </w:tcPr>
          <w:p w14:paraId="57311EE0"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0.578</w:t>
            </w:r>
          </w:p>
        </w:tc>
        <w:tc>
          <w:tcPr>
            <w:tcW w:w="1447" w:type="dxa"/>
            <w:vAlign w:val="center"/>
          </w:tcPr>
          <w:p w14:paraId="127A6872"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w:t>
            </w:r>
          </w:p>
        </w:tc>
      </w:tr>
      <w:bookmarkEnd w:id="45"/>
      <w:tr w:rsidR="0065629D" w:rsidRPr="00205340" w14:paraId="60EEE002" w14:textId="77777777" w:rsidTr="00000617">
        <w:tc>
          <w:tcPr>
            <w:tcW w:w="2263" w:type="dxa"/>
          </w:tcPr>
          <w:p w14:paraId="5A212629" w14:textId="77777777" w:rsidR="00176A45" w:rsidRPr="00205340" w:rsidRDefault="00176A45" w:rsidP="005C116D">
            <w:pPr>
              <w:spacing w:before="40" w:after="40"/>
              <w:rPr>
                <w:rFonts w:ascii="Arial Narrow" w:hAnsi="Arial Narrow" w:cstheme="minorHAnsi"/>
                <w:sz w:val="20"/>
                <w:szCs w:val="20"/>
                <w:vertAlign w:val="superscript"/>
              </w:rPr>
            </w:pPr>
            <w:r w:rsidRPr="00205340">
              <w:rPr>
                <w:rFonts w:ascii="Arial Narrow" w:hAnsi="Arial Narrow" w:cstheme="minorHAnsi"/>
                <w:sz w:val="20"/>
                <w:szCs w:val="20"/>
              </w:rPr>
              <w:t>PGIC-</w:t>
            </w:r>
            <w:proofErr w:type="spellStart"/>
            <w:r w:rsidRPr="00205340">
              <w:rPr>
                <w:rFonts w:ascii="Arial Narrow" w:hAnsi="Arial Narrow" w:cstheme="minorHAnsi"/>
                <w:sz w:val="20"/>
                <w:szCs w:val="20"/>
              </w:rPr>
              <w:t>H</w:t>
            </w:r>
            <w:r w:rsidRPr="00205340">
              <w:rPr>
                <w:rFonts w:ascii="Arial Narrow" w:hAnsi="Arial Narrow" w:cstheme="minorHAnsi"/>
                <w:sz w:val="20"/>
                <w:szCs w:val="20"/>
                <w:vertAlign w:val="superscript"/>
              </w:rPr>
              <w:t>j</w:t>
            </w:r>
            <w:proofErr w:type="spellEnd"/>
          </w:p>
          <w:p w14:paraId="44C1E89B" w14:textId="3BF4FEC4"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sz w:val="20"/>
                <w:szCs w:val="20"/>
              </w:rPr>
              <w:t>6</w:t>
            </w:r>
            <w:r w:rsidR="00F00C02" w:rsidRPr="00205340">
              <w:rPr>
                <w:rFonts w:ascii="Arial Narrow" w:hAnsi="Arial Narrow" w:cstheme="minorHAnsi"/>
                <w:sz w:val="20"/>
                <w:szCs w:val="20"/>
              </w:rPr>
              <w:t>-</w:t>
            </w:r>
            <w:r w:rsidRPr="00205340">
              <w:rPr>
                <w:rFonts w:ascii="Arial Narrow" w:hAnsi="Arial Narrow" w:cstheme="minorHAnsi"/>
                <w:sz w:val="20"/>
                <w:szCs w:val="20"/>
              </w:rPr>
              <w:t>month</w:t>
            </w:r>
          </w:p>
        </w:tc>
        <w:tc>
          <w:tcPr>
            <w:tcW w:w="1418" w:type="dxa"/>
            <w:vAlign w:val="center"/>
          </w:tcPr>
          <w:p w14:paraId="5E0569DC"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1.8</w:t>
            </w:r>
            <w:r w:rsidRPr="00205340">
              <w:rPr>
                <w:rFonts w:ascii="Arial Narrow" w:hAnsi="Arial Narrow" w:cstheme="minorHAnsi"/>
                <w:color w:val="auto"/>
                <w:kern w:val="2"/>
                <w:sz w:val="20"/>
                <w:szCs w:val="20"/>
              </w:rPr>
              <w:br/>
              <w:t>(1.4, 2.3)</w:t>
            </w:r>
          </w:p>
        </w:tc>
        <w:tc>
          <w:tcPr>
            <w:tcW w:w="1559" w:type="dxa"/>
            <w:vAlign w:val="center"/>
          </w:tcPr>
          <w:p w14:paraId="10BAF7D0"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3.5</w:t>
            </w:r>
            <w:r w:rsidRPr="00205340">
              <w:rPr>
                <w:rFonts w:ascii="Arial Narrow" w:hAnsi="Arial Narrow" w:cstheme="minorHAnsi"/>
                <w:color w:val="auto"/>
                <w:kern w:val="2"/>
                <w:sz w:val="20"/>
                <w:szCs w:val="20"/>
              </w:rPr>
              <w:br/>
              <w:t>(3.0, 3.9)</w:t>
            </w:r>
          </w:p>
        </w:tc>
        <w:tc>
          <w:tcPr>
            <w:tcW w:w="1134" w:type="dxa"/>
            <w:vAlign w:val="center"/>
          </w:tcPr>
          <w:p w14:paraId="6FC1A6B3"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-1.8</w:t>
            </w:r>
            <w:r w:rsidRPr="00205340">
              <w:rPr>
                <w:rFonts w:ascii="Arial Narrow" w:hAnsi="Arial Narrow" w:cstheme="minorHAnsi"/>
                <w:color w:val="auto"/>
                <w:kern w:val="2"/>
                <w:sz w:val="20"/>
                <w:szCs w:val="20"/>
              </w:rPr>
              <w:br/>
              <w:t>(-2.2, -1.4)</w:t>
            </w:r>
          </w:p>
        </w:tc>
        <w:tc>
          <w:tcPr>
            <w:tcW w:w="963" w:type="dxa"/>
            <w:vAlign w:val="center"/>
          </w:tcPr>
          <w:p w14:paraId="73250D72"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w:t>
            </w:r>
          </w:p>
        </w:tc>
        <w:tc>
          <w:tcPr>
            <w:tcW w:w="1447" w:type="dxa"/>
            <w:vAlign w:val="center"/>
          </w:tcPr>
          <w:p w14:paraId="6F81C852"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w:t>
            </w:r>
          </w:p>
        </w:tc>
      </w:tr>
      <w:tr w:rsidR="0065629D" w:rsidRPr="00205340" w14:paraId="5E6659FA" w14:textId="77777777" w:rsidTr="00000617">
        <w:tc>
          <w:tcPr>
            <w:tcW w:w="2263" w:type="dxa"/>
          </w:tcPr>
          <w:p w14:paraId="47148E0F" w14:textId="77777777"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sz w:val="20"/>
                <w:szCs w:val="20"/>
              </w:rPr>
              <w:t>PGIC-H</w:t>
            </w:r>
          </w:p>
          <w:p w14:paraId="7A9AAD69" w14:textId="28F3899C"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sz w:val="20"/>
                <w:szCs w:val="20"/>
              </w:rPr>
              <w:t>12</w:t>
            </w:r>
            <w:r w:rsidR="00F00C02" w:rsidRPr="00205340">
              <w:rPr>
                <w:rFonts w:ascii="Arial Narrow" w:hAnsi="Arial Narrow" w:cstheme="minorHAnsi"/>
                <w:sz w:val="20"/>
                <w:szCs w:val="20"/>
              </w:rPr>
              <w:t>-</w:t>
            </w:r>
            <w:r w:rsidRPr="00205340">
              <w:rPr>
                <w:rFonts w:ascii="Arial Narrow" w:hAnsi="Arial Narrow" w:cstheme="minorHAnsi"/>
                <w:sz w:val="20"/>
                <w:szCs w:val="20"/>
              </w:rPr>
              <w:t>month</w:t>
            </w:r>
          </w:p>
        </w:tc>
        <w:tc>
          <w:tcPr>
            <w:tcW w:w="1418" w:type="dxa"/>
            <w:vAlign w:val="center"/>
          </w:tcPr>
          <w:p w14:paraId="1AFB9ECA"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NR</w:t>
            </w:r>
          </w:p>
        </w:tc>
        <w:tc>
          <w:tcPr>
            <w:tcW w:w="1559" w:type="dxa"/>
            <w:vAlign w:val="center"/>
          </w:tcPr>
          <w:p w14:paraId="420778C9"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NR</w:t>
            </w:r>
          </w:p>
        </w:tc>
        <w:tc>
          <w:tcPr>
            <w:tcW w:w="1134" w:type="dxa"/>
            <w:vAlign w:val="center"/>
          </w:tcPr>
          <w:p w14:paraId="33B182D9"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NR</w:t>
            </w:r>
          </w:p>
        </w:tc>
        <w:tc>
          <w:tcPr>
            <w:tcW w:w="963" w:type="dxa"/>
            <w:vAlign w:val="center"/>
          </w:tcPr>
          <w:p w14:paraId="3BF591C7"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NR</w:t>
            </w:r>
          </w:p>
        </w:tc>
        <w:tc>
          <w:tcPr>
            <w:tcW w:w="1447" w:type="dxa"/>
            <w:vAlign w:val="center"/>
          </w:tcPr>
          <w:p w14:paraId="56E65C0E"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NR</w:t>
            </w:r>
          </w:p>
        </w:tc>
      </w:tr>
      <w:tr w:rsidR="0065629D" w:rsidRPr="00205340" w14:paraId="17F910B2" w14:textId="77777777" w:rsidTr="00000617">
        <w:tc>
          <w:tcPr>
            <w:tcW w:w="2263" w:type="dxa"/>
          </w:tcPr>
          <w:p w14:paraId="1796C44F" w14:textId="77777777" w:rsidR="00176A45" w:rsidRPr="00205340" w:rsidRDefault="00176A45" w:rsidP="005C116D">
            <w:pPr>
              <w:spacing w:before="40" w:after="40"/>
              <w:rPr>
                <w:rFonts w:ascii="Arial Narrow" w:hAnsi="Arial Narrow" w:cstheme="minorHAnsi"/>
                <w:sz w:val="20"/>
                <w:szCs w:val="20"/>
                <w:vertAlign w:val="superscript"/>
              </w:rPr>
            </w:pPr>
            <w:bookmarkStart w:id="46" w:name="_Hlk215494066"/>
            <w:r w:rsidRPr="00205340">
              <w:rPr>
                <w:rFonts w:ascii="Arial Narrow" w:hAnsi="Arial Narrow" w:cstheme="minorHAnsi"/>
                <w:sz w:val="20"/>
                <w:szCs w:val="20"/>
              </w:rPr>
              <w:t>HAL2</w:t>
            </w:r>
            <w:r w:rsidRPr="00205340">
              <w:rPr>
                <w:rFonts w:ascii="Arial Narrow" w:hAnsi="Arial Narrow" w:cstheme="minorHAnsi"/>
                <w:sz w:val="20"/>
                <w:szCs w:val="20"/>
                <w:vertAlign w:val="superscript"/>
              </w:rPr>
              <w:t>k</w:t>
            </w:r>
          </w:p>
          <w:p w14:paraId="0DF5C12D" w14:textId="24065CFE"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sz w:val="20"/>
                <w:szCs w:val="20"/>
              </w:rPr>
              <w:t>6</w:t>
            </w:r>
            <w:r w:rsidR="00F00C02" w:rsidRPr="00205340">
              <w:rPr>
                <w:rFonts w:ascii="Arial Narrow" w:hAnsi="Arial Narrow" w:cstheme="minorHAnsi"/>
                <w:sz w:val="20"/>
                <w:szCs w:val="20"/>
              </w:rPr>
              <w:t>-</w:t>
            </w:r>
            <w:r w:rsidRPr="00205340">
              <w:rPr>
                <w:rFonts w:ascii="Arial Narrow" w:hAnsi="Arial Narrow" w:cstheme="minorHAnsi"/>
                <w:sz w:val="20"/>
                <w:szCs w:val="20"/>
              </w:rPr>
              <w:t>month</w:t>
            </w:r>
          </w:p>
        </w:tc>
        <w:tc>
          <w:tcPr>
            <w:tcW w:w="1418" w:type="dxa"/>
            <w:vAlign w:val="center"/>
          </w:tcPr>
          <w:p w14:paraId="280090D9"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2.1</w:t>
            </w:r>
            <w:r w:rsidRPr="00205340">
              <w:rPr>
                <w:rFonts w:ascii="Arial Narrow" w:hAnsi="Arial Narrow" w:cstheme="minorHAnsi"/>
                <w:color w:val="auto"/>
                <w:kern w:val="2"/>
                <w:sz w:val="20"/>
                <w:szCs w:val="20"/>
              </w:rPr>
              <w:br/>
              <w:t>(-1.0, 5.1)</w:t>
            </w:r>
          </w:p>
        </w:tc>
        <w:tc>
          <w:tcPr>
            <w:tcW w:w="1559" w:type="dxa"/>
            <w:vAlign w:val="center"/>
          </w:tcPr>
          <w:p w14:paraId="38C1A2D5"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-0.6</w:t>
            </w:r>
            <w:r w:rsidRPr="00205340">
              <w:rPr>
                <w:rFonts w:ascii="Arial Narrow" w:hAnsi="Arial Narrow" w:cstheme="minorHAnsi"/>
                <w:color w:val="auto"/>
                <w:kern w:val="2"/>
                <w:sz w:val="20"/>
                <w:szCs w:val="20"/>
              </w:rPr>
              <w:br/>
              <w:t>(-3.0, 1.8)</w:t>
            </w:r>
          </w:p>
        </w:tc>
        <w:tc>
          <w:tcPr>
            <w:tcW w:w="1134" w:type="dxa"/>
            <w:vAlign w:val="center"/>
          </w:tcPr>
          <w:p w14:paraId="7790A296"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2.0</w:t>
            </w:r>
            <w:r w:rsidRPr="00205340">
              <w:rPr>
                <w:rFonts w:ascii="Arial Narrow" w:hAnsi="Arial Narrow" w:cstheme="minorHAnsi"/>
                <w:color w:val="auto"/>
                <w:kern w:val="2"/>
                <w:sz w:val="20"/>
                <w:szCs w:val="20"/>
              </w:rPr>
              <w:br/>
              <w:t>(-1.8, 5.7)</w:t>
            </w:r>
          </w:p>
        </w:tc>
        <w:tc>
          <w:tcPr>
            <w:tcW w:w="963" w:type="dxa"/>
            <w:vAlign w:val="center"/>
          </w:tcPr>
          <w:p w14:paraId="02BA5333"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NR</w:t>
            </w:r>
          </w:p>
        </w:tc>
        <w:tc>
          <w:tcPr>
            <w:tcW w:w="1447" w:type="dxa"/>
            <w:vAlign w:val="center"/>
          </w:tcPr>
          <w:p w14:paraId="411684FF"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0.09 (negligible)</w:t>
            </w:r>
          </w:p>
        </w:tc>
      </w:tr>
      <w:bookmarkEnd w:id="46"/>
      <w:tr w:rsidR="0065629D" w:rsidRPr="00205340" w14:paraId="060EC447" w14:textId="77777777" w:rsidTr="00000617">
        <w:tc>
          <w:tcPr>
            <w:tcW w:w="2263" w:type="dxa"/>
          </w:tcPr>
          <w:p w14:paraId="49022FEA" w14:textId="77777777"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sz w:val="20"/>
                <w:szCs w:val="20"/>
              </w:rPr>
              <w:t>HAL2</w:t>
            </w:r>
          </w:p>
          <w:p w14:paraId="73F50723" w14:textId="3FC96BE1"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sz w:val="20"/>
                <w:szCs w:val="20"/>
              </w:rPr>
              <w:t>12</w:t>
            </w:r>
            <w:r w:rsidR="00F00C02" w:rsidRPr="00205340">
              <w:rPr>
                <w:rFonts w:ascii="Arial Narrow" w:hAnsi="Arial Narrow" w:cstheme="minorHAnsi"/>
                <w:sz w:val="20"/>
                <w:szCs w:val="20"/>
              </w:rPr>
              <w:t>-</w:t>
            </w:r>
            <w:r w:rsidRPr="00205340">
              <w:rPr>
                <w:rFonts w:ascii="Arial Narrow" w:hAnsi="Arial Narrow" w:cstheme="minorHAnsi"/>
                <w:sz w:val="20"/>
                <w:szCs w:val="20"/>
              </w:rPr>
              <w:t>month</w:t>
            </w:r>
          </w:p>
        </w:tc>
        <w:tc>
          <w:tcPr>
            <w:tcW w:w="1418" w:type="dxa"/>
            <w:vAlign w:val="center"/>
          </w:tcPr>
          <w:p w14:paraId="1A1FAF78"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NR</w:t>
            </w:r>
          </w:p>
        </w:tc>
        <w:tc>
          <w:tcPr>
            <w:tcW w:w="1559" w:type="dxa"/>
            <w:vAlign w:val="center"/>
          </w:tcPr>
          <w:p w14:paraId="4C9B5BD8"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NR</w:t>
            </w:r>
          </w:p>
        </w:tc>
        <w:tc>
          <w:tcPr>
            <w:tcW w:w="1134" w:type="dxa"/>
            <w:vAlign w:val="center"/>
          </w:tcPr>
          <w:p w14:paraId="7F1F51B8"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NR</w:t>
            </w:r>
          </w:p>
        </w:tc>
        <w:tc>
          <w:tcPr>
            <w:tcW w:w="963" w:type="dxa"/>
            <w:vAlign w:val="center"/>
          </w:tcPr>
          <w:p w14:paraId="6F8F0164"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NR</w:t>
            </w:r>
          </w:p>
        </w:tc>
        <w:tc>
          <w:tcPr>
            <w:tcW w:w="1447" w:type="dxa"/>
            <w:vAlign w:val="center"/>
          </w:tcPr>
          <w:p w14:paraId="5C355BC7"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NR</w:t>
            </w:r>
          </w:p>
        </w:tc>
      </w:tr>
      <w:tr w:rsidR="0065629D" w:rsidRPr="00205340" w14:paraId="3CB0EB0D" w14:textId="77777777" w:rsidTr="00000617">
        <w:tc>
          <w:tcPr>
            <w:tcW w:w="2263" w:type="dxa"/>
          </w:tcPr>
          <w:p w14:paraId="7F8C893E" w14:textId="77777777" w:rsidR="00176A45" w:rsidRPr="00205340" w:rsidRDefault="00176A45" w:rsidP="005C116D">
            <w:pPr>
              <w:spacing w:before="40" w:after="40"/>
              <w:rPr>
                <w:rFonts w:ascii="Arial Narrow" w:hAnsi="Arial Narrow" w:cstheme="minorHAnsi"/>
                <w:sz w:val="20"/>
                <w:szCs w:val="20"/>
              </w:rPr>
            </w:pPr>
            <w:proofErr w:type="spellStart"/>
            <w:r w:rsidRPr="00205340">
              <w:rPr>
                <w:rFonts w:ascii="Arial Narrow" w:hAnsi="Arial Narrow" w:cstheme="minorHAnsi"/>
                <w:sz w:val="20"/>
                <w:szCs w:val="20"/>
              </w:rPr>
              <w:t>pedHAL</w:t>
            </w:r>
            <w:proofErr w:type="spellEnd"/>
          </w:p>
          <w:p w14:paraId="4D7A0B3B" w14:textId="1B50654D"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sz w:val="20"/>
                <w:szCs w:val="20"/>
              </w:rPr>
              <w:t>6</w:t>
            </w:r>
            <w:r w:rsidR="00F00C02" w:rsidRPr="00205340">
              <w:rPr>
                <w:rFonts w:ascii="Arial Narrow" w:hAnsi="Arial Narrow" w:cstheme="minorHAnsi"/>
                <w:sz w:val="20"/>
                <w:szCs w:val="20"/>
              </w:rPr>
              <w:t>-</w:t>
            </w:r>
            <w:r w:rsidRPr="00205340">
              <w:rPr>
                <w:rFonts w:ascii="Arial Narrow" w:hAnsi="Arial Narrow" w:cstheme="minorHAnsi"/>
                <w:sz w:val="20"/>
                <w:szCs w:val="20"/>
              </w:rPr>
              <w:t>month</w:t>
            </w:r>
          </w:p>
        </w:tc>
        <w:tc>
          <w:tcPr>
            <w:tcW w:w="1418" w:type="dxa"/>
            <w:vAlign w:val="center"/>
          </w:tcPr>
          <w:p w14:paraId="5E0DAC13"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 xml:space="preserve">5.3 </w:t>
            </w:r>
            <w:r w:rsidRPr="00205340">
              <w:rPr>
                <w:rFonts w:ascii="Arial Narrow" w:hAnsi="Arial Narrow" w:cstheme="minorHAnsi"/>
                <w:color w:val="auto"/>
                <w:kern w:val="2"/>
                <w:sz w:val="20"/>
                <w:szCs w:val="20"/>
              </w:rPr>
              <w:br/>
              <w:t>(-4.7, 15.3)</w:t>
            </w:r>
          </w:p>
        </w:tc>
        <w:tc>
          <w:tcPr>
            <w:tcW w:w="1559" w:type="dxa"/>
            <w:vAlign w:val="center"/>
          </w:tcPr>
          <w:p w14:paraId="4D8F4658"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-1.7</w:t>
            </w:r>
            <w:r w:rsidRPr="00205340">
              <w:rPr>
                <w:rFonts w:ascii="Arial Narrow" w:hAnsi="Arial Narrow" w:cstheme="minorHAnsi"/>
                <w:color w:val="auto"/>
                <w:kern w:val="2"/>
                <w:sz w:val="20"/>
                <w:szCs w:val="20"/>
              </w:rPr>
              <w:br/>
              <w:t>(-9.8, 6.3)</w:t>
            </w:r>
          </w:p>
        </w:tc>
        <w:tc>
          <w:tcPr>
            <w:tcW w:w="1134" w:type="dxa"/>
            <w:vAlign w:val="center"/>
          </w:tcPr>
          <w:p w14:paraId="0C8A77F6"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6.7</w:t>
            </w:r>
            <w:r w:rsidRPr="00205340">
              <w:rPr>
                <w:rFonts w:ascii="Arial Narrow" w:hAnsi="Arial Narrow" w:cstheme="minorHAnsi"/>
                <w:color w:val="auto"/>
                <w:kern w:val="2"/>
                <w:sz w:val="20"/>
                <w:szCs w:val="20"/>
              </w:rPr>
              <w:br/>
              <w:t>(-9.3, 22.7).</w:t>
            </w:r>
          </w:p>
        </w:tc>
        <w:tc>
          <w:tcPr>
            <w:tcW w:w="963" w:type="dxa"/>
            <w:vAlign w:val="center"/>
          </w:tcPr>
          <w:p w14:paraId="3728D19D"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NR</w:t>
            </w:r>
          </w:p>
        </w:tc>
        <w:tc>
          <w:tcPr>
            <w:tcW w:w="1447" w:type="dxa"/>
            <w:vAlign w:val="center"/>
          </w:tcPr>
          <w:p w14:paraId="33FE452F"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0.26 (small)</w:t>
            </w:r>
          </w:p>
        </w:tc>
      </w:tr>
      <w:tr w:rsidR="0065629D" w:rsidRPr="00205340" w14:paraId="708EB3E7" w14:textId="77777777" w:rsidTr="00000617">
        <w:tc>
          <w:tcPr>
            <w:tcW w:w="2263" w:type="dxa"/>
          </w:tcPr>
          <w:p w14:paraId="6A36166E" w14:textId="77777777" w:rsidR="00176A45" w:rsidRPr="00205340" w:rsidRDefault="00176A45" w:rsidP="005C116D">
            <w:pPr>
              <w:spacing w:before="40" w:after="40"/>
              <w:rPr>
                <w:rFonts w:ascii="Arial Narrow" w:hAnsi="Arial Narrow" w:cstheme="minorHAnsi"/>
                <w:sz w:val="20"/>
                <w:szCs w:val="20"/>
                <w:vertAlign w:val="superscript"/>
              </w:rPr>
            </w:pPr>
            <w:proofErr w:type="spellStart"/>
            <w:r w:rsidRPr="00205340">
              <w:rPr>
                <w:rFonts w:ascii="Arial Narrow" w:hAnsi="Arial Narrow" w:cstheme="minorHAnsi"/>
                <w:sz w:val="20"/>
                <w:szCs w:val="20"/>
              </w:rPr>
              <w:t>pedHAL</w:t>
            </w:r>
            <w:r w:rsidRPr="00205340">
              <w:rPr>
                <w:rFonts w:ascii="Arial Narrow" w:hAnsi="Arial Narrow" w:cstheme="minorHAnsi"/>
                <w:sz w:val="20"/>
                <w:szCs w:val="20"/>
                <w:vertAlign w:val="superscript"/>
              </w:rPr>
              <w:t>l</w:t>
            </w:r>
            <w:proofErr w:type="spellEnd"/>
          </w:p>
          <w:p w14:paraId="38076974" w14:textId="1864ECC1" w:rsidR="00176A45" w:rsidRPr="00205340" w:rsidRDefault="00176A45" w:rsidP="005C116D">
            <w:pPr>
              <w:spacing w:before="40" w:after="40"/>
              <w:rPr>
                <w:rFonts w:ascii="Arial Narrow" w:hAnsi="Arial Narrow" w:cstheme="minorHAnsi"/>
                <w:sz w:val="20"/>
                <w:szCs w:val="20"/>
              </w:rPr>
            </w:pPr>
            <w:r w:rsidRPr="00205340">
              <w:rPr>
                <w:rFonts w:ascii="Arial Narrow" w:hAnsi="Arial Narrow" w:cstheme="minorHAnsi"/>
                <w:sz w:val="20"/>
                <w:szCs w:val="20"/>
              </w:rPr>
              <w:t>12</w:t>
            </w:r>
            <w:r w:rsidR="00F00C02" w:rsidRPr="00205340">
              <w:rPr>
                <w:rFonts w:ascii="Arial Narrow" w:hAnsi="Arial Narrow" w:cstheme="minorHAnsi"/>
                <w:sz w:val="20"/>
                <w:szCs w:val="20"/>
              </w:rPr>
              <w:t>-</w:t>
            </w:r>
            <w:r w:rsidRPr="00205340">
              <w:rPr>
                <w:rFonts w:ascii="Arial Narrow" w:hAnsi="Arial Narrow" w:cstheme="minorHAnsi"/>
                <w:sz w:val="20"/>
                <w:szCs w:val="20"/>
              </w:rPr>
              <w:t>month</w:t>
            </w:r>
          </w:p>
        </w:tc>
        <w:tc>
          <w:tcPr>
            <w:tcW w:w="1418" w:type="dxa"/>
            <w:vAlign w:val="center"/>
          </w:tcPr>
          <w:p w14:paraId="0F656BC6"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NR</w:t>
            </w:r>
          </w:p>
        </w:tc>
        <w:tc>
          <w:tcPr>
            <w:tcW w:w="1559" w:type="dxa"/>
            <w:vAlign w:val="center"/>
          </w:tcPr>
          <w:p w14:paraId="40E43C3C"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NR</w:t>
            </w:r>
          </w:p>
        </w:tc>
        <w:tc>
          <w:tcPr>
            <w:tcW w:w="1134" w:type="dxa"/>
            <w:vAlign w:val="center"/>
          </w:tcPr>
          <w:p w14:paraId="0EE79135" w14:textId="77777777" w:rsidR="00176A45" w:rsidRPr="00205340" w:rsidRDefault="00176A45" w:rsidP="005C116D">
            <w:pPr>
              <w:pStyle w:val="Default"/>
              <w:spacing w:before="40" w:after="40"/>
              <w:jc w:val="center"/>
              <w:rPr>
                <w:rFonts w:ascii="Arial Narrow" w:hAnsi="Arial Narrow" w:cstheme="minorHAnsi"/>
                <w:color w:val="auto"/>
                <w:kern w:val="2"/>
                <w:sz w:val="20"/>
                <w:szCs w:val="20"/>
              </w:rPr>
            </w:pPr>
            <w:r w:rsidRPr="00205340">
              <w:rPr>
                <w:rFonts w:ascii="Arial Narrow" w:hAnsi="Arial Narrow" w:cstheme="minorHAnsi"/>
                <w:color w:val="auto"/>
                <w:kern w:val="2"/>
                <w:sz w:val="20"/>
                <w:szCs w:val="20"/>
              </w:rPr>
              <w:t>NR</w:t>
            </w:r>
          </w:p>
        </w:tc>
        <w:tc>
          <w:tcPr>
            <w:tcW w:w="963" w:type="dxa"/>
            <w:vAlign w:val="center"/>
          </w:tcPr>
          <w:p w14:paraId="64BA55B3"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NR</w:t>
            </w:r>
          </w:p>
        </w:tc>
        <w:tc>
          <w:tcPr>
            <w:tcW w:w="1447" w:type="dxa"/>
            <w:vAlign w:val="center"/>
          </w:tcPr>
          <w:p w14:paraId="5B769DC0"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NR</w:t>
            </w:r>
          </w:p>
        </w:tc>
      </w:tr>
      <w:tr w:rsidR="0065629D" w:rsidRPr="00205340" w14:paraId="7B804243" w14:textId="77777777" w:rsidTr="00000617">
        <w:tc>
          <w:tcPr>
            <w:tcW w:w="2263" w:type="dxa"/>
          </w:tcPr>
          <w:p w14:paraId="2D988700" w14:textId="77777777" w:rsidR="00176A45" w:rsidRPr="00205340" w:rsidRDefault="00176A45" w:rsidP="005C116D">
            <w:pPr>
              <w:spacing w:before="40" w:after="40"/>
              <w:rPr>
                <w:rFonts w:ascii="Arial Narrow" w:hAnsi="Arial Narrow" w:cstheme="minorHAnsi"/>
                <w:sz w:val="20"/>
                <w:szCs w:val="20"/>
                <w:vertAlign w:val="subscript"/>
              </w:rPr>
            </w:pPr>
            <w:proofErr w:type="spellStart"/>
            <w:r w:rsidRPr="00205340">
              <w:rPr>
                <w:rFonts w:ascii="Arial Narrow" w:hAnsi="Arial Narrow" w:cstheme="minorHAnsi"/>
                <w:sz w:val="20"/>
                <w:szCs w:val="20"/>
              </w:rPr>
              <w:t>HJHS</w:t>
            </w:r>
            <w:r w:rsidRPr="00205340">
              <w:rPr>
                <w:rFonts w:ascii="Arial Narrow" w:hAnsi="Arial Narrow" w:cstheme="minorHAnsi"/>
                <w:sz w:val="20"/>
                <w:szCs w:val="20"/>
                <w:vertAlign w:val="subscript"/>
              </w:rPr>
              <w:t>change</w:t>
            </w:r>
            <w:proofErr w:type="spellEnd"/>
          </w:p>
          <w:p w14:paraId="7727AD09" w14:textId="19A58F1D" w:rsidR="00176A45" w:rsidRPr="00205340" w:rsidRDefault="00176A45" w:rsidP="005C116D">
            <w:pPr>
              <w:spacing w:before="40" w:after="40"/>
              <w:rPr>
                <w:rFonts w:ascii="Arial Narrow" w:hAnsi="Arial Narrow" w:cstheme="minorHAnsi"/>
                <w:sz w:val="20"/>
                <w:szCs w:val="20"/>
                <w:vertAlign w:val="subscript"/>
              </w:rPr>
            </w:pPr>
            <w:r w:rsidRPr="00205340">
              <w:rPr>
                <w:rFonts w:ascii="Arial Narrow" w:hAnsi="Arial Narrow" w:cstheme="minorHAnsi"/>
                <w:sz w:val="20"/>
                <w:szCs w:val="20"/>
              </w:rPr>
              <w:t>Baseline to 6 months treatment</w:t>
            </w:r>
          </w:p>
        </w:tc>
        <w:tc>
          <w:tcPr>
            <w:tcW w:w="1418" w:type="dxa"/>
          </w:tcPr>
          <w:p w14:paraId="48262596"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-0.6</w:t>
            </w:r>
            <w:r w:rsidRPr="00205340">
              <w:rPr>
                <w:rFonts w:ascii="Arial Narrow" w:hAnsi="Arial Narrow" w:cstheme="minorHAnsi"/>
                <w:sz w:val="20"/>
                <w:szCs w:val="20"/>
              </w:rPr>
              <w:br/>
              <w:t>(-2.2, 1.0)</w:t>
            </w:r>
          </w:p>
        </w:tc>
        <w:tc>
          <w:tcPr>
            <w:tcW w:w="1559" w:type="dxa"/>
          </w:tcPr>
          <w:p w14:paraId="7A7CB3F2"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1.3</w:t>
            </w:r>
            <w:r w:rsidRPr="00205340">
              <w:rPr>
                <w:rFonts w:ascii="Arial Narrow" w:hAnsi="Arial Narrow" w:cstheme="minorHAnsi"/>
                <w:sz w:val="20"/>
                <w:szCs w:val="20"/>
              </w:rPr>
              <w:br/>
              <w:t>(-0.7, 3.3)</w:t>
            </w:r>
          </w:p>
        </w:tc>
        <w:tc>
          <w:tcPr>
            <w:tcW w:w="1134" w:type="dxa"/>
          </w:tcPr>
          <w:p w14:paraId="1D103D8F"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-2.0</w:t>
            </w:r>
            <w:r w:rsidRPr="00205340">
              <w:rPr>
                <w:rFonts w:ascii="Arial Narrow" w:hAnsi="Arial Narrow" w:cstheme="minorHAnsi"/>
                <w:sz w:val="20"/>
                <w:szCs w:val="20"/>
              </w:rPr>
              <w:br/>
              <w:t>(-4.3, 0.3)</w:t>
            </w:r>
          </w:p>
        </w:tc>
        <w:tc>
          <w:tcPr>
            <w:tcW w:w="963" w:type="dxa"/>
          </w:tcPr>
          <w:p w14:paraId="13164722"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0.084</w:t>
            </w:r>
          </w:p>
        </w:tc>
        <w:tc>
          <w:tcPr>
            <w:tcW w:w="1447" w:type="dxa"/>
          </w:tcPr>
          <w:p w14:paraId="58B38EF5" w14:textId="77777777" w:rsidR="00176A45" w:rsidRPr="00205340" w:rsidRDefault="00176A45" w:rsidP="005C116D">
            <w:pPr>
              <w:spacing w:before="40" w:after="40"/>
              <w:jc w:val="center"/>
              <w:rPr>
                <w:rFonts w:ascii="Arial Narrow" w:hAnsi="Arial Narrow" w:cstheme="minorHAnsi"/>
                <w:sz w:val="20"/>
                <w:szCs w:val="20"/>
              </w:rPr>
            </w:pPr>
            <w:r w:rsidRPr="00205340">
              <w:rPr>
                <w:rFonts w:ascii="Arial Narrow" w:hAnsi="Arial Narrow" w:cstheme="minorHAnsi"/>
                <w:sz w:val="20"/>
                <w:szCs w:val="20"/>
              </w:rPr>
              <w:t>0.11 (small/negligible)</w:t>
            </w:r>
          </w:p>
        </w:tc>
      </w:tr>
    </w:tbl>
    <w:p w14:paraId="027B0ED0" w14:textId="5345C675" w:rsidR="00176A45" w:rsidRPr="00205340" w:rsidRDefault="00176A45" w:rsidP="00D81562">
      <w:pPr>
        <w:spacing w:after="120"/>
        <w:rPr>
          <w:rFonts w:ascii="Arial Narrow" w:hAnsi="Arial Narrow" w:cstheme="minorHAnsi"/>
          <w:sz w:val="18"/>
          <w:szCs w:val="18"/>
        </w:rPr>
      </w:pPr>
      <w:r w:rsidRPr="00205340">
        <w:rPr>
          <w:rFonts w:ascii="Arial Narrow" w:hAnsi="Arial Narrow" w:cstheme="minorHAnsi"/>
          <w:sz w:val="18"/>
          <w:szCs w:val="18"/>
        </w:rPr>
        <w:t xml:space="preserve">Source: </w:t>
      </w:r>
      <w:r w:rsidR="008C18EB" w:rsidRPr="00205340">
        <w:rPr>
          <w:rFonts w:ascii="Arial Narrow" w:hAnsi="Arial Narrow" w:cstheme="minorHAnsi"/>
          <w:sz w:val="18"/>
          <w:szCs w:val="18"/>
        </w:rPr>
        <w:t xml:space="preserve">BASIS </w:t>
      </w:r>
      <w:r w:rsidRPr="00205340">
        <w:rPr>
          <w:rFonts w:ascii="Arial Narrow" w:hAnsi="Arial Narrow" w:cstheme="minorHAnsi"/>
          <w:sz w:val="18"/>
          <w:szCs w:val="18"/>
        </w:rPr>
        <w:t xml:space="preserve">CSR Tables 33 – 36; see p. 107 and p. 114 for non-tabulated results for </w:t>
      </w:r>
      <w:proofErr w:type="spellStart"/>
      <w:r w:rsidRPr="00205340">
        <w:rPr>
          <w:rFonts w:ascii="Arial Narrow" w:hAnsi="Arial Narrow" w:cstheme="minorHAnsi"/>
          <w:sz w:val="18"/>
          <w:szCs w:val="18"/>
        </w:rPr>
        <w:t>Haemo</w:t>
      </w:r>
      <w:proofErr w:type="spellEnd"/>
      <w:r w:rsidRPr="00205340">
        <w:rPr>
          <w:rFonts w:ascii="Arial Narrow" w:hAnsi="Arial Narrow" w:cstheme="minorHAnsi"/>
          <w:sz w:val="18"/>
          <w:szCs w:val="18"/>
        </w:rPr>
        <w:t>-QoL in adolescents and PGIC-H outcomes</w:t>
      </w:r>
      <w:r w:rsidR="008C18EB" w:rsidRPr="00205340">
        <w:rPr>
          <w:rFonts w:ascii="Arial Narrow" w:hAnsi="Arial Narrow" w:cstheme="minorHAnsi"/>
          <w:sz w:val="18"/>
          <w:szCs w:val="18"/>
        </w:rPr>
        <w:t xml:space="preserve">. </w:t>
      </w:r>
      <w:r w:rsidR="00D81562" w:rsidRPr="00205340">
        <w:rPr>
          <w:rFonts w:ascii="Arial Narrow" w:hAnsi="Arial Narrow" w:cstheme="minorHAnsi"/>
          <w:sz w:val="18"/>
          <w:szCs w:val="18"/>
        </w:rPr>
        <w:t xml:space="preserve">Several discrepancies were noted in the reported values for the between-treatment differences included from the sections of the BASIS CSR used to source these data. According to the evaluator’s calculations, the point estimates are: Haem-A-QoL 6-month PDS = -3.1; Haem-A-QoL 12-month PDS = -5.3; Haem-A-QoL 6-month TS = -2.5; </w:t>
      </w:r>
      <w:proofErr w:type="spellStart"/>
      <w:r w:rsidR="00D81562" w:rsidRPr="00205340">
        <w:rPr>
          <w:rFonts w:ascii="Arial Narrow" w:hAnsi="Arial Narrow" w:cstheme="minorHAnsi"/>
          <w:sz w:val="18"/>
          <w:szCs w:val="18"/>
        </w:rPr>
        <w:t>Haemo</w:t>
      </w:r>
      <w:proofErr w:type="spellEnd"/>
      <w:r w:rsidR="00D81562" w:rsidRPr="00205340">
        <w:rPr>
          <w:rFonts w:ascii="Arial Narrow" w:hAnsi="Arial Narrow" w:cstheme="minorHAnsi"/>
          <w:sz w:val="18"/>
          <w:szCs w:val="18"/>
        </w:rPr>
        <w:t xml:space="preserve">-QoL 12-month PDS = -7.0; </w:t>
      </w:r>
      <w:proofErr w:type="spellStart"/>
      <w:r w:rsidR="00D81562" w:rsidRPr="00205340">
        <w:rPr>
          <w:rFonts w:ascii="Arial Narrow" w:hAnsi="Arial Narrow" w:cstheme="minorHAnsi"/>
          <w:sz w:val="18"/>
          <w:szCs w:val="18"/>
        </w:rPr>
        <w:t>Haemo</w:t>
      </w:r>
      <w:proofErr w:type="spellEnd"/>
      <w:r w:rsidR="00D81562" w:rsidRPr="00205340">
        <w:rPr>
          <w:rFonts w:ascii="Arial Narrow" w:hAnsi="Arial Narrow" w:cstheme="minorHAnsi"/>
          <w:sz w:val="18"/>
          <w:szCs w:val="18"/>
        </w:rPr>
        <w:t>-QoL 6-month TS = -5.8; EQ-5D-5L index score 6-month = 0.045; EQ-5D-5L index score 12-month = 0.034; EQ-VAS score 6-month = 1.5; EQ-VAS score 12-month = 2.7</w:t>
      </w:r>
    </w:p>
    <w:p w14:paraId="45F3E873" w14:textId="77777777" w:rsidR="00176A45" w:rsidRPr="00205340" w:rsidRDefault="00176A45" w:rsidP="00176A45">
      <w:pPr>
        <w:tabs>
          <w:tab w:val="left" w:pos="2835"/>
        </w:tabs>
        <w:spacing w:after="120" w:line="240" w:lineRule="auto"/>
        <w:rPr>
          <w:rFonts w:ascii="Arial Narrow" w:hAnsi="Arial Narrow" w:cstheme="minorHAnsi"/>
          <w:sz w:val="18"/>
          <w:szCs w:val="18"/>
        </w:rPr>
      </w:pPr>
      <w:r w:rsidRPr="00205340">
        <w:rPr>
          <w:rFonts w:ascii="Arial Narrow" w:hAnsi="Arial Narrow" w:cstheme="minorHAnsi"/>
          <w:sz w:val="18"/>
          <w:szCs w:val="18"/>
        </w:rPr>
        <w:t xml:space="preserve">ATP = active treatment phase; EQ-5D-5L = 5-level EQ-5D; EQ-VAS = EQ visual analogue scale; Haem-A-QoL = Haemophilia Quality of Life Questionnaire for Adults; </w:t>
      </w:r>
      <w:proofErr w:type="spellStart"/>
      <w:r w:rsidRPr="00205340">
        <w:rPr>
          <w:rFonts w:ascii="Arial Narrow" w:hAnsi="Arial Narrow" w:cstheme="minorHAnsi"/>
          <w:sz w:val="18"/>
          <w:szCs w:val="18"/>
        </w:rPr>
        <w:t>Haemo</w:t>
      </w:r>
      <w:proofErr w:type="spellEnd"/>
      <w:r w:rsidRPr="00205340">
        <w:rPr>
          <w:rFonts w:ascii="Arial Narrow" w:hAnsi="Arial Narrow" w:cstheme="minorHAnsi"/>
          <w:sz w:val="18"/>
          <w:szCs w:val="18"/>
        </w:rPr>
        <w:t xml:space="preserve">-QoL = Haemophilia Quality of Life Questionnaire for Children and Adolescents; HAL = Haemophilia Activities List; NR = not reported; OP = observational phase; PDS = physical domain score; </w:t>
      </w:r>
      <w:proofErr w:type="spellStart"/>
      <w:r w:rsidRPr="00205340">
        <w:rPr>
          <w:rFonts w:ascii="Arial Narrow" w:hAnsi="Arial Narrow" w:cstheme="minorHAnsi"/>
          <w:sz w:val="18"/>
          <w:szCs w:val="18"/>
        </w:rPr>
        <w:t>pedHAL</w:t>
      </w:r>
      <w:proofErr w:type="spellEnd"/>
      <w:r w:rsidRPr="00205340">
        <w:rPr>
          <w:rFonts w:ascii="Arial Narrow" w:hAnsi="Arial Narrow" w:cstheme="minorHAnsi"/>
          <w:sz w:val="18"/>
          <w:szCs w:val="18"/>
        </w:rPr>
        <w:t xml:space="preserve"> = </w:t>
      </w:r>
      <w:proofErr w:type="spellStart"/>
      <w:r w:rsidRPr="00205340">
        <w:rPr>
          <w:rFonts w:ascii="Arial Narrow" w:hAnsi="Arial Narrow" w:cstheme="minorHAnsi"/>
          <w:sz w:val="18"/>
          <w:szCs w:val="18"/>
        </w:rPr>
        <w:t>Pediatric</w:t>
      </w:r>
      <w:proofErr w:type="spellEnd"/>
      <w:r w:rsidRPr="00205340">
        <w:rPr>
          <w:rFonts w:ascii="Arial Narrow" w:hAnsi="Arial Narrow" w:cstheme="minorHAnsi"/>
          <w:sz w:val="18"/>
          <w:szCs w:val="18"/>
        </w:rPr>
        <w:t xml:space="preserve"> Haemophilia Activities List; PGIC-H = Patient Global Impression of Change-Haemophilia; TS = total score</w:t>
      </w:r>
    </w:p>
    <w:p w14:paraId="39296809" w14:textId="77777777" w:rsidR="00176A45" w:rsidRPr="00205340" w:rsidRDefault="00176A45" w:rsidP="00176A45">
      <w:pPr>
        <w:spacing w:before="0" w:after="0" w:line="240" w:lineRule="auto"/>
        <w:rPr>
          <w:rFonts w:ascii="Arial Narrow" w:hAnsi="Arial Narrow" w:cstheme="minorHAnsi"/>
          <w:sz w:val="18"/>
          <w:szCs w:val="18"/>
        </w:rPr>
      </w:pPr>
      <w:proofErr w:type="spellStart"/>
      <w:r w:rsidRPr="00205340">
        <w:rPr>
          <w:rFonts w:ascii="Arial Narrow" w:hAnsi="Arial Narrow" w:cstheme="minorHAnsi"/>
          <w:sz w:val="18"/>
          <w:szCs w:val="18"/>
          <w:vertAlign w:val="superscript"/>
        </w:rPr>
        <w:t>a</w:t>
      </w:r>
      <w:proofErr w:type="spellEnd"/>
      <w:r w:rsidRPr="00205340">
        <w:rPr>
          <w:rFonts w:ascii="Arial Narrow" w:hAnsi="Arial Narrow" w:cstheme="minorHAnsi"/>
          <w:sz w:val="18"/>
          <w:szCs w:val="18"/>
          <w:vertAlign w:val="superscript"/>
        </w:rPr>
        <w:t xml:space="preserve"> </w:t>
      </w:r>
      <w:r w:rsidRPr="00205340">
        <w:rPr>
          <w:rFonts w:ascii="Arial Narrow" w:hAnsi="Arial Narrow" w:cstheme="minorHAnsi"/>
          <w:sz w:val="18"/>
          <w:szCs w:val="18"/>
        </w:rPr>
        <w:t>All outcomes expressed as median (95% CI) change unless otherwise stated</w:t>
      </w:r>
    </w:p>
    <w:p w14:paraId="0488ED1A" w14:textId="62E33881" w:rsidR="00176A45" w:rsidRPr="00205340" w:rsidRDefault="00176A45" w:rsidP="00176A45">
      <w:pPr>
        <w:spacing w:before="0" w:after="0" w:line="240" w:lineRule="auto"/>
        <w:rPr>
          <w:rFonts w:ascii="Arial Narrow" w:hAnsi="Arial Narrow" w:cstheme="minorHAnsi"/>
          <w:sz w:val="18"/>
          <w:szCs w:val="18"/>
        </w:rPr>
      </w:pPr>
      <w:r w:rsidRPr="00205340">
        <w:rPr>
          <w:rFonts w:ascii="Arial Narrow" w:hAnsi="Arial Narrow" w:cstheme="minorHAnsi"/>
          <w:sz w:val="18"/>
          <w:szCs w:val="18"/>
          <w:vertAlign w:val="superscript"/>
        </w:rPr>
        <w:t xml:space="preserve">b </w:t>
      </w:r>
      <w:r w:rsidRPr="00205340">
        <w:rPr>
          <w:rFonts w:ascii="Arial Narrow" w:hAnsi="Arial Narrow" w:cstheme="minorHAnsi"/>
          <w:sz w:val="18"/>
          <w:szCs w:val="18"/>
        </w:rPr>
        <w:t xml:space="preserve">Haem-A-QoL </w:t>
      </w:r>
      <w:r w:rsidR="00291735" w:rsidRPr="00205340">
        <w:rPr>
          <w:rFonts w:ascii="Arial Narrow" w:hAnsi="Arial Narrow" w:cstheme="minorHAnsi"/>
          <w:sz w:val="18"/>
          <w:szCs w:val="18"/>
        </w:rPr>
        <w:t xml:space="preserve">questionnaire </w:t>
      </w:r>
      <w:r w:rsidRPr="00205340">
        <w:rPr>
          <w:rFonts w:ascii="Arial Narrow" w:hAnsi="Arial Narrow" w:cstheme="minorHAnsi"/>
          <w:sz w:val="18"/>
          <w:szCs w:val="18"/>
        </w:rPr>
        <w:t xml:space="preserve">is </w:t>
      </w:r>
      <w:r w:rsidR="00291735" w:rsidRPr="00205340">
        <w:rPr>
          <w:rFonts w:ascii="Arial Narrow" w:hAnsi="Arial Narrow" w:cstheme="minorHAnsi"/>
          <w:sz w:val="18"/>
          <w:szCs w:val="18"/>
        </w:rPr>
        <w:t>specific to assessment of</w:t>
      </w:r>
      <w:r w:rsidRPr="00205340">
        <w:rPr>
          <w:rFonts w:ascii="Arial Narrow" w:hAnsi="Arial Narrow" w:cstheme="minorHAnsi"/>
          <w:sz w:val="18"/>
          <w:szCs w:val="18"/>
        </w:rPr>
        <w:t xml:space="preserve"> adults (≥17 years)</w:t>
      </w:r>
    </w:p>
    <w:p w14:paraId="13FCAB08" w14:textId="77777777" w:rsidR="00176A45" w:rsidRPr="00205340" w:rsidRDefault="00176A45" w:rsidP="00176A45">
      <w:pPr>
        <w:spacing w:before="0" w:after="0" w:line="240" w:lineRule="auto"/>
        <w:rPr>
          <w:rFonts w:ascii="Arial Narrow" w:hAnsi="Arial Narrow" w:cstheme="minorHAnsi"/>
          <w:sz w:val="18"/>
          <w:szCs w:val="18"/>
        </w:rPr>
      </w:pPr>
      <w:r w:rsidRPr="00205340">
        <w:rPr>
          <w:rFonts w:ascii="Arial Narrow" w:hAnsi="Arial Narrow" w:cstheme="minorHAnsi"/>
          <w:sz w:val="18"/>
          <w:szCs w:val="18"/>
          <w:vertAlign w:val="superscript"/>
        </w:rPr>
        <w:t xml:space="preserve">c </w:t>
      </w:r>
      <w:r w:rsidRPr="00205340">
        <w:rPr>
          <w:rFonts w:ascii="Arial Narrow" w:hAnsi="Arial Narrow" w:cstheme="minorHAnsi"/>
          <w:sz w:val="18"/>
          <w:szCs w:val="18"/>
        </w:rPr>
        <w:t>Refers to change from baseline after 6 months of factor prophylaxis during OP and after 6 months of marstacimab prophylaxis during ATP</w:t>
      </w:r>
    </w:p>
    <w:p w14:paraId="5F3A084D" w14:textId="77777777" w:rsidR="00176A45" w:rsidRPr="00205340" w:rsidRDefault="00176A45" w:rsidP="00176A45">
      <w:pPr>
        <w:spacing w:before="0" w:after="0" w:line="240" w:lineRule="auto"/>
        <w:rPr>
          <w:rFonts w:ascii="Arial Narrow" w:hAnsi="Arial Narrow" w:cstheme="minorHAnsi"/>
          <w:sz w:val="18"/>
          <w:szCs w:val="18"/>
        </w:rPr>
      </w:pPr>
      <w:r w:rsidRPr="00205340">
        <w:rPr>
          <w:rFonts w:ascii="Arial Narrow" w:hAnsi="Arial Narrow" w:cstheme="minorHAnsi"/>
          <w:sz w:val="18"/>
          <w:szCs w:val="18"/>
          <w:vertAlign w:val="superscript"/>
        </w:rPr>
        <w:lastRenderedPageBreak/>
        <w:t xml:space="preserve">d </w:t>
      </w:r>
      <w:r w:rsidRPr="00205340">
        <w:rPr>
          <w:rFonts w:ascii="Arial Narrow" w:hAnsi="Arial Narrow" w:cstheme="minorHAnsi"/>
          <w:sz w:val="18"/>
          <w:szCs w:val="18"/>
        </w:rPr>
        <w:t>Refers to change from baseline after 6 months of factor prophylaxis during OP and after 12 months of marstacimab prophylaxis during ATP</w:t>
      </w:r>
    </w:p>
    <w:p w14:paraId="505D6D3B" w14:textId="77777777" w:rsidR="00176A45" w:rsidRPr="00205340" w:rsidRDefault="00176A45" w:rsidP="00176A45">
      <w:pPr>
        <w:spacing w:before="0" w:after="0" w:line="240" w:lineRule="auto"/>
        <w:rPr>
          <w:rFonts w:ascii="Arial Narrow" w:hAnsi="Arial Narrow" w:cstheme="minorHAnsi"/>
          <w:sz w:val="18"/>
          <w:szCs w:val="18"/>
        </w:rPr>
      </w:pPr>
      <w:r w:rsidRPr="00205340">
        <w:rPr>
          <w:rFonts w:ascii="Arial Narrow" w:hAnsi="Arial Narrow" w:cstheme="minorHAnsi"/>
          <w:sz w:val="18"/>
          <w:szCs w:val="18"/>
          <w:vertAlign w:val="superscript"/>
        </w:rPr>
        <w:t>e</w:t>
      </w:r>
      <w:r w:rsidRPr="00205340">
        <w:rPr>
          <w:rFonts w:ascii="Arial Narrow" w:hAnsi="Arial Narrow" w:cstheme="minorHAnsi"/>
          <w:sz w:val="18"/>
          <w:szCs w:val="18"/>
        </w:rPr>
        <w:t xml:space="preserve"> Effect Size (ES) is calculated as [estimated median difference] / (Standard Deviation [SD] at OP baseline); small ES = 0.2 SD units; medium ES = 0.5; large ES = 0.8.</w:t>
      </w:r>
    </w:p>
    <w:p w14:paraId="2B34428E" w14:textId="41FB93AA" w:rsidR="00176A45" w:rsidRPr="00205340" w:rsidRDefault="00176A45" w:rsidP="00176A45">
      <w:pPr>
        <w:spacing w:before="0" w:after="0" w:line="240" w:lineRule="auto"/>
        <w:rPr>
          <w:rFonts w:ascii="Arial Narrow" w:hAnsi="Arial Narrow" w:cstheme="minorHAnsi"/>
          <w:sz w:val="18"/>
          <w:szCs w:val="18"/>
        </w:rPr>
      </w:pPr>
      <w:r w:rsidRPr="00205340">
        <w:rPr>
          <w:rFonts w:ascii="Arial Narrow" w:hAnsi="Arial Narrow" w:cstheme="minorHAnsi"/>
          <w:sz w:val="18"/>
          <w:szCs w:val="18"/>
          <w:vertAlign w:val="superscript"/>
        </w:rPr>
        <w:t xml:space="preserve">f </w:t>
      </w:r>
      <w:proofErr w:type="spellStart"/>
      <w:r w:rsidRPr="00205340">
        <w:rPr>
          <w:rFonts w:ascii="Arial Narrow" w:hAnsi="Arial Narrow" w:cstheme="minorHAnsi"/>
          <w:sz w:val="18"/>
          <w:szCs w:val="18"/>
        </w:rPr>
        <w:t>Haemo</w:t>
      </w:r>
      <w:proofErr w:type="spellEnd"/>
      <w:r w:rsidRPr="00205340">
        <w:rPr>
          <w:rFonts w:ascii="Arial Narrow" w:hAnsi="Arial Narrow" w:cstheme="minorHAnsi"/>
          <w:sz w:val="18"/>
          <w:szCs w:val="18"/>
        </w:rPr>
        <w:t xml:space="preserve">-QoL </w:t>
      </w:r>
      <w:r w:rsidR="00291735" w:rsidRPr="00205340">
        <w:rPr>
          <w:rFonts w:ascii="Arial Narrow" w:hAnsi="Arial Narrow" w:cstheme="minorHAnsi"/>
          <w:sz w:val="18"/>
          <w:szCs w:val="18"/>
        </w:rPr>
        <w:t xml:space="preserve">questionnaire </w:t>
      </w:r>
      <w:r w:rsidRPr="00205340">
        <w:rPr>
          <w:rFonts w:ascii="Arial Narrow" w:hAnsi="Arial Narrow" w:cstheme="minorHAnsi"/>
          <w:sz w:val="18"/>
          <w:szCs w:val="18"/>
        </w:rPr>
        <w:t xml:space="preserve">is </w:t>
      </w:r>
      <w:r w:rsidR="00291735" w:rsidRPr="00205340">
        <w:rPr>
          <w:rFonts w:ascii="Arial Narrow" w:hAnsi="Arial Narrow" w:cstheme="minorHAnsi"/>
          <w:sz w:val="18"/>
          <w:szCs w:val="18"/>
        </w:rPr>
        <w:t>specific to assessment of</w:t>
      </w:r>
      <w:r w:rsidRPr="00205340">
        <w:rPr>
          <w:rFonts w:ascii="Arial Narrow" w:hAnsi="Arial Narrow" w:cstheme="minorHAnsi"/>
          <w:sz w:val="18"/>
          <w:szCs w:val="18"/>
        </w:rPr>
        <w:t xml:space="preserve"> adolescents 12 to &lt;17 years</w:t>
      </w:r>
    </w:p>
    <w:p w14:paraId="0EEA1E6D" w14:textId="77777777" w:rsidR="00176A45" w:rsidRPr="00205340" w:rsidRDefault="00176A45" w:rsidP="00176A45">
      <w:pPr>
        <w:spacing w:before="0" w:after="0" w:line="240" w:lineRule="auto"/>
        <w:rPr>
          <w:rFonts w:ascii="Arial Narrow" w:hAnsi="Arial Narrow" w:cstheme="minorHAnsi"/>
          <w:sz w:val="18"/>
          <w:szCs w:val="18"/>
        </w:rPr>
      </w:pPr>
      <w:r w:rsidRPr="00205340">
        <w:rPr>
          <w:rFonts w:ascii="Arial Narrow" w:hAnsi="Arial Narrow" w:cstheme="minorHAnsi"/>
          <w:sz w:val="18"/>
          <w:szCs w:val="18"/>
          <w:vertAlign w:val="superscript"/>
        </w:rPr>
        <w:t>g.</w:t>
      </w:r>
      <w:r w:rsidRPr="00205340">
        <w:rPr>
          <w:rFonts w:ascii="Arial Narrow" w:hAnsi="Arial Narrow" w:cstheme="minorHAnsi"/>
          <w:sz w:val="18"/>
          <w:szCs w:val="18"/>
        </w:rPr>
        <w:t xml:space="preserve"> </w:t>
      </w:r>
      <w:proofErr w:type="gramStart"/>
      <w:r w:rsidRPr="00205340">
        <w:rPr>
          <w:rFonts w:ascii="Arial Narrow" w:hAnsi="Arial Narrow" w:cstheme="minorHAnsi"/>
          <w:sz w:val="18"/>
          <w:szCs w:val="18"/>
        </w:rPr>
        <w:t>Non-inferiority</w:t>
      </w:r>
      <w:proofErr w:type="gramEnd"/>
      <w:r w:rsidRPr="00205340">
        <w:rPr>
          <w:rFonts w:ascii="Arial Narrow" w:hAnsi="Arial Narrow" w:cstheme="minorHAnsi"/>
          <w:sz w:val="18"/>
          <w:szCs w:val="18"/>
        </w:rPr>
        <w:t xml:space="preserve"> criterion for the EQ-5D-5L index was lower bound of 95% CI &gt; -0.1; it was lower bound of 95% CI &gt; -9.5 for the EQ-VAS.</w:t>
      </w:r>
    </w:p>
    <w:p w14:paraId="469DF119" w14:textId="77777777" w:rsidR="00176A45" w:rsidRPr="00205340" w:rsidRDefault="00176A45" w:rsidP="00176A45">
      <w:pPr>
        <w:spacing w:before="0" w:after="0" w:line="240" w:lineRule="auto"/>
        <w:rPr>
          <w:rFonts w:ascii="Arial Narrow" w:hAnsi="Arial Narrow" w:cstheme="minorHAnsi"/>
          <w:sz w:val="18"/>
          <w:szCs w:val="18"/>
        </w:rPr>
      </w:pPr>
      <w:r w:rsidRPr="00205340">
        <w:rPr>
          <w:rFonts w:ascii="Arial Narrow" w:hAnsi="Arial Narrow" w:cstheme="minorHAnsi"/>
          <w:sz w:val="18"/>
          <w:szCs w:val="18"/>
          <w:vertAlign w:val="superscript"/>
        </w:rPr>
        <w:t xml:space="preserve">h </w:t>
      </w:r>
      <w:r w:rsidRPr="00205340">
        <w:rPr>
          <w:rFonts w:ascii="Arial Narrow" w:hAnsi="Arial Narrow" w:cstheme="minorHAnsi"/>
          <w:sz w:val="18"/>
          <w:szCs w:val="18"/>
        </w:rPr>
        <w:t>Higher scores indicate better health states with the maximum value of 1 (EQ-5D-5L index score ranges from -0.594 to</w:t>
      </w:r>
    </w:p>
    <w:p w14:paraId="34371A15" w14:textId="77777777" w:rsidR="00176A45" w:rsidRPr="00205340" w:rsidRDefault="00176A45" w:rsidP="00176A45">
      <w:pPr>
        <w:spacing w:before="0" w:after="0" w:line="240" w:lineRule="auto"/>
        <w:rPr>
          <w:rFonts w:ascii="Arial Narrow" w:hAnsi="Arial Narrow" w:cstheme="minorHAnsi"/>
          <w:sz w:val="18"/>
          <w:szCs w:val="18"/>
        </w:rPr>
      </w:pPr>
      <w:r w:rsidRPr="00205340">
        <w:rPr>
          <w:rFonts w:ascii="Arial Narrow" w:hAnsi="Arial Narrow" w:cstheme="minorHAnsi"/>
          <w:sz w:val="18"/>
          <w:szCs w:val="18"/>
        </w:rPr>
        <w:t>1). UK look-up value was applied to all participants. Measures the participant's self-rated health state on a scale from 0 (worst imaginable health state) to 100 (best imaginable health state).</w:t>
      </w:r>
    </w:p>
    <w:p w14:paraId="40F074D7" w14:textId="77777777" w:rsidR="00176A45" w:rsidRPr="00205340" w:rsidRDefault="00176A45" w:rsidP="00176A45">
      <w:pPr>
        <w:spacing w:before="0" w:after="0" w:line="240" w:lineRule="auto"/>
        <w:rPr>
          <w:rFonts w:ascii="Arial Narrow" w:hAnsi="Arial Narrow" w:cstheme="minorHAnsi"/>
          <w:sz w:val="18"/>
          <w:szCs w:val="18"/>
        </w:rPr>
      </w:pPr>
      <w:r w:rsidRPr="00205340">
        <w:rPr>
          <w:rFonts w:ascii="Arial Narrow" w:hAnsi="Arial Narrow" w:cstheme="minorHAnsi"/>
          <w:sz w:val="18"/>
          <w:szCs w:val="18"/>
          <w:vertAlign w:val="superscript"/>
        </w:rPr>
        <w:t xml:space="preserve">I </w:t>
      </w:r>
      <w:r w:rsidRPr="00205340">
        <w:rPr>
          <w:rFonts w:ascii="Arial Narrow" w:hAnsi="Arial Narrow" w:cstheme="minorHAnsi"/>
          <w:sz w:val="18"/>
          <w:szCs w:val="18"/>
        </w:rPr>
        <w:t>Measures the participant's self-rated health state on a scale from 0 (worst imaginable health state) to 100 (best</w:t>
      </w:r>
    </w:p>
    <w:p w14:paraId="63BF3472" w14:textId="77777777" w:rsidR="00176A45" w:rsidRPr="00205340" w:rsidRDefault="00176A45" w:rsidP="00176A45">
      <w:pPr>
        <w:spacing w:before="0" w:after="0" w:line="240" w:lineRule="auto"/>
        <w:rPr>
          <w:rFonts w:ascii="Arial Narrow" w:hAnsi="Arial Narrow" w:cstheme="minorHAnsi"/>
          <w:sz w:val="18"/>
          <w:szCs w:val="18"/>
        </w:rPr>
      </w:pPr>
      <w:r w:rsidRPr="00205340">
        <w:rPr>
          <w:rFonts w:ascii="Arial Narrow" w:hAnsi="Arial Narrow" w:cstheme="minorHAnsi"/>
          <w:sz w:val="18"/>
          <w:szCs w:val="18"/>
        </w:rPr>
        <w:t>imaginable health state).</w:t>
      </w:r>
    </w:p>
    <w:p w14:paraId="394BD92C" w14:textId="77777777" w:rsidR="00176A45" w:rsidRPr="00205340" w:rsidRDefault="00176A45" w:rsidP="00176A45">
      <w:pPr>
        <w:spacing w:before="0" w:after="0" w:line="240" w:lineRule="auto"/>
        <w:rPr>
          <w:rFonts w:ascii="Arial Narrow" w:hAnsi="Arial Narrow" w:cstheme="minorHAnsi"/>
          <w:sz w:val="18"/>
          <w:szCs w:val="18"/>
        </w:rPr>
      </w:pPr>
      <w:proofErr w:type="gramStart"/>
      <w:r w:rsidRPr="00205340">
        <w:rPr>
          <w:rFonts w:ascii="Arial Narrow" w:hAnsi="Arial Narrow" w:cstheme="minorHAnsi"/>
          <w:sz w:val="18"/>
          <w:szCs w:val="18"/>
          <w:vertAlign w:val="superscript"/>
        </w:rPr>
        <w:t xml:space="preserve">j  </w:t>
      </w:r>
      <w:r w:rsidRPr="00205340">
        <w:rPr>
          <w:rFonts w:ascii="Arial Narrow" w:hAnsi="Arial Narrow" w:cstheme="minorHAnsi"/>
          <w:sz w:val="18"/>
          <w:szCs w:val="18"/>
        </w:rPr>
        <w:t>Per</w:t>
      </w:r>
      <w:proofErr w:type="gramEnd"/>
      <w:r w:rsidRPr="00205340">
        <w:rPr>
          <w:rFonts w:ascii="Arial Narrow" w:hAnsi="Arial Narrow" w:cstheme="minorHAnsi"/>
          <w:sz w:val="18"/>
          <w:szCs w:val="18"/>
        </w:rPr>
        <w:t xml:space="preserve"> p.114 of the BASIS Interim Clinical Study Report, PGIC-H was not included in the testing hierarchy to control type I error rate within each statistical objective. The PGIC-H measured the participant’s overall impression of change in their life with haemophilia in a 7-point ordinal scale with lower scores indicating better change; 1: greatly improved, 2: moderately improved, 3: slightly improved, 4: no change, 5: slightly worsened, 6: moderately worsened, and 7: greatly worsened.</w:t>
      </w:r>
    </w:p>
    <w:p w14:paraId="2DD74C12" w14:textId="6B5CC2B0" w:rsidR="00176A45" w:rsidRPr="00205340" w:rsidRDefault="00176A45" w:rsidP="00176A45">
      <w:pPr>
        <w:spacing w:before="0" w:after="0" w:line="240" w:lineRule="auto"/>
        <w:rPr>
          <w:rFonts w:ascii="Arial Narrow" w:hAnsi="Arial Narrow" w:cstheme="minorHAnsi"/>
          <w:sz w:val="18"/>
          <w:szCs w:val="18"/>
        </w:rPr>
      </w:pPr>
      <w:r w:rsidRPr="00205340">
        <w:rPr>
          <w:rFonts w:ascii="Arial Narrow" w:hAnsi="Arial Narrow" w:cstheme="minorHAnsi"/>
          <w:sz w:val="18"/>
          <w:szCs w:val="18"/>
          <w:vertAlign w:val="superscript"/>
        </w:rPr>
        <w:t xml:space="preserve">k </w:t>
      </w:r>
      <w:r w:rsidRPr="00205340">
        <w:rPr>
          <w:rFonts w:ascii="Arial Narrow" w:hAnsi="Arial Narrow" w:cstheme="minorHAnsi"/>
          <w:sz w:val="18"/>
          <w:szCs w:val="18"/>
        </w:rPr>
        <w:t xml:space="preserve">HAL2 </w:t>
      </w:r>
      <w:r w:rsidR="003D4820" w:rsidRPr="00205340">
        <w:rPr>
          <w:rFonts w:ascii="Arial Narrow" w:hAnsi="Arial Narrow" w:cstheme="minorHAnsi"/>
          <w:sz w:val="18"/>
          <w:szCs w:val="18"/>
        </w:rPr>
        <w:t xml:space="preserve">questionnaire </w:t>
      </w:r>
      <w:r w:rsidRPr="00205340">
        <w:rPr>
          <w:rFonts w:ascii="Arial Narrow" w:hAnsi="Arial Narrow" w:cstheme="minorHAnsi"/>
          <w:sz w:val="18"/>
          <w:szCs w:val="18"/>
        </w:rPr>
        <w:t xml:space="preserve">is </w:t>
      </w:r>
      <w:r w:rsidR="003D4820" w:rsidRPr="00205340">
        <w:rPr>
          <w:rFonts w:ascii="Arial Narrow" w:hAnsi="Arial Narrow" w:cstheme="minorHAnsi"/>
          <w:sz w:val="18"/>
          <w:szCs w:val="18"/>
        </w:rPr>
        <w:t>specific to assessment of</w:t>
      </w:r>
      <w:r w:rsidRPr="00205340">
        <w:rPr>
          <w:rFonts w:ascii="Arial Narrow" w:hAnsi="Arial Narrow" w:cstheme="minorHAnsi"/>
          <w:sz w:val="18"/>
          <w:szCs w:val="18"/>
        </w:rPr>
        <w:t xml:space="preserve"> adults (≥17 years). Per p.115 of the BASIS Interim Clinical Study Report, HAL2 was not included in the testing hierarchy to control type I error rate within each statistical objective. Each of the total, component, or domain scores of HAL2 range from 0 to 100, with higher scores indicating better functional status.</w:t>
      </w:r>
    </w:p>
    <w:p w14:paraId="2ABBC30D" w14:textId="60A5C349" w:rsidR="00176A45" w:rsidRPr="00205340" w:rsidRDefault="00176A45" w:rsidP="00176A45">
      <w:pPr>
        <w:spacing w:before="0" w:after="0" w:line="240" w:lineRule="auto"/>
        <w:jc w:val="both"/>
      </w:pPr>
      <w:r w:rsidRPr="00205340">
        <w:rPr>
          <w:rFonts w:ascii="Arial Narrow" w:hAnsi="Arial Narrow" w:cstheme="minorHAnsi"/>
          <w:sz w:val="18"/>
          <w:szCs w:val="18"/>
          <w:vertAlign w:val="superscript"/>
        </w:rPr>
        <w:t xml:space="preserve">l </w:t>
      </w:r>
      <w:proofErr w:type="spellStart"/>
      <w:r w:rsidRPr="00205340">
        <w:rPr>
          <w:rFonts w:ascii="Arial Narrow" w:hAnsi="Arial Narrow" w:cstheme="minorHAnsi"/>
          <w:sz w:val="18"/>
          <w:szCs w:val="18"/>
        </w:rPr>
        <w:t>pedHAL</w:t>
      </w:r>
      <w:proofErr w:type="spellEnd"/>
      <w:r w:rsidRPr="00205340">
        <w:rPr>
          <w:rFonts w:ascii="Arial Narrow" w:hAnsi="Arial Narrow" w:cstheme="minorHAnsi"/>
          <w:sz w:val="18"/>
          <w:szCs w:val="18"/>
        </w:rPr>
        <w:t xml:space="preserve"> </w:t>
      </w:r>
      <w:r w:rsidR="003D4820" w:rsidRPr="00205340">
        <w:rPr>
          <w:rFonts w:ascii="Arial Narrow" w:hAnsi="Arial Narrow" w:cstheme="minorHAnsi"/>
          <w:sz w:val="18"/>
          <w:szCs w:val="18"/>
        </w:rPr>
        <w:t xml:space="preserve">questionnaire </w:t>
      </w:r>
      <w:r w:rsidRPr="00205340">
        <w:rPr>
          <w:rFonts w:ascii="Arial Narrow" w:hAnsi="Arial Narrow" w:cstheme="minorHAnsi"/>
          <w:sz w:val="18"/>
          <w:szCs w:val="18"/>
        </w:rPr>
        <w:t xml:space="preserve">is </w:t>
      </w:r>
      <w:r w:rsidR="003D4820" w:rsidRPr="00205340">
        <w:rPr>
          <w:rFonts w:ascii="Arial Narrow" w:hAnsi="Arial Narrow" w:cstheme="minorHAnsi"/>
          <w:sz w:val="18"/>
          <w:szCs w:val="18"/>
        </w:rPr>
        <w:t>specific to assessment of</w:t>
      </w:r>
      <w:r w:rsidRPr="00205340">
        <w:rPr>
          <w:rFonts w:ascii="Arial Narrow" w:hAnsi="Arial Narrow" w:cstheme="minorHAnsi"/>
          <w:sz w:val="18"/>
          <w:szCs w:val="18"/>
        </w:rPr>
        <w:t xml:space="preserve"> adolescents 12 to &lt;17 years. Per p.115 of the BASIS Interim Clinical Study Report, </w:t>
      </w:r>
      <w:proofErr w:type="spellStart"/>
      <w:r w:rsidRPr="00205340">
        <w:rPr>
          <w:rFonts w:ascii="Arial Narrow" w:hAnsi="Arial Narrow" w:cstheme="minorHAnsi"/>
          <w:sz w:val="18"/>
          <w:szCs w:val="18"/>
        </w:rPr>
        <w:t>pedHAL</w:t>
      </w:r>
      <w:proofErr w:type="spellEnd"/>
      <w:r w:rsidRPr="00205340">
        <w:rPr>
          <w:rFonts w:ascii="Arial Narrow" w:hAnsi="Arial Narrow" w:cstheme="minorHAnsi"/>
          <w:sz w:val="18"/>
          <w:szCs w:val="18"/>
        </w:rPr>
        <w:t xml:space="preserve"> was not included in the testing hierarchy to control type I error rate within each statistical objective. Each of the total, component, or domain scores of </w:t>
      </w:r>
      <w:proofErr w:type="spellStart"/>
      <w:r w:rsidRPr="00205340">
        <w:rPr>
          <w:rFonts w:ascii="Arial Narrow" w:hAnsi="Arial Narrow" w:cstheme="minorHAnsi"/>
          <w:sz w:val="18"/>
          <w:szCs w:val="18"/>
        </w:rPr>
        <w:t>pedHAL</w:t>
      </w:r>
      <w:proofErr w:type="spellEnd"/>
      <w:r w:rsidRPr="00205340">
        <w:rPr>
          <w:rFonts w:ascii="Arial Narrow" w:hAnsi="Arial Narrow" w:cstheme="minorHAnsi"/>
          <w:sz w:val="18"/>
          <w:szCs w:val="18"/>
        </w:rPr>
        <w:t xml:space="preserve"> range from 0 to 100, with higher scores indicating better functional status.</w:t>
      </w:r>
    </w:p>
    <w:p w14:paraId="2F85703F" w14:textId="5A90A000" w:rsidR="004C0DC4" w:rsidRPr="00205340" w:rsidRDefault="002844B5" w:rsidP="005C116D">
      <w:pPr>
        <w:pStyle w:val="Heading4"/>
      </w:pPr>
      <w:bookmarkStart w:id="47" w:name="_Ref215675657"/>
      <w:bookmarkStart w:id="48" w:name="_Toc69491425"/>
      <w:bookmarkStart w:id="49" w:name="_Toc69491426"/>
      <w:r w:rsidRPr="00205340">
        <w:t>Overall c</w:t>
      </w:r>
      <w:r w:rsidR="004C0DC4" w:rsidRPr="00205340">
        <w:t xml:space="preserve">onclusion </w:t>
      </w:r>
      <w:r w:rsidRPr="00205340">
        <w:t>for</w:t>
      </w:r>
      <w:r w:rsidR="004C0DC4" w:rsidRPr="00205340">
        <w:t xml:space="preserve"> clinical claim</w:t>
      </w:r>
      <w:r w:rsidRPr="00205340">
        <w:t>s</w:t>
      </w:r>
      <w:bookmarkEnd w:id="47"/>
    </w:p>
    <w:p w14:paraId="0BF38660" w14:textId="6177944C" w:rsidR="002844B5" w:rsidRPr="00205340" w:rsidRDefault="002844B5" w:rsidP="005C116D">
      <w:r w:rsidRPr="00205340">
        <w:t xml:space="preserve">The </w:t>
      </w:r>
      <w:r w:rsidR="003C52EC" w:rsidRPr="00205340">
        <w:t xml:space="preserve">ADAR </w:t>
      </w:r>
      <w:r w:rsidRPr="00205340">
        <w:t>presented clinical claims as follows:</w:t>
      </w:r>
    </w:p>
    <w:p w14:paraId="15B2E514" w14:textId="6CAEE0D0" w:rsidR="002844B5" w:rsidRPr="00205340" w:rsidRDefault="002844B5" w:rsidP="005C116D">
      <w:r w:rsidRPr="00205340">
        <w:t>In adolescents and adults aged 12 years and older with severe HMA (FVIII &lt; 1%) without inhibitors:</w:t>
      </w:r>
    </w:p>
    <w:p w14:paraId="0B0AE325" w14:textId="77777777" w:rsidR="002844B5" w:rsidRPr="00205340" w:rsidRDefault="002844B5" w:rsidP="005C116D">
      <w:pPr>
        <w:pStyle w:val="Instructionaltext"/>
        <w:numPr>
          <w:ilvl w:val="0"/>
          <w:numId w:val="20"/>
        </w:numPr>
        <w:spacing w:before="60" w:after="60" w:line="240" w:lineRule="auto"/>
        <w:rPr>
          <w:rStyle w:val="InstructionaltextChar"/>
          <w:color w:val="auto"/>
        </w:rPr>
      </w:pPr>
      <w:r w:rsidRPr="00205340">
        <w:rPr>
          <w:rStyle w:val="InstructionaltextChar"/>
          <w:color w:val="auto"/>
        </w:rPr>
        <w:t>Marstacimab has superior efficacy to extended half-life (EHL) FVIII prophylaxis and non-inferior efficacy to emicizumab with respect to the control of bleeding events; and</w:t>
      </w:r>
    </w:p>
    <w:p w14:paraId="3BB8C2BB" w14:textId="411AF7F1" w:rsidR="002844B5" w:rsidRPr="00205340" w:rsidRDefault="002844B5" w:rsidP="005C116D">
      <w:pPr>
        <w:pStyle w:val="Instructionaltext"/>
        <w:numPr>
          <w:ilvl w:val="0"/>
          <w:numId w:val="20"/>
        </w:numPr>
        <w:spacing w:before="60" w:after="60" w:line="240" w:lineRule="auto"/>
        <w:rPr>
          <w:rStyle w:val="InstructionaltextChar"/>
          <w:color w:val="auto"/>
        </w:rPr>
      </w:pPr>
      <w:r w:rsidRPr="00205340">
        <w:rPr>
          <w:rStyle w:val="InstructionaltextChar"/>
          <w:color w:val="auto"/>
        </w:rPr>
        <w:t>Marstacimab has a non-inferior safety profile to EHL FVIII prophylaxis and emicizumab in terms of adverse events.</w:t>
      </w:r>
    </w:p>
    <w:p w14:paraId="3A1353EE" w14:textId="77777777" w:rsidR="002844B5" w:rsidRPr="00205340" w:rsidRDefault="002844B5" w:rsidP="005C116D">
      <w:pPr>
        <w:rPr>
          <w:rStyle w:val="InstructionaltextChar"/>
          <w:color w:val="auto"/>
        </w:rPr>
      </w:pPr>
      <w:r w:rsidRPr="00205340">
        <w:t>In adolescents and adults aged 12 years and older with severe HMB (FIX &lt; 1%) without inhibitors:</w:t>
      </w:r>
    </w:p>
    <w:p w14:paraId="12879CB1" w14:textId="77777777" w:rsidR="002844B5" w:rsidRPr="00205340" w:rsidRDefault="002844B5" w:rsidP="005C116D">
      <w:pPr>
        <w:pStyle w:val="Instructionaltext"/>
        <w:numPr>
          <w:ilvl w:val="0"/>
          <w:numId w:val="20"/>
        </w:numPr>
        <w:spacing w:before="60" w:after="60" w:line="240" w:lineRule="auto"/>
        <w:rPr>
          <w:rStyle w:val="InstructionaltextChar"/>
          <w:color w:val="auto"/>
        </w:rPr>
      </w:pPr>
      <w:r w:rsidRPr="00205340">
        <w:rPr>
          <w:rStyle w:val="InstructionaltextChar"/>
          <w:color w:val="auto"/>
        </w:rPr>
        <w:t>Marstacimab has superior efficacy to EHL FIX prophylaxis with respect to the control of bleeding events; and</w:t>
      </w:r>
    </w:p>
    <w:p w14:paraId="7792F3DC" w14:textId="77777777" w:rsidR="002844B5" w:rsidRPr="00205340" w:rsidRDefault="002844B5" w:rsidP="005C116D">
      <w:pPr>
        <w:pStyle w:val="Instructionaltext"/>
        <w:numPr>
          <w:ilvl w:val="0"/>
          <w:numId w:val="20"/>
        </w:numPr>
        <w:spacing w:before="60" w:after="60" w:line="240" w:lineRule="auto"/>
        <w:rPr>
          <w:rStyle w:val="InstructionaltextChar"/>
          <w:color w:val="auto"/>
        </w:rPr>
      </w:pPr>
      <w:r w:rsidRPr="00205340">
        <w:rPr>
          <w:rStyle w:val="InstructionaltextChar"/>
          <w:color w:val="auto"/>
        </w:rPr>
        <w:t>Marstacimab has a non-inferior safety profile to EHL FIX prophylaxis in terms of adverse events.</w:t>
      </w:r>
    </w:p>
    <w:p w14:paraId="79FDA4B6" w14:textId="1DB154D3" w:rsidR="002844B5" w:rsidRPr="00205340" w:rsidRDefault="002844B5" w:rsidP="005C116D">
      <w:r w:rsidRPr="00205340">
        <w:t xml:space="preserve">Based on the primary efficacy analysis, which included a </w:t>
      </w:r>
      <w:proofErr w:type="spellStart"/>
      <w:r w:rsidRPr="00205340">
        <w:t>subanalysis</w:t>
      </w:r>
      <w:proofErr w:type="spellEnd"/>
      <w:r w:rsidRPr="00205340">
        <w:t xml:space="preserve"> to present data on treated ABRs for HMA and HMB, it can be concluded that:</w:t>
      </w:r>
    </w:p>
    <w:p w14:paraId="12A4D65A" w14:textId="61230BB5" w:rsidR="002844B5" w:rsidRPr="00205340" w:rsidRDefault="002844B5" w:rsidP="005C116D">
      <w:pPr>
        <w:pStyle w:val="ListParagraph"/>
        <w:numPr>
          <w:ilvl w:val="0"/>
          <w:numId w:val="21"/>
        </w:numPr>
      </w:pPr>
      <w:r w:rsidRPr="00205340">
        <w:t xml:space="preserve">Treatment of HMA with marstacimab compared favourably with FVIII prophylaxis, but the results are optimistic given </w:t>
      </w:r>
      <w:r w:rsidR="00362E3D" w:rsidRPr="00205340">
        <w:t>the</w:t>
      </w:r>
      <w:r w:rsidRPr="00205340">
        <w:t xml:space="preserve"> patient cohort in</w:t>
      </w:r>
      <w:r w:rsidR="00084709" w:rsidRPr="00205340">
        <w:t xml:space="preserve"> the key trial</w:t>
      </w:r>
      <w:r w:rsidR="00362E3D" w:rsidRPr="00205340">
        <w:t xml:space="preserve"> </w:t>
      </w:r>
      <w:r w:rsidR="001A32AC" w:rsidRPr="00205340">
        <w:t>had</w:t>
      </w:r>
      <w:r w:rsidRPr="00205340">
        <w:t xml:space="preserve"> </w:t>
      </w:r>
      <w:r w:rsidR="00DE08E6" w:rsidRPr="00205340">
        <w:t>73.6</w:t>
      </w:r>
      <w:r w:rsidRPr="00205340">
        <w:t>% of patients treated with SHL products rather than EHL products</w:t>
      </w:r>
      <w:r w:rsidR="00D639D1" w:rsidRPr="00205340">
        <w:t>.</w:t>
      </w:r>
      <w:r w:rsidRPr="00205340">
        <w:t xml:space="preserve"> </w:t>
      </w:r>
      <w:r w:rsidR="00D639D1" w:rsidRPr="00205340">
        <w:t xml:space="preserve">This </w:t>
      </w:r>
      <w:r w:rsidR="006B1E4B" w:rsidRPr="00205340">
        <w:t xml:space="preserve">is different to the </w:t>
      </w:r>
      <w:r w:rsidR="00566ABE" w:rsidRPr="00205340">
        <w:t xml:space="preserve">current </w:t>
      </w:r>
      <w:r w:rsidRPr="00205340">
        <w:t>Australian clinical context</w:t>
      </w:r>
      <w:r w:rsidR="00223242" w:rsidRPr="00205340">
        <w:t xml:space="preserve"> where </w:t>
      </w:r>
      <w:r w:rsidR="00475B5D" w:rsidRPr="00205340">
        <w:t xml:space="preserve">majority of patients </w:t>
      </w:r>
      <w:r w:rsidR="00DE123B" w:rsidRPr="00205340">
        <w:t>on factor pro</w:t>
      </w:r>
      <w:r w:rsidR="004209F6" w:rsidRPr="00205340">
        <w:t xml:space="preserve">phylaxis </w:t>
      </w:r>
      <w:r w:rsidR="00475B5D" w:rsidRPr="00205340">
        <w:t xml:space="preserve">receive </w:t>
      </w:r>
      <w:r w:rsidR="004209F6" w:rsidRPr="00205340">
        <w:t>EHL</w:t>
      </w:r>
      <w:r w:rsidR="00AC135A" w:rsidRPr="00205340">
        <w:t xml:space="preserve"> products</w:t>
      </w:r>
      <w:r w:rsidRPr="00205340">
        <w:t>.</w:t>
      </w:r>
    </w:p>
    <w:p w14:paraId="0DC9BB9C" w14:textId="51F0E3A2" w:rsidR="00B61C90" w:rsidRPr="00205340" w:rsidRDefault="00B61C90" w:rsidP="005C116D">
      <w:pPr>
        <w:pStyle w:val="ListParagraph"/>
        <w:numPr>
          <w:ilvl w:val="0"/>
          <w:numId w:val="21"/>
        </w:numPr>
      </w:pPr>
      <w:r w:rsidRPr="00205340">
        <w:t>In the treatment of HMA, the available data suggest that the efficacy (based on total ABR) of marstacimab is non-inferior to emicizumab, though this conclusion is based on highly uncertain results of the indirect treatment comparison subject to geographical and temporal differences between the trials and unmeasured confounding.</w:t>
      </w:r>
    </w:p>
    <w:p w14:paraId="58BFF477" w14:textId="2DF55CC4" w:rsidR="002844B5" w:rsidRPr="00205340" w:rsidRDefault="003C52EC" w:rsidP="005C116D">
      <w:pPr>
        <w:pStyle w:val="ListParagraph"/>
        <w:numPr>
          <w:ilvl w:val="0"/>
          <w:numId w:val="21"/>
        </w:numPr>
      </w:pPr>
      <w:r w:rsidRPr="00205340">
        <w:t xml:space="preserve">Treated ABRs for HMB were similar on average between people receiving FIX prophylaxis or marstacimab with half of these people having no clinically important reductions in the number of bleeds that required treatment. The </w:t>
      </w:r>
      <w:r w:rsidR="002844B5" w:rsidRPr="00205340">
        <w:t>applicant’s claim of superior</w:t>
      </w:r>
      <w:r w:rsidR="00566ABE" w:rsidRPr="00205340">
        <w:t xml:space="preserve"> efficacy </w:t>
      </w:r>
      <w:r w:rsidRPr="00205340">
        <w:t xml:space="preserve">was </w:t>
      </w:r>
      <w:r w:rsidR="002844B5" w:rsidRPr="00205340">
        <w:t>not substantiated.</w:t>
      </w:r>
    </w:p>
    <w:p w14:paraId="69A0AF90" w14:textId="0099F292" w:rsidR="003C52EC" w:rsidRPr="00205340" w:rsidRDefault="003C52EC" w:rsidP="005C116D">
      <w:r w:rsidRPr="00205340">
        <w:lastRenderedPageBreak/>
        <w:t xml:space="preserve">The ADAR provided a combined safety analysis for the HMA and HMB populations in which </w:t>
      </w:r>
      <w:r w:rsidR="002A797B" w:rsidRPr="00205340">
        <w:t>claims</w:t>
      </w:r>
      <w:r w:rsidRPr="00205340">
        <w:t xml:space="preserve"> of non-inferior safety for marstacimab compared separately to FVIII and FIX </w:t>
      </w:r>
      <w:r w:rsidR="002A797B" w:rsidRPr="00205340">
        <w:t>were</w:t>
      </w:r>
      <w:r w:rsidRPr="00205340">
        <w:t xml:space="preserve"> not demonstrated. The available pooled safety data (</w:t>
      </w:r>
      <w:r w:rsidRPr="00205340">
        <w:fldChar w:fldCharType="begin" w:fldLock="1"/>
      </w:r>
      <w:r w:rsidRPr="00205340">
        <w:instrText xml:space="preserve"> REF _Ref215002544 \h </w:instrText>
      </w:r>
      <w:r w:rsidR="005C116D" w:rsidRPr="00205340">
        <w:instrText xml:space="preserve"> \* MERGEFORMAT </w:instrText>
      </w:r>
      <w:r w:rsidRPr="00205340">
        <w:fldChar w:fldCharType="separate"/>
      </w:r>
      <w:r w:rsidRPr="00205340">
        <w:t xml:space="preserve">Table </w:t>
      </w:r>
      <w:r w:rsidRPr="00205340">
        <w:rPr>
          <w:noProof/>
        </w:rPr>
        <w:t>4</w:t>
      </w:r>
      <w:r w:rsidRPr="00205340">
        <w:fldChar w:fldCharType="end"/>
      </w:r>
      <w:r w:rsidRPr="00205340">
        <w:t>) indicate differences in the occurrence of reported adverse events (AEs) and serious adverse events (SAEs) in the observational and active treatment phases of the BASIS trial, where factor prophylaxis and marstacimab were compared.</w:t>
      </w:r>
    </w:p>
    <w:p w14:paraId="6BE118DC" w14:textId="1F252475" w:rsidR="0093608E" w:rsidRPr="00205340" w:rsidRDefault="00382B0A" w:rsidP="005C116D">
      <w:pPr>
        <w:pStyle w:val="Heading2"/>
        <w:numPr>
          <w:ilvl w:val="0"/>
          <w:numId w:val="29"/>
        </w:numPr>
        <w:ind w:hanging="720"/>
      </w:pPr>
      <w:bookmarkStart w:id="50" w:name="_Ref217389680"/>
      <w:r w:rsidRPr="00205340">
        <w:t>Economic evaluation</w:t>
      </w:r>
      <w:bookmarkEnd w:id="48"/>
      <w:bookmarkEnd w:id="50"/>
    </w:p>
    <w:p w14:paraId="35839FA4" w14:textId="404FEDB5" w:rsidR="0093608E" w:rsidRPr="00205340" w:rsidRDefault="0093608E" w:rsidP="0093608E">
      <w:pPr>
        <w:pStyle w:val="Instructionaltext"/>
        <w:rPr>
          <w:color w:val="auto"/>
        </w:rPr>
      </w:pPr>
      <w:r w:rsidRPr="00205340">
        <w:rPr>
          <w:rFonts w:cstheme="minorHAnsi"/>
          <w:color w:val="auto"/>
        </w:rPr>
        <w:t xml:space="preserve">The </w:t>
      </w:r>
      <w:r w:rsidR="00E87844" w:rsidRPr="00205340">
        <w:rPr>
          <w:rFonts w:cstheme="minorHAnsi"/>
          <w:color w:val="auto"/>
        </w:rPr>
        <w:t>ADAR</w:t>
      </w:r>
      <w:r w:rsidRPr="00205340">
        <w:rPr>
          <w:rFonts w:cstheme="minorHAnsi"/>
          <w:color w:val="auto"/>
        </w:rPr>
        <w:t xml:space="preserve"> presented two economic analyses. </w:t>
      </w:r>
      <w:r w:rsidRPr="00205340">
        <w:rPr>
          <w:color w:val="auto"/>
        </w:rPr>
        <w:t xml:space="preserve">A cost-minimisation approach (CMA) was presented for marstacimab against emicizumab for adolescents and adults aged ≥12 years with severe HMA without inhibitors. The </w:t>
      </w:r>
      <w:r w:rsidR="0067094A" w:rsidRPr="00205340">
        <w:rPr>
          <w:color w:val="auto"/>
        </w:rPr>
        <w:t>c</w:t>
      </w:r>
      <w:r w:rsidRPr="00205340">
        <w:rPr>
          <w:color w:val="auto"/>
        </w:rPr>
        <w:t>ommentary considered that this was reasonable and consistent with the non-inferiority claim for marstacimab versus emicizumab in</w:t>
      </w:r>
      <w:r w:rsidR="007A4556" w:rsidRPr="00205340">
        <w:rPr>
          <w:color w:val="auto"/>
        </w:rPr>
        <w:t xml:space="preserve"> patients with</w:t>
      </w:r>
      <w:r w:rsidRPr="00205340">
        <w:rPr>
          <w:color w:val="auto"/>
        </w:rPr>
        <w:t xml:space="preserve"> HMA.</w:t>
      </w:r>
    </w:p>
    <w:p w14:paraId="159029D4" w14:textId="4ED0A5E5" w:rsidR="0093608E" w:rsidRPr="00205340" w:rsidRDefault="0093608E" w:rsidP="0093608E">
      <w:r w:rsidRPr="00205340">
        <w:t xml:space="preserve">A separate cost-utility analysis (CUA) for marstacimab against factor prophylaxis was also presented for adolescents and adults aged 12 years and older with severe HMA or HMB without inhibitors based on the BASIS trial. The </w:t>
      </w:r>
      <w:r w:rsidR="004D3447" w:rsidRPr="00205340">
        <w:t>c</w:t>
      </w:r>
      <w:r w:rsidRPr="00205340">
        <w:t>ommentary considered this was not appropriate as:</w:t>
      </w:r>
    </w:p>
    <w:p w14:paraId="3D7F116E" w14:textId="03FE3C05" w:rsidR="000903E6" w:rsidRPr="00205340" w:rsidRDefault="0093608E" w:rsidP="005C116D">
      <w:pPr>
        <w:pStyle w:val="ListParagraph"/>
        <w:numPr>
          <w:ilvl w:val="0"/>
          <w:numId w:val="14"/>
        </w:numPr>
      </w:pPr>
      <w:r w:rsidRPr="00205340">
        <w:t xml:space="preserve">PASC had advised that the </w:t>
      </w:r>
      <w:r w:rsidR="00A51A70" w:rsidRPr="00205340">
        <w:t>ADAR</w:t>
      </w:r>
      <w:r w:rsidRPr="00205340">
        <w:t xml:space="preserve"> should present two separate economic analyses for each the HMA and HMB populations, not an analysis which pools the HMA and HMB populations together</w:t>
      </w:r>
      <w:r w:rsidR="00C920B6" w:rsidRPr="00205340">
        <w:t>.</w:t>
      </w:r>
    </w:p>
    <w:p w14:paraId="066A2983" w14:textId="58F497AC" w:rsidR="0093608E" w:rsidRPr="00205340" w:rsidRDefault="0093608E" w:rsidP="005C116D">
      <w:pPr>
        <w:pStyle w:val="ListParagraph"/>
        <w:numPr>
          <w:ilvl w:val="0"/>
          <w:numId w:val="14"/>
        </w:numPr>
      </w:pPr>
      <w:r w:rsidRPr="00205340">
        <w:t>PASC advised that a CUA for the HMB population was only appropriate if the ADAR was able to demonstrate superiority in comparison to EHL prophylaxis for the HMB population. As raised above (</w:t>
      </w:r>
      <w:r w:rsidR="00F04910" w:rsidRPr="00205340">
        <w:t xml:space="preserve">12. </w:t>
      </w:r>
      <w:r w:rsidRPr="00205340">
        <w:fldChar w:fldCharType="begin" w:fldLock="1"/>
      </w:r>
      <w:r w:rsidRPr="00205340">
        <w:instrText xml:space="preserve"> REF _Ref215675657 \h </w:instrText>
      </w:r>
      <w:r w:rsidR="00205340">
        <w:instrText xml:space="preserve"> \* MERGEFORMAT </w:instrText>
      </w:r>
      <w:r w:rsidRPr="00205340">
        <w:fldChar w:fldCharType="separate"/>
      </w:r>
      <w:r w:rsidR="00F04910" w:rsidRPr="00205340">
        <w:t>Overall conclusion for clinical claims</w:t>
      </w:r>
      <w:r w:rsidRPr="00205340">
        <w:fldChar w:fldCharType="end"/>
      </w:r>
      <w:r w:rsidRPr="00205340">
        <w:t>), this was not demonstrated.</w:t>
      </w:r>
      <w:r w:rsidR="000903E6" w:rsidRPr="00205340">
        <w:t xml:space="preserve"> If superiority against EHL prophylaxis could not be demonstrated from the BASIS trial for the HMB population, PASC considered that the most appropriate economic evaluation for this population would be a CMA. This analysis was performed during the evaluation and is presented below.</w:t>
      </w:r>
    </w:p>
    <w:p w14:paraId="1727EDDE" w14:textId="3A6B8D15" w:rsidR="00C55D9D" w:rsidRPr="00205340" w:rsidRDefault="00D97D8E" w:rsidP="005C116D">
      <w:pPr>
        <w:pStyle w:val="ListParagraph"/>
        <w:numPr>
          <w:ilvl w:val="0"/>
          <w:numId w:val="14"/>
        </w:numPr>
      </w:pPr>
      <w:r w:rsidRPr="00205340">
        <w:t xml:space="preserve"> The commentary considered that given the ease of administration of emicizumab over EHL FVIII prophylaxis (subcutaneous versus intravenous injections), patients who have not switched over to emicizumab are unlikely to switch to marstacimab, noting its similarity in administration frequency and method (subcutaneous) and safety. </w:t>
      </w:r>
      <w:r w:rsidR="00691EB9" w:rsidRPr="00205340">
        <w:t>Consistent with this, t</w:t>
      </w:r>
      <w:r w:rsidR="0083154B" w:rsidRPr="00205340">
        <w:t>he ADAR assumed that no patients</w:t>
      </w:r>
      <w:r w:rsidR="009B7054" w:rsidRPr="00205340">
        <w:t xml:space="preserve"> with HMA</w:t>
      </w:r>
      <w:r w:rsidR="0083154B" w:rsidRPr="00205340">
        <w:t xml:space="preserve"> currently undergoing factor prophylaxis would switch to marstacimab (see </w:t>
      </w:r>
      <w:r w:rsidR="0083154B" w:rsidRPr="00205340">
        <w:fldChar w:fldCharType="begin" w:fldLock="1"/>
      </w:r>
      <w:r w:rsidR="0083154B" w:rsidRPr="00205340">
        <w:instrText xml:space="preserve"> REF _Ref217158222 \h </w:instrText>
      </w:r>
      <w:r w:rsidR="00205340">
        <w:instrText xml:space="preserve"> \* MERGEFORMAT </w:instrText>
      </w:r>
      <w:r w:rsidR="0083154B" w:rsidRPr="00205340">
        <w:fldChar w:fldCharType="separate"/>
      </w:r>
      <w:r w:rsidR="0083154B" w:rsidRPr="00205340">
        <w:t>1</w:t>
      </w:r>
      <w:r w:rsidR="00DC294E" w:rsidRPr="00205340">
        <w:t>4</w:t>
      </w:r>
      <w:r w:rsidR="0083154B" w:rsidRPr="00205340">
        <w:t>.</w:t>
      </w:r>
      <w:r w:rsidR="00DC294E" w:rsidRPr="00205340">
        <w:t xml:space="preserve"> </w:t>
      </w:r>
      <w:r w:rsidR="0083154B" w:rsidRPr="00205340">
        <w:t>Financial/budgetary impacts</w:t>
      </w:r>
      <w:r w:rsidR="0083154B" w:rsidRPr="00205340">
        <w:fldChar w:fldCharType="end"/>
      </w:r>
      <w:r w:rsidR="0083154B" w:rsidRPr="00205340">
        <w:t>).</w:t>
      </w:r>
      <w:r w:rsidR="0078741A" w:rsidRPr="00205340">
        <w:t xml:space="preserve"> The commentary noted that this underscores that the </w:t>
      </w:r>
      <w:r w:rsidR="004B3BAB" w:rsidRPr="00205340">
        <w:t>main</w:t>
      </w:r>
      <w:r w:rsidR="0078741A" w:rsidRPr="00205340">
        <w:t xml:space="preserve"> comparator for the HMA population is emicizumab, and the irrelevance of presenting a CUA for </w:t>
      </w:r>
      <w:r w:rsidR="007A4556" w:rsidRPr="00205340">
        <w:t xml:space="preserve">patients with </w:t>
      </w:r>
      <w:r w:rsidR="0078741A" w:rsidRPr="00205340">
        <w:t>HMA compared to factor prophylaxis.</w:t>
      </w:r>
    </w:p>
    <w:p w14:paraId="67FA5C4B" w14:textId="2DAF6F50" w:rsidR="0093608E" w:rsidRPr="00205340" w:rsidRDefault="0093608E" w:rsidP="0093608E">
      <w:pPr>
        <w:pStyle w:val="Heading3"/>
      </w:pPr>
      <w:r w:rsidRPr="00205340">
        <w:t>HMA CMA</w:t>
      </w:r>
    </w:p>
    <w:p w14:paraId="28D1B9F4" w14:textId="4B10322C" w:rsidR="0093608E" w:rsidRPr="00205340" w:rsidRDefault="0093608E" w:rsidP="00F04910">
      <w:r w:rsidRPr="00205340">
        <w:t xml:space="preserve">The key inputs from the CMA for marstacimab vs emicizumab in </w:t>
      </w:r>
      <w:r w:rsidR="007A4556" w:rsidRPr="00205340">
        <w:t xml:space="preserve">patients with </w:t>
      </w:r>
      <w:r w:rsidRPr="00205340">
        <w:t>HMA presented in the ADAR are presented</w:t>
      </w:r>
      <w:r w:rsidR="00F04910" w:rsidRPr="00205340">
        <w:t xml:space="preserve"> </w:t>
      </w:r>
      <w:r w:rsidR="00F04910" w:rsidRPr="00205340">
        <w:fldChar w:fldCharType="begin" w:fldLock="1"/>
      </w:r>
      <w:r w:rsidR="00F04910" w:rsidRPr="00205340">
        <w:instrText xml:space="preserve"> REF _Ref227156937 \h </w:instrText>
      </w:r>
      <w:r w:rsidR="00205340">
        <w:instrText xml:space="preserve"> \* MERGEFORMAT </w:instrText>
      </w:r>
      <w:r w:rsidR="00F04910" w:rsidRPr="00205340">
        <w:fldChar w:fldCharType="separate"/>
      </w:r>
      <w:r w:rsidR="00F04910" w:rsidRPr="00205340">
        <w:t xml:space="preserve">Table </w:t>
      </w:r>
      <w:r w:rsidR="00F04910" w:rsidRPr="00205340">
        <w:rPr>
          <w:noProof/>
        </w:rPr>
        <w:t>12</w:t>
      </w:r>
      <w:r w:rsidR="00F04910" w:rsidRPr="00205340">
        <w:fldChar w:fldCharType="end"/>
      </w:r>
      <w:r w:rsidRPr="00205340">
        <w:t xml:space="preserve">. </w:t>
      </w:r>
    </w:p>
    <w:p w14:paraId="28FA87BB" w14:textId="7992E9AD" w:rsidR="00F04910" w:rsidRPr="00205340" w:rsidRDefault="00F04910" w:rsidP="00F04910">
      <w:pPr>
        <w:pStyle w:val="Caption"/>
      </w:pPr>
      <w:bookmarkStart w:id="51" w:name="_Ref227156937"/>
      <w:r w:rsidRPr="00205340">
        <w:lastRenderedPageBreak/>
        <w:t xml:space="preserve">Table </w:t>
      </w:r>
      <w:fldSimple w:instr=" SEQ Table \* ARABIC ">
        <w:r w:rsidR="002C6A9B" w:rsidRPr="00205340">
          <w:rPr>
            <w:noProof/>
          </w:rPr>
          <w:t>12</w:t>
        </w:r>
      </w:fldSimple>
      <w:bookmarkEnd w:id="51"/>
      <w:r w:rsidRPr="00205340">
        <w:t xml:space="preserve"> Key inputs for the HMA CMA, marstacimab vs emicizumab</w:t>
      </w:r>
    </w:p>
    <w:tbl>
      <w:tblPr>
        <w:tblStyle w:val="TableGrid"/>
        <w:tblW w:w="0" w:type="auto"/>
        <w:tblLook w:val="04A0" w:firstRow="1" w:lastRow="0" w:firstColumn="1" w:lastColumn="0" w:noHBand="0" w:noVBand="1"/>
      </w:tblPr>
      <w:tblGrid>
        <w:gridCol w:w="1838"/>
        <w:gridCol w:w="3402"/>
        <w:gridCol w:w="3776"/>
      </w:tblGrid>
      <w:tr w:rsidR="007F0F4D" w:rsidRPr="00205340" w14:paraId="2E1F1FE6" w14:textId="77777777">
        <w:tc>
          <w:tcPr>
            <w:tcW w:w="1838" w:type="dxa"/>
            <w:vAlign w:val="center"/>
          </w:tcPr>
          <w:p w14:paraId="10D78183" w14:textId="77777777" w:rsidR="0093608E" w:rsidRPr="00205340" w:rsidRDefault="0093608E" w:rsidP="005C116D">
            <w:pPr>
              <w:pStyle w:val="TableText"/>
              <w:keepNext/>
              <w:jc w:val="center"/>
              <w:rPr>
                <w:b/>
                <w:bCs/>
              </w:rPr>
            </w:pPr>
            <w:r w:rsidRPr="00205340">
              <w:rPr>
                <w:b/>
                <w:bCs/>
              </w:rPr>
              <w:t>Input</w:t>
            </w:r>
          </w:p>
        </w:tc>
        <w:tc>
          <w:tcPr>
            <w:tcW w:w="3402" w:type="dxa"/>
            <w:vAlign w:val="center"/>
          </w:tcPr>
          <w:p w14:paraId="36903716" w14:textId="77777777" w:rsidR="0093608E" w:rsidRPr="00205340" w:rsidRDefault="0093608E" w:rsidP="005C116D">
            <w:pPr>
              <w:pStyle w:val="TableText"/>
              <w:keepNext/>
              <w:jc w:val="center"/>
              <w:rPr>
                <w:b/>
                <w:bCs/>
              </w:rPr>
            </w:pPr>
            <w:r w:rsidRPr="00205340">
              <w:rPr>
                <w:b/>
                <w:bCs/>
              </w:rPr>
              <w:t>Value/Source</w:t>
            </w:r>
          </w:p>
        </w:tc>
        <w:tc>
          <w:tcPr>
            <w:tcW w:w="3776" w:type="dxa"/>
            <w:vAlign w:val="center"/>
          </w:tcPr>
          <w:p w14:paraId="559E1F2F" w14:textId="77777777" w:rsidR="0093608E" w:rsidRPr="00205340" w:rsidRDefault="0093608E" w:rsidP="005C116D">
            <w:pPr>
              <w:pStyle w:val="TableText"/>
              <w:keepNext/>
              <w:jc w:val="center"/>
              <w:rPr>
                <w:b/>
                <w:bCs/>
              </w:rPr>
            </w:pPr>
            <w:r w:rsidRPr="00205340">
              <w:rPr>
                <w:b/>
                <w:bCs/>
              </w:rPr>
              <w:t>Comment</w:t>
            </w:r>
          </w:p>
        </w:tc>
      </w:tr>
      <w:tr w:rsidR="007F0F4D" w:rsidRPr="00205340" w14:paraId="6DDEC5FE" w14:textId="77777777">
        <w:tc>
          <w:tcPr>
            <w:tcW w:w="1838" w:type="dxa"/>
            <w:vAlign w:val="center"/>
          </w:tcPr>
          <w:p w14:paraId="7B177B84" w14:textId="77777777" w:rsidR="0093608E" w:rsidRPr="00205340" w:rsidRDefault="0093608E" w:rsidP="005C116D">
            <w:pPr>
              <w:pStyle w:val="TableText"/>
              <w:keepNext/>
            </w:pPr>
            <w:r w:rsidRPr="00205340">
              <w:t>Time horizon</w:t>
            </w:r>
          </w:p>
        </w:tc>
        <w:tc>
          <w:tcPr>
            <w:tcW w:w="3402" w:type="dxa"/>
            <w:vAlign w:val="center"/>
          </w:tcPr>
          <w:p w14:paraId="4EEA634D" w14:textId="77777777" w:rsidR="0093608E" w:rsidRPr="00205340" w:rsidRDefault="0093608E" w:rsidP="005C116D">
            <w:pPr>
              <w:pStyle w:val="TableText"/>
              <w:keepNext/>
              <w:jc w:val="center"/>
            </w:pPr>
            <w:r w:rsidRPr="00205340">
              <w:t>One week.</w:t>
            </w:r>
          </w:p>
        </w:tc>
        <w:tc>
          <w:tcPr>
            <w:tcW w:w="3776" w:type="dxa"/>
            <w:vAlign w:val="center"/>
          </w:tcPr>
          <w:p w14:paraId="10F04DA1" w14:textId="77777777" w:rsidR="0093608E" w:rsidRPr="00205340" w:rsidRDefault="0093608E" w:rsidP="005C116D">
            <w:pPr>
              <w:pStyle w:val="TableText"/>
              <w:keepNext/>
            </w:pPr>
            <w:r w:rsidRPr="00205340">
              <w:t xml:space="preserve">The PBAC recommend conducting CMAs over two years when there is a loading dose in the initial year (paragraph 6.65, </w:t>
            </w:r>
            <w:proofErr w:type="spellStart"/>
            <w:r w:rsidRPr="00205340">
              <w:t>ravulizumab</w:t>
            </w:r>
            <w:proofErr w:type="spellEnd"/>
            <w:r w:rsidRPr="00205340">
              <w:t xml:space="preserve"> PSD, July 2021 PBAC Meeting). </w:t>
            </w:r>
          </w:p>
        </w:tc>
      </w:tr>
      <w:tr w:rsidR="007F0F4D" w:rsidRPr="00205340" w14:paraId="3FE931ED" w14:textId="77777777">
        <w:tc>
          <w:tcPr>
            <w:tcW w:w="1838" w:type="dxa"/>
            <w:vAlign w:val="center"/>
          </w:tcPr>
          <w:p w14:paraId="165E9D6F" w14:textId="77777777" w:rsidR="0093608E" w:rsidRPr="00205340" w:rsidRDefault="0093608E" w:rsidP="005C116D">
            <w:pPr>
              <w:pStyle w:val="TableText"/>
              <w:keepNext/>
            </w:pPr>
            <w:r w:rsidRPr="00205340">
              <w:t>Average weight</w:t>
            </w:r>
          </w:p>
        </w:tc>
        <w:tc>
          <w:tcPr>
            <w:tcW w:w="3402" w:type="dxa"/>
            <w:vAlign w:val="center"/>
          </w:tcPr>
          <w:p w14:paraId="46CA5E0D" w14:textId="7206A751" w:rsidR="0093608E" w:rsidRPr="00205340" w:rsidRDefault="0093608E" w:rsidP="005C116D">
            <w:pPr>
              <w:pStyle w:val="TableText"/>
              <w:keepNext/>
              <w:jc w:val="center"/>
            </w:pPr>
            <w:r w:rsidRPr="00205340">
              <w:t>77.8 kg. Weighted average based on the distribution of weights for HMA and HMB patients in the ABDR Annual Report.</w:t>
            </w:r>
            <w:r w:rsidR="0089752C">
              <w:rPr>
                <w:rFonts w:ascii="ZWAdobeF" w:hAnsi="ZWAdobeF" w:cs="ZWAdobeF"/>
                <w:sz w:val="2"/>
                <w:szCs w:val="2"/>
              </w:rPr>
              <w:t>12F</w:t>
            </w:r>
            <w:r w:rsidRPr="00205340">
              <w:rPr>
                <w:rStyle w:val="FootnoteReference"/>
              </w:rPr>
              <w:footnoteReference w:id="13"/>
            </w:r>
          </w:p>
        </w:tc>
        <w:tc>
          <w:tcPr>
            <w:tcW w:w="3776" w:type="dxa"/>
            <w:vAlign w:val="center"/>
          </w:tcPr>
          <w:p w14:paraId="5C86F170" w14:textId="77777777" w:rsidR="0093608E" w:rsidRPr="00205340" w:rsidRDefault="0093608E" w:rsidP="005C116D">
            <w:pPr>
              <w:pStyle w:val="TableText"/>
              <w:keepNext/>
            </w:pPr>
            <w:r w:rsidRPr="00205340">
              <w:t>The inclusion of HMB patients to determine the average weight was not reasonable. The average weight for HMA patients was 75.2kg.</w:t>
            </w:r>
          </w:p>
        </w:tc>
      </w:tr>
      <w:tr w:rsidR="007F0F4D" w:rsidRPr="00205340" w14:paraId="50513897" w14:textId="77777777">
        <w:tc>
          <w:tcPr>
            <w:tcW w:w="1838" w:type="dxa"/>
            <w:vAlign w:val="center"/>
          </w:tcPr>
          <w:p w14:paraId="702D1B93" w14:textId="77777777" w:rsidR="0093608E" w:rsidRPr="00205340" w:rsidRDefault="0093608E" w:rsidP="005C116D">
            <w:pPr>
              <w:pStyle w:val="TableText"/>
              <w:keepNext/>
            </w:pPr>
            <w:r w:rsidRPr="00205340">
              <w:t>Marstacimab dose</w:t>
            </w:r>
          </w:p>
        </w:tc>
        <w:tc>
          <w:tcPr>
            <w:tcW w:w="3402" w:type="dxa"/>
            <w:vAlign w:val="center"/>
          </w:tcPr>
          <w:p w14:paraId="0D87C560" w14:textId="77777777" w:rsidR="0093608E" w:rsidRPr="00205340" w:rsidRDefault="0093608E" w:rsidP="005C116D">
            <w:pPr>
              <w:pStyle w:val="TableText"/>
              <w:keepNext/>
              <w:jc w:val="center"/>
            </w:pPr>
            <w:r w:rsidRPr="00205340">
              <w:t>300 mg loading dose, followed by 150 mg flat dosing (standard) or 300 mg for those who have a dose escalation once per week based on the Marstacimab PI.</w:t>
            </w:r>
          </w:p>
        </w:tc>
        <w:tc>
          <w:tcPr>
            <w:tcW w:w="3776" w:type="dxa"/>
            <w:vAlign w:val="center"/>
          </w:tcPr>
          <w:p w14:paraId="2CABA7CD" w14:textId="77777777" w:rsidR="0093608E" w:rsidRPr="00205340" w:rsidRDefault="0093608E" w:rsidP="005C116D">
            <w:pPr>
              <w:pStyle w:val="TableText"/>
              <w:keepNext/>
            </w:pPr>
            <w:r w:rsidRPr="00205340">
              <w:t xml:space="preserve">The ADAR has not included the loading dose in the CMA which was not appropriate. </w:t>
            </w:r>
          </w:p>
        </w:tc>
      </w:tr>
      <w:tr w:rsidR="007F0F4D" w:rsidRPr="00205340" w14:paraId="12BD8CC4" w14:textId="77777777">
        <w:tc>
          <w:tcPr>
            <w:tcW w:w="1838" w:type="dxa"/>
            <w:vAlign w:val="center"/>
          </w:tcPr>
          <w:p w14:paraId="56F4DFE1" w14:textId="77777777" w:rsidR="0093608E" w:rsidRPr="00205340" w:rsidRDefault="0093608E" w:rsidP="005C116D">
            <w:pPr>
              <w:pStyle w:val="TableText"/>
              <w:keepNext/>
            </w:pPr>
            <w:r w:rsidRPr="00205340">
              <w:t>Emicizumab dose</w:t>
            </w:r>
          </w:p>
        </w:tc>
        <w:tc>
          <w:tcPr>
            <w:tcW w:w="3402" w:type="dxa"/>
            <w:vAlign w:val="center"/>
          </w:tcPr>
          <w:p w14:paraId="0B3DB194" w14:textId="77777777" w:rsidR="0093608E" w:rsidRPr="00205340" w:rsidRDefault="0093608E" w:rsidP="005C116D">
            <w:pPr>
              <w:pStyle w:val="TableText"/>
              <w:keepNext/>
              <w:jc w:val="center"/>
            </w:pPr>
            <w:r w:rsidRPr="00205340">
              <w:t>1.5 mg/kg once per week as per the Emicizumab PI.</w:t>
            </w:r>
          </w:p>
        </w:tc>
        <w:tc>
          <w:tcPr>
            <w:tcW w:w="3776" w:type="dxa"/>
            <w:vAlign w:val="center"/>
          </w:tcPr>
          <w:p w14:paraId="58D23163" w14:textId="77777777" w:rsidR="0093608E" w:rsidRPr="00205340" w:rsidRDefault="0093608E" w:rsidP="005C116D">
            <w:pPr>
              <w:pStyle w:val="TableText"/>
              <w:keepNext/>
            </w:pPr>
            <w:r w:rsidRPr="00205340">
              <w:t>This was reasonable.</w:t>
            </w:r>
          </w:p>
        </w:tc>
      </w:tr>
      <w:tr w:rsidR="007F0F4D" w:rsidRPr="00205340" w14:paraId="7ED14678" w14:textId="77777777">
        <w:tc>
          <w:tcPr>
            <w:tcW w:w="1838" w:type="dxa"/>
            <w:vAlign w:val="center"/>
          </w:tcPr>
          <w:p w14:paraId="0CCE00F7" w14:textId="77777777" w:rsidR="0093608E" w:rsidRPr="00205340" w:rsidRDefault="0093608E" w:rsidP="005C116D">
            <w:pPr>
              <w:pStyle w:val="TableText"/>
              <w:keepNext/>
            </w:pPr>
            <w:r w:rsidRPr="00205340">
              <w:t>Proportion of marstacimab patients with dose escalations</w:t>
            </w:r>
          </w:p>
        </w:tc>
        <w:tc>
          <w:tcPr>
            <w:tcW w:w="3402" w:type="dxa"/>
            <w:vAlign w:val="center"/>
          </w:tcPr>
          <w:p w14:paraId="5607BB54" w14:textId="77777777" w:rsidR="0093608E" w:rsidRPr="00205340" w:rsidRDefault="0093608E" w:rsidP="005C116D">
            <w:pPr>
              <w:pStyle w:val="TableText"/>
              <w:keepNext/>
              <w:jc w:val="center"/>
            </w:pPr>
            <w:r w:rsidRPr="00205340">
              <w:t>4.7%, derived from BASIS.</w:t>
            </w:r>
          </w:p>
        </w:tc>
        <w:tc>
          <w:tcPr>
            <w:tcW w:w="3776" w:type="dxa"/>
            <w:vAlign w:val="center"/>
          </w:tcPr>
          <w:p w14:paraId="01AA56D1" w14:textId="552A4DDB" w:rsidR="0093608E" w:rsidRPr="00205340" w:rsidRDefault="00C3176B" w:rsidP="005C116D">
            <w:pPr>
              <w:pStyle w:val="TableText"/>
              <w:keepNext/>
            </w:pPr>
            <w:r w:rsidRPr="00205340">
              <w:t>Data from the BASIS LTE study suggest that 14% of patients had dose escalations. The Commentary considered th</w:t>
            </w:r>
            <w:r w:rsidR="004B0D18" w:rsidRPr="00205340">
              <w:t>is</w:t>
            </w:r>
            <w:r w:rsidRPr="00205340">
              <w:t xml:space="preserve"> </w:t>
            </w:r>
            <w:r w:rsidRPr="00205340">
              <w:rPr>
                <w:rFonts w:cstheme="minorHAnsi"/>
              </w:rPr>
              <w:t xml:space="preserve">a better estimate as the observational period was </w:t>
            </w:r>
            <w:proofErr w:type="gramStart"/>
            <w:r w:rsidRPr="00205340">
              <w:rPr>
                <w:rFonts w:cstheme="minorHAnsi"/>
              </w:rPr>
              <w:t>longer</w:t>
            </w:r>
            <w:proofErr w:type="gramEnd"/>
            <w:r w:rsidRPr="00205340">
              <w:rPr>
                <w:rFonts w:cstheme="minorHAnsi"/>
              </w:rPr>
              <w:t xml:space="preserve"> and the mean dose appears to not include the initial loading dose.</w:t>
            </w:r>
          </w:p>
        </w:tc>
      </w:tr>
      <w:tr w:rsidR="007F0F4D" w:rsidRPr="00205340" w14:paraId="780F61F7" w14:textId="77777777">
        <w:tc>
          <w:tcPr>
            <w:tcW w:w="1838" w:type="dxa"/>
            <w:vAlign w:val="center"/>
          </w:tcPr>
          <w:p w14:paraId="3D8972CA" w14:textId="77777777" w:rsidR="0093608E" w:rsidRPr="00205340" w:rsidRDefault="0093608E" w:rsidP="005C116D">
            <w:pPr>
              <w:pStyle w:val="TableText"/>
              <w:keepNext/>
            </w:pPr>
            <w:r w:rsidRPr="00205340">
              <w:t>Marstacimab treatment compliance</w:t>
            </w:r>
          </w:p>
        </w:tc>
        <w:tc>
          <w:tcPr>
            <w:tcW w:w="3402" w:type="dxa"/>
            <w:vAlign w:val="center"/>
          </w:tcPr>
          <w:p w14:paraId="5D0584E0" w14:textId="77777777" w:rsidR="0093608E" w:rsidRPr="00205340" w:rsidRDefault="0093608E" w:rsidP="005C116D">
            <w:pPr>
              <w:pStyle w:val="TableText"/>
              <w:keepNext/>
              <w:jc w:val="center"/>
            </w:pPr>
            <w:r w:rsidRPr="00205340">
              <w:t>98%, sourced from BASIS.</w:t>
            </w:r>
          </w:p>
        </w:tc>
        <w:tc>
          <w:tcPr>
            <w:tcW w:w="3776" w:type="dxa"/>
            <w:vAlign w:val="center"/>
          </w:tcPr>
          <w:p w14:paraId="37C768E1" w14:textId="52F9A838" w:rsidR="0093608E" w:rsidRPr="00205340" w:rsidRDefault="00486D76" w:rsidP="005C116D">
            <w:pPr>
              <w:pStyle w:val="TableText"/>
              <w:keepNext/>
            </w:pPr>
            <w:r w:rsidRPr="00205340">
              <w:t>T</w:t>
            </w:r>
            <w:r w:rsidR="0093608E" w:rsidRPr="00205340">
              <w:t>his data was based on the pooled HMA and HMB population.</w:t>
            </w:r>
          </w:p>
        </w:tc>
      </w:tr>
      <w:tr w:rsidR="007F0F4D" w:rsidRPr="00205340" w14:paraId="71521519" w14:textId="77777777">
        <w:tc>
          <w:tcPr>
            <w:tcW w:w="1838" w:type="dxa"/>
            <w:vAlign w:val="center"/>
          </w:tcPr>
          <w:p w14:paraId="012E45F5" w14:textId="77777777" w:rsidR="0093608E" w:rsidRPr="00205340" w:rsidRDefault="0093608E" w:rsidP="005C116D">
            <w:pPr>
              <w:pStyle w:val="TableText"/>
              <w:keepNext/>
            </w:pPr>
            <w:r w:rsidRPr="00205340">
              <w:t>Emicizumab treatment compliance</w:t>
            </w:r>
          </w:p>
        </w:tc>
        <w:tc>
          <w:tcPr>
            <w:tcW w:w="3402" w:type="dxa"/>
            <w:vAlign w:val="center"/>
          </w:tcPr>
          <w:p w14:paraId="673E79FB" w14:textId="77777777" w:rsidR="0093608E" w:rsidRPr="00205340" w:rsidRDefault="0093608E" w:rsidP="005C116D">
            <w:pPr>
              <w:pStyle w:val="TableText"/>
              <w:keepNext/>
              <w:jc w:val="center"/>
            </w:pPr>
            <w:r w:rsidRPr="00205340">
              <w:t>100%</w:t>
            </w:r>
          </w:p>
        </w:tc>
        <w:tc>
          <w:tcPr>
            <w:tcW w:w="3776" w:type="dxa"/>
            <w:vAlign w:val="center"/>
          </w:tcPr>
          <w:p w14:paraId="62DA71F1" w14:textId="77777777" w:rsidR="0093608E" w:rsidRPr="00205340" w:rsidRDefault="0093608E" w:rsidP="005C116D">
            <w:pPr>
              <w:pStyle w:val="TableText"/>
              <w:keepNext/>
            </w:pPr>
            <w:r w:rsidRPr="00205340">
              <w:t>It may not be reasonable to assume perfect treatment compliance. This has been tested in sensitivity analyses.</w:t>
            </w:r>
          </w:p>
        </w:tc>
      </w:tr>
      <w:tr w:rsidR="007F0F4D" w:rsidRPr="00205340" w14:paraId="76F30562" w14:textId="77777777">
        <w:tc>
          <w:tcPr>
            <w:tcW w:w="1838" w:type="dxa"/>
            <w:vAlign w:val="center"/>
          </w:tcPr>
          <w:p w14:paraId="75004528" w14:textId="77777777" w:rsidR="0093608E" w:rsidRPr="00205340" w:rsidRDefault="0093608E" w:rsidP="005C116D">
            <w:pPr>
              <w:pStyle w:val="TableText"/>
              <w:keepNext/>
            </w:pPr>
            <w:r w:rsidRPr="00205340">
              <w:t>Marstacimab cost</w:t>
            </w:r>
          </w:p>
        </w:tc>
        <w:tc>
          <w:tcPr>
            <w:tcW w:w="3402" w:type="dxa"/>
            <w:vAlign w:val="center"/>
          </w:tcPr>
          <w:p w14:paraId="266A1116" w14:textId="0232427D" w:rsidR="0093608E" w:rsidRPr="00205340" w:rsidRDefault="0093608E" w:rsidP="005C116D">
            <w:pPr>
              <w:pStyle w:val="TableText"/>
              <w:keepNext/>
              <w:jc w:val="center"/>
            </w:pPr>
            <w:r w:rsidRPr="00843C83">
              <w:t>$</w:t>
            </w:r>
            <w:r w:rsidR="0094642F" w:rsidRPr="00843C83">
              <w:rPr>
                <w:b/>
                <w:bCs/>
              </w:rPr>
              <w:t>redacted</w:t>
            </w:r>
            <w:r w:rsidRPr="00205340">
              <w:t xml:space="preserve"> per 150 mg pen.</w:t>
            </w:r>
          </w:p>
        </w:tc>
        <w:tc>
          <w:tcPr>
            <w:tcW w:w="3776" w:type="dxa"/>
            <w:vAlign w:val="center"/>
          </w:tcPr>
          <w:p w14:paraId="4E1E2EB7" w14:textId="77777777" w:rsidR="0093608E" w:rsidRPr="00205340" w:rsidRDefault="0093608E" w:rsidP="005C116D">
            <w:pPr>
              <w:pStyle w:val="TableText"/>
              <w:keepNext/>
            </w:pPr>
            <w:r w:rsidRPr="00205340">
              <w:t>Proposed price.</w:t>
            </w:r>
          </w:p>
        </w:tc>
      </w:tr>
      <w:tr w:rsidR="007F0F4D" w:rsidRPr="00205340" w14:paraId="73C5812E" w14:textId="77777777">
        <w:tc>
          <w:tcPr>
            <w:tcW w:w="1838" w:type="dxa"/>
            <w:vAlign w:val="center"/>
          </w:tcPr>
          <w:p w14:paraId="642277D0" w14:textId="77777777" w:rsidR="0093608E" w:rsidRPr="00205340" w:rsidRDefault="0093608E" w:rsidP="005C116D">
            <w:pPr>
              <w:pStyle w:val="TableText"/>
              <w:keepNext/>
            </w:pPr>
            <w:r w:rsidRPr="00205340">
              <w:t>Emicizumab cost</w:t>
            </w:r>
          </w:p>
        </w:tc>
        <w:tc>
          <w:tcPr>
            <w:tcW w:w="3402" w:type="dxa"/>
            <w:vAlign w:val="center"/>
          </w:tcPr>
          <w:p w14:paraId="195B401B" w14:textId="77777777" w:rsidR="0093608E" w:rsidRPr="00205340" w:rsidRDefault="0093608E" w:rsidP="005C116D">
            <w:pPr>
              <w:pStyle w:val="TableText"/>
              <w:keepNext/>
              <w:jc w:val="center"/>
            </w:pPr>
            <w:r w:rsidRPr="00205340">
              <w:t>$95.99 per mg (US published price).</w:t>
            </w:r>
          </w:p>
        </w:tc>
        <w:tc>
          <w:tcPr>
            <w:tcW w:w="3776" w:type="dxa"/>
            <w:vAlign w:val="center"/>
          </w:tcPr>
          <w:p w14:paraId="5CB7019B" w14:textId="15B25F65" w:rsidR="0093608E" w:rsidRPr="00205340" w:rsidRDefault="0093608E" w:rsidP="005C116D">
            <w:pPr>
              <w:pStyle w:val="TableText"/>
              <w:keepNext/>
            </w:pPr>
            <w:r w:rsidRPr="00205340">
              <w:t>This was an assumed price for emicizumab. The CMA with the effective price of emicizumab has been presented in the CIC section of the Executive Summary.</w:t>
            </w:r>
          </w:p>
        </w:tc>
      </w:tr>
    </w:tbl>
    <w:p w14:paraId="7AF9B4CC" w14:textId="77777777" w:rsidR="0093608E" w:rsidRPr="00205340" w:rsidRDefault="0093608E" w:rsidP="0093608E">
      <w:pPr>
        <w:pStyle w:val="TableFigureFooter"/>
        <w:spacing w:before="0" w:after="0"/>
        <w:contextualSpacing/>
      </w:pPr>
      <w:r w:rsidRPr="00205340">
        <w:t>Source: Constructed during the evaluation.</w:t>
      </w:r>
    </w:p>
    <w:p w14:paraId="5899F64F" w14:textId="77777777" w:rsidR="0093608E" w:rsidRPr="00205340" w:rsidRDefault="0093608E" w:rsidP="0093608E">
      <w:pPr>
        <w:pStyle w:val="TableFigureFooter"/>
        <w:spacing w:after="240"/>
        <w:contextualSpacing/>
      </w:pPr>
      <w:r w:rsidRPr="00205340">
        <w:t>ABDR = Australian Bleeding Disorders Registry; CIC = Committee in Confidence; CMA = cost-minimisation approach; CSR = clinical study report; PBAC = Pharmaceutical Benefits Advisory Committee; PI = product information; PSD = Public Summary Document; US = United States.</w:t>
      </w:r>
    </w:p>
    <w:p w14:paraId="258B2CD0" w14:textId="4761B021" w:rsidR="0093608E" w:rsidRPr="00205340" w:rsidRDefault="0093608E" w:rsidP="0093608E">
      <w:r w:rsidRPr="00205340">
        <w:t>The result of the CMA is presented in</w:t>
      </w:r>
      <w:r w:rsidR="00F80C9A" w:rsidRPr="00205340">
        <w:t xml:space="preserve"> </w:t>
      </w:r>
      <w:r w:rsidR="00F04910" w:rsidRPr="00205340">
        <w:fldChar w:fldCharType="begin" w:fldLock="1"/>
      </w:r>
      <w:r w:rsidR="00F04910" w:rsidRPr="00205340">
        <w:instrText xml:space="preserve"> REF _Ref227156968 \h </w:instrText>
      </w:r>
      <w:r w:rsidR="00205340">
        <w:instrText xml:space="preserve"> \* MERGEFORMAT </w:instrText>
      </w:r>
      <w:r w:rsidR="00F04910" w:rsidRPr="00205340">
        <w:fldChar w:fldCharType="separate"/>
      </w:r>
      <w:r w:rsidR="00F04910" w:rsidRPr="00205340">
        <w:t xml:space="preserve">Table </w:t>
      </w:r>
      <w:r w:rsidR="00F04910" w:rsidRPr="00205340">
        <w:rPr>
          <w:noProof/>
        </w:rPr>
        <w:t>13</w:t>
      </w:r>
      <w:r w:rsidR="00F04910" w:rsidRPr="00205340">
        <w:fldChar w:fldCharType="end"/>
      </w:r>
      <w:r w:rsidR="00F04910" w:rsidRPr="00205340">
        <w:t xml:space="preserve">. </w:t>
      </w:r>
      <w:r w:rsidRPr="00205340">
        <w:t>These result</w:t>
      </w:r>
      <w:r w:rsidR="00D91B8E" w:rsidRPr="00205340">
        <w:t>s</w:t>
      </w:r>
      <w:r w:rsidRPr="00205340">
        <w:t xml:space="preserve"> should be interpreted with caution as the price for emicizumab has been assumed by the ADAR. The results using the effective price of emicizumab are presented in the Committee in Confidence section. The ADAR has not proposed it would adjust the price of marstacimab to ensure it is cost-minimised against the effective price of emicizumab.</w:t>
      </w:r>
    </w:p>
    <w:p w14:paraId="3B1F76BC" w14:textId="43BF570E" w:rsidR="00F04910" w:rsidRPr="00205340" w:rsidRDefault="00F04910" w:rsidP="00F04910">
      <w:pPr>
        <w:pStyle w:val="Caption"/>
      </w:pPr>
      <w:bookmarkStart w:id="52" w:name="_Ref227156968"/>
      <w:r w:rsidRPr="00205340">
        <w:lastRenderedPageBreak/>
        <w:t xml:space="preserve">Table </w:t>
      </w:r>
      <w:fldSimple w:instr=" SEQ Table \* ARABIC ">
        <w:r w:rsidR="002C6A9B" w:rsidRPr="00205340">
          <w:rPr>
            <w:noProof/>
          </w:rPr>
          <w:t>13</w:t>
        </w:r>
      </w:fldSimple>
      <w:bookmarkEnd w:id="52"/>
      <w:r w:rsidRPr="00205340">
        <w:t xml:space="preserve"> Results of the HMA CMA, marstacimab vs emicizumab</w:t>
      </w:r>
    </w:p>
    <w:tbl>
      <w:tblPr>
        <w:tblStyle w:val="TableGrid"/>
        <w:tblW w:w="0" w:type="auto"/>
        <w:tblLook w:val="04A0" w:firstRow="1" w:lastRow="0" w:firstColumn="1" w:lastColumn="0" w:noHBand="0" w:noVBand="1"/>
      </w:tblPr>
      <w:tblGrid>
        <w:gridCol w:w="3005"/>
        <w:gridCol w:w="3005"/>
        <w:gridCol w:w="3006"/>
      </w:tblGrid>
      <w:tr w:rsidR="0093608E" w:rsidRPr="00205340" w14:paraId="6AF358F6" w14:textId="77777777">
        <w:tc>
          <w:tcPr>
            <w:tcW w:w="3005" w:type="dxa"/>
          </w:tcPr>
          <w:p w14:paraId="0BD3F50F" w14:textId="77777777" w:rsidR="0093608E" w:rsidRPr="00205340" w:rsidRDefault="0093608E">
            <w:pPr>
              <w:pStyle w:val="TableText"/>
              <w:keepNext/>
            </w:pPr>
          </w:p>
        </w:tc>
        <w:tc>
          <w:tcPr>
            <w:tcW w:w="3005" w:type="dxa"/>
            <w:vAlign w:val="center"/>
          </w:tcPr>
          <w:p w14:paraId="5D6CE636" w14:textId="77777777" w:rsidR="0093608E" w:rsidRPr="00205340" w:rsidRDefault="0093608E">
            <w:pPr>
              <w:pStyle w:val="TableText"/>
              <w:keepNext/>
              <w:jc w:val="center"/>
              <w:rPr>
                <w:b/>
                <w:bCs/>
              </w:rPr>
            </w:pPr>
            <w:r w:rsidRPr="00205340">
              <w:rPr>
                <w:b/>
                <w:bCs/>
              </w:rPr>
              <w:t>Marstacimab</w:t>
            </w:r>
          </w:p>
        </w:tc>
        <w:tc>
          <w:tcPr>
            <w:tcW w:w="3006" w:type="dxa"/>
            <w:vAlign w:val="center"/>
          </w:tcPr>
          <w:p w14:paraId="35C89470" w14:textId="77777777" w:rsidR="0093608E" w:rsidRPr="00205340" w:rsidRDefault="0093608E">
            <w:pPr>
              <w:pStyle w:val="TableText"/>
              <w:keepNext/>
              <w:jc w:val="center"/>
              <w:rPr>
                <w:b/>
                <w:bCs/>
              </w:rPr>
            </w:pPr>
            <w:r w:rsidRPr="00205340">
              <w:rPr>
                <w:b/>
                <w:bCs/>
              </w:rPr>
              <w:t>Emicizumab</w:t>
            </w:r>
          </w:p>
        </w:tc>
      </w:tr>
      <w:tr w:rsidR="0093608E" w:rsidRPr="00205340" w14:paraId="5A397804" w14:textId="77777777">
        <w:tc>
          <w:tcPr>
            <w:tcW w:w="3005" w:type="dxa"/>
          </w:tcPr>
          <w:p w14:paraId="14A8D220" w14:textId="77777777" w:rsidR="0093608E" w:rsidRPr="00205340" w:rsidRDefault="0093608E">
            <w:pPr>
              <w:pStyle w:val="TableText"/>
              <w:keepNext/>
            </w:pPr>
            <w:r w:rsidRPr="00205340">
              <w:t>Average dose per week</w:t>
            </w:r>
          </w:p>
        </w:tc>
        <w:tc>
          <w:tcPr>
            <w:tcW w:w="3005" w:type="dxa"/>
            <w:vAlign w:val="center"/>
          </w:tcPr>
          <w:p w14:paraId="2B91D9BD" w14:textId="77777777" w:rsidR="0093608E" w:rsidRPr="00205340" w:rsidRDefault="0093608E">
            <w:pPr>
              <w:pStyle w:val="TableText"/>
              <w:keepNext/>
              <w:jc w:val="center"/>
              <w:rPr>
                <w:b/>
                <w:bCs/>
              </w:rPr>
            </w:pPr>
            <w:r w:rsidRPr="00205340">
              <w:t xml:space="preserve">157 </w:t>
            </w:r>
            <w:proofErr w:type="spellStart"/>
            <w:r w:rsidRPr="00205340">
              <w:t>mg</w:t>
            </w:r>
            <w:r w:rsidRPr="00205340">
              <w:rPr>
                <w:vertAlign w:val="superscript"/>
              </w:rPr>
              <w:t>a</w:t>
            </w:r>
            <w:proofErr w:type="spellEnd"/>
          </w:p>
        </w:tc>
        <w:tc>
          <w:tcPr>
            <w:tcW w:w="3006" w:type="dxa"/>
            <w:vAlign w:val="center"/>
          </w:tcPr>
          <w:p w14:paraId="155ADF69" w14:textId="77777777" w:rsidR="0093608E" w:rsidRPr="00205340" w:rsidRDefault="0093608E">
            <w:pPr>
              <w:pStyle w:val="TableText"/>
              <w:keepNext/>
              <w:jc w:val="center"/>
              <w:rPr>
                <w:b/>
                <w:bCs/>
              </w:rPr>
            </w:pPr>
            <w:r w:rsidRPr="00205340">
              <w:t xml:space="preserve">117 </w:t>
            </w:r>
            <w:proofErr w:type="spellStart"/>
            <w:r w:rsidRPr="00205340">
              <w:t>mg</w:t>
            </w:r>
            <w:r w:rsidRPr="00205340">
              <w:rPr>
                <w:vertAlign w:val="superscript"/>
              </w:rPr>
              <w:t>b</w:t>
            </w:r>
            <w:proofErr w:type="spellEnd"/>
          </w:p>
        </w:tc>
      </w:tr>
      <w:tr w:rsidR="0093608E" w:rsidRPr="00205340" w14:paraId="4EF56E13" w14:textId="77777777">
        <w:tc>
          <w:tcPr>
            <w:tcW w:w="3005" w:type="dxa"/>
          </w:tcPr>
          <w:p w14:paraId="69BE061F" w14:textId="77777777" w:rsidR="0093608E" w:rsidRPr="00205340" w:rsidRDefault="0093608E">
            <w:pPr>
              <w:pStyle w:val="TableText"/>
              <w:keepNext/>
            </w:pPr>
            <w:r w:rsidRPr="00205340">
              <w:t>Treatment compliance</w:t>
            </w:r>
          </w:p>
        </w:tc>
        <w:tc>
          <w:tcPr>
            <w:tcW w:w="3005" w:type="dxa"/>
            <w:vAlign w:val="center"/>
          </w:tcPr>
          <w:p w14:paraId="39FDB6D8" w14:textId="77777777" w:rsidR="0093608E" w:rsidRPr="00205340" w:rsidRDefault="0093608E">
            <w:pPr>
              <w:pStyle w:val="TableText"/>
              <w:keepNext/>
              <w:jc w:val="center"/>
              <w:rPr>
                <w:b/>
                <w:bCs/>
              </w:rPr>
            </w:pPr>
            <w:r w:rsidRPr="00205340">
              <w:t>98%</w:t>
            </w:r>
          </w:p>
        </w:tc>
        <w:tc>
          <w:tcPr>
            <w:tcW w:w="3006" w:type="dxa"/>
            <w:vAlign w:val="center"/>
          </w:tcPr>
          <w:p w14:paraId="555C3F4E" w14:textId="77777777" w:rsidR="0093608E" w:rsidRPr="00205340" w:rsidRDefault="0093608E">
            <w:pPr>
              <w:pStyle w:val="TableText"/>
              <w:keepNext/>
              <w:jc w:val="center"/>
              <w:rPr>
                <w:b/>
                <w:bCs/>
              </w:rPr>
            </w:pPr>
            <w:r w:rsidRPr="00205340">
              <w:t>100%</w:t>
            </w:r>
          </w:p>
        </w:tc>
      </w:tr>
      <w:tr w:rsidR="0093608E" w:rsidRPr="00205340" w14:paraId="1949A3DE" w14:textId="77777777">
        <w:tc>
          <w:tcPr>
            <w:tcW w:w="3005" w:type="dxa"/>
          </w:tcPr>
          <w:p w14:paraId="388CA778" w14:textId="77777777" w:rsidR="0093608E" w:rsidRPr="00205340" w:rsidRDefault="0093608E">
            <w:pPr>
              <w:pStyle w:val="TableText"/>
              <w:keepNext/>
            </w:pPr>
            <w:r w:rsidRPr="00205340">
              <w:t>Dose per week after compliance</w:t>
            </w:r>
          </w:p>
        </w:tc>
        <w:tc>
          <w:tcPr>
            <w:tcW w:w="3005" w:type="dxa"/>
            <w:vAlign w:val="center"/>
          </w:tcPr>
          <w:p w14:paraId="070174E6" w14:textId="77777777" w:rsidR="0093608E" w:rsidRPr="00205340" w:rsidRDefault="0093608E">
            <w:pPr>
              <w:pStyle w:val="TableText"/>
              <w:keepNext/>
              <w:jc w:val="center"/>
              <w:rPr>
                <w:b/>
                <w:bCs/>
              </w:rPr>
            </w:pPr>
            <w:r w:rsidRPr="00205340">
              <w:t>154 mg</w:t>
            </w:r>
          </w:p>
        </w:tc>
        <w:tc>
          <w:tcPr>
            <w:tcW w:w="3006" w:type="dxa"/>
            <w:vAlign w:val="center"/>
          </w:tcPr>
          <w:p w14:paraId="5DEE47E9" w14:textId="77777777" w:rsidR="0093608E" w:rsidRPr="00205340" w:rsidRDefault="0093608E">
            <w:pPr>
              <w:pStyle w:val="TableText"/>
              <w:keepNext/>
              <w:jc w:val="center"/>
              <w:rPr>
                <w:b/>
                <w:bCs/>
              </w:rPr>
            </w:pPr>
            <w:r w:rsidRPr="00205340">
              <w:t>117 mg</w:t>
            </w:r>
          </w:p>
        </w:tc>
      </w:tr>
      <w:tr w:rsidR="0093608E" w:rsidRPr="00205340" w14:paraId="36822B4D" w14:textId="77777777">
        <w:tc>
          <w:tcPr>
            <w:tcW w:w="3005" w:type="dxa"/>
          </w:tcPr>
          <w:p w14:paraId="3920368B" w14:textId="77777777" w:rsidR="0093608E" w:rsidRPr="00205340" w:rsidRDefault="0093608E">
            <w:pPr>
              <w:pStyle w:val="TableText"/>
              <w:keepNext/>
            </w:pPr>
            <w:r w:rsidRPr="00205340">
              <w:t>Cost per week</w:t>
            </w:r>
          </w:p>
        </w:tc>
        <w:tc>
          <w:tcPr>
            <w:tcW w:w="3005" w:type="dxa"/>
            <w:vAlign w:val="center"/>
          </w:tcPr>
          <w:p w14:paraId="23D9437F" w14:textId="78CEBE78" w:rsidR="0093608E" w:rsidRPr="003A579E" w:rsidRDefault="0093608E">
            <w:pPr>
              <w:pStyle w:val="TableText"/>
              <w:keepNext/>
              <w:jc w:val="center"/>
              <w:rPr>
                <w:b/>
                <w:bCs/>
              </w:rPr>
            </w:pPr>
            <w:r w:rsidRPr="000D1389">
              <w:t>$</w:t>
            </w:r>
            <w:r w:rsidR="003A579E" w:rsidRPr="000D1389">
              <w:rPr>
                <w:b/>
                <w:bCs/>
              </w:rPr>
              <w:t>redacted</w:t>
            </w:r>
          </w:p>
        </w:tc>
        <w:tc>
          <w:tcPr>
            <w:tcW w:w="3006" w:type="dxa"/>
            <w:vAlign w:val="center"/>
          </w:tcPr>
          <w:p w14:paraId="60FF202C" w14:textId="77777777" w:rsidR="0093608E" w:rsidRPr="00205340" w:rsidRDefault="0093608E">
            <w:pPr>
              <w:pStyle w:val="TableText"/>
              <w:keepNext/>
              <w:jc w:val="center"/>
              <w:rPr>
                <w:b/>
                <w:bCs/>
              </w:rPr>
            </w:pPr>
            <w:r w:rsidRPr="00205340">
              <w:t>$11,206</w:t>
            </w:r>
          </w:p>
        </w:tc>
      </w:tr>
    </w:tbl>
    <w:p w14:paraId="3AC3F15B" w14:textId="77777777" w:rsidR="0093608E" w:rsidRPr="00205340" w:rsidRDefault="0093608E" w:rsidP="0093608E">
      <w:pPr>
        <w:pStyle w:val="TableFigureFooter"/>
        <w:keepNext/>
        <w:spacing w:before="0" w:after="240"/>
        <w:contextualSpacing/>
      </w:pPr>
      <w:r w:rsidRPr="00205340">
        <w:t>Source: Constructed during the evaluation from the “Economic inputs – marstacimab final” Excel workbook provided with the ADAR.</w:t>
      </w:r>
    </w:p>
    <w:p w14:paraId="0A0EF55F" w14:textId="77777777" w:rsidR="0093608E" w:rsidRPr="00205340" w:rsidRDefault="0093608E" w:rsidP="0093608E">
      <w:pPr>
        <w:pStyle w:val="TableFigureFooter"/>
        <w:keepNext/>
        <w:spacing w:before="0" w:after="240"/>
        <w:contextualSpacing/>
      </w:pPr>
      <w:r w:rsidRPr="00205340">
        <w:t>ADAR = Applicant Developed Assessment Report; CMA = cost-minimisation approach; CSR = clinical study report; PI = product information</w:t>
      </w:r>
    </w:p>
    <w:p w14:paraId="7AE7F1A9" w14:textId="77777777" w:rsidR="0093608E" w:rsidRPr="00205340" w:rsidRDefault="0093608E" w:rsidP="0093608E">
      <w:pPr>
        <w:pStyle w:val="TableFigureFooter"/>
        <w:keepNext/>
        <w:spacing w:before="0" w:after="240"/>
        <w:contextualSpacing/>
      </w:pPr>
      <w:proofErr w:type="spellStart"/>
      <w:r w:rsidRPr="00205340">
        <w:rPr>
          <w:vertAlign w:val="superscript"/>
        </w:rPr>
        <w:t>a</w:t>
      </w:r>
      <w:proofErr w:type="spellEnd"/>
      <w:r w:rsidRPr="00205340">
        <w:t xml:space="preserve"> The ADAR assumed 4.7% of patients had a dose escalation of 300 mg and the remaining 95.2% had the standard 150 mg dose.</w:t>
      </w:r>
    </w:p>
    <w:p w14:paraId="2F2ECA6B" w14:textId="77777777" w:rsidR="0093608E" w:rsidRPr="00205340" w:rsidRDefault="0093608E" w:rsidP="0093608E">
      <w:pPr>
        <w:pStyle w:val="TableFigureFooter"/>
        <w:keepNext/>
        <w:spacing w:before="0" w:after="240"/>
        <w:contextualSpacing/>
      </w:pPr>
      <w:r w:rsidRPr="00205340">
        <w:rPr>
          <w:vertAlign w:val="superscript"/>
        </w:rPr>
        <w:t>b</w:t>
      </w:r>
      <w:r w:rsidRPr="00205340">
        <w:t xml:space="preserve"> Average weight of 78 kg multiplied by PI dose of 1.5 mg/kg </w:t>
      </w:r>
    </w:p>
    <w:p w14:paraId="3118459C" w14:textId="77777777" w:rsidR="0093608E" w:rsidRPr="00205340" w:rsidRDefault="0093608E" w:rsidP="0093608E">
      <w:r w:rsidRPr="00205340">
        <w:t xml:space="preserve">The CMA was conducted over the course of one maintenance week. The Commentary considered that this was not appropriate as marstacimab requires an initial loading dose. Previous CMAs submitted to the Pharmaceutical Benefits Advisory Committee’s (PBAC) with loading doses in Year 1 were noted to have conducted the CMA over the first two years of treatment (i.e. including the loading dose) (paragraph 6.65, </w:t>
      </w:r>
      <w:proofErr w:type="spellStart"/>
      <w:r w:rsidRPr="00205340">
        <w:t>ravulizumab</w:t>
      </w:r>
      <w:proofErr w:type="spellEnd"/>
      <w:r w:rsidRPr="00205340">
        <w:t xml:space="preserve"> PSD, July 2021 PBAC Meeting).</w:t>
      </w:r>
    </w:p>
    <w:p w14:paraId="0B334A3E" w14:textId="09AEBC48" w:rsidR="0093608E" w:rsidRPr="00205340" w:rsidRDefault="0093608E" w:rsidP="0093608E">
      <w:r w:rsidRPr="00205340">
        <w:t>The Commentary presented a CMA over two years with the results reported in</w:t>
      </w:r>
      <w:r w:rsidR="00F04910" w:rsidRPr="00205340">
        <w:t xml:space="preserve"> </w:t>
      </w:r>
      <w:r w:rsidR="00F04910" w:rsidRPr="00205340">
        <w:fldChar w:fldCharType="begin" w:fldLock="1"/>
      </w:r>
      <w:r w:rsidR="00F04910" w:rsidRPr="00205340">
        <w:instrText xml:space="preserve"> REF _Ref227157000 \h </w:instrText>
      </w:r>
      <w:r w:rsidR="00205340">
        <w:instrText xml:space="preserve"> \* MERGEFORMAT </w:instrText>
      </w:r>
      <w:r w:rsidR="00F04910" w:rsidRPr="00205340">
        <w:fldChar w:fldCharType="separate"/>
      </w:r>
      <w:r w:rsidR="00F04910" w:rsidRPr="00205340">
        <w:t xml:space="preserve">Table </w:t>
      </w:r>
      <w:r w:rsidR="00F04910" w:rsidRPr="00205340">
        <w:rPr>
          <w:noProof/>
        </w:rPr>
        <w:t>14</w:t>
      </w:r>
      <w:r w:rsidR="00F04910" w:rsidRPr="00205340">
        <w:fldChar w:fldCharType="end"/>
      </w:r>
      <w:r w:rsidRPr="00205340">
        <w:t>.</w:t>
      </w:r>
    </w:p>
    <w:p w14:paraId="4AC44B3E" w14:textId="38BB1C41" w:rsidR="00F04910" w:rsidRPr="00205340" w:rsidRDefault="00F04910" w:rsidP="00F04910">
      <w:pPr>
        <w:pStyle w:val="Caption"/>
      </w:pPr>
      <w:bookmarkStart w:id="53" w:name="_Ref227157000"/>
      <w:r w:rsidRPr="00205340">
        <w:t xml:space="preserve">Table </w:t>
      </w:r>
      <w:fldSimple w:instr=" SEQ Table \* ARABIC ">
        <w:r w:rsidR="002C6A9B" w:rsidRPr="00205340">
          <w:rPr>
            <w:noProof/>
          </w:rPr>
          <w:t>14</w:t>
        </w:r>
      </w:fldSimple>
      <w:bookmarkEnd w:id="53"/>
      <w:r w:rsidRPr="00205340">
        <w:t xml:space="preserve"> Results of the CMA over two years presented in the Commentary</w:t>
      </w:r>
    </w:p>
    <w:tbl>
      <w:tblPr>
        <w:tblStyle w:val="TableGrid"/>
        <w:tblW w:w="0" w:type="auto"/>
        <w:tblLook w:val="04A0" w:firstRow="1" w:lastRow="0" w:firstColumn="1" w:lastColumn="0" w:noHBand="0" w:noVBand="1"/>
      </w:tblPr>
      <w:tblGrid>
        <w:gridCol w:w="3964"/>
        <w:gridCol w:w="2526"/>
        <w:gridCol w:w="2526"/>
      </w:tblGrid>
      <w:tr w:rsidR="0093608E" w:rsidRPr="00205340" w14:paraId="2E8C9FE0" w14:textId="77777777">
        <w:tc>
          <w:tcPr>
            <w:tcW w:w="3964" w:type="dxa"/>
          </w:tcPr>
          <w:p w14:paraId="12EA8597" w14:textId="77777777" w:rsidR="0093608E" w:rsidRPr="00205340" w:rsidRDefault="0093608E">
            <w:pPr>
              <w:pStyle w:val="Caption"/>
            </w:pPr>
          </w:p>
        </w:tc>
        <w:tc>
          <w:tcPr>
            <w:tcW w:w="2526" w:type="dxa"/>
            <w:vAlign w:val="center"/>
          </w:tcPr>
          <w:p w14:paraId="4A13B9B6" w14:textId="77777777" w:rsidR="0093608E" w:rsidRPr="00205340" w:rsidRDefault="0093608E">
            <w:pPr>
              <w:pStyle w:val="TableText"/>
              <w:keepNext/>
              <w:jc w:val="center"/>
            </w:pPr>
            <w:r w:rsidRPr="00205340">
              <w:rPr>
                <w:b/>
                <w:bCs/>
              </w:rPr>
              <w:t>Marstacimab</w:t>
            </w:r>
          </w:p>
        </w:tc>
        <w:tc>
          <w:tcPr>
            <w:tcW w:w="2526" w:type="dxa"/>
            <w:vAlign w:val="center"/>
          </w:tcPr>
          <w:p w14:paraId="71C85C5F" w14:textId="77777777" w:rsidR="0093608E" w:rsidRPr="00205340" w:rsidRDefault="0093608E">
            <w:pPr>
              <w:pStyle w:val="TableText"/>
              <w:keepNext/>
              <w:jc w:val="center"/>
            </w:pPr>
            <w:r w:rsidRPr="00205340">
              <w:rPr>
                <w:b/>
                <w:bCs/>
              </w:rPr>
              <w:t>Emicizumab</w:t>
            </w:r>
          </w:p>
        </w:tc>
      </w:tr>
      <w:tr w:rsidR="0093608E" w:rsidRPr="00205340" w14:paraId="4894B7C3" w14:textId="77777777">
        <w:tc>
          <w:tcPr>
            <w:tcW w:w="3964" w:type="dxa"/>
          </w:tcPr>
          <w:p w14:paraId="63DE157C" w14:textId="77777777" w:rsidR="0093608E" w:rsidRPr="00205340" w:rsidRDefault="0093608E">
            <w:pPr>
              <w:pStyle w:val="TableText"/>
              <w:keepNext/>
            </w:pPr>
            <w:r w:rsidRPr="00205340">
              <w:t>Loading dose</w:t>
            </w:r>
          </w:p>
        </w:tc>
        <w:tc>
          <w:tcPr>
            <w:tcW w:w="2526" w:type="dxa"/>
            <w:vAlign w:val="center"/>
          </w:tcPr>
          <w:p w14:paraId="59EB3054" w14:textId="77777777" w:rsidR="0093608E" w:rsidRPr="000D1389" w:rsidRDefault="0093608E">
            <w:pPr>
              <w:pStyle w:val="TableText"/>
              <w:keepNext/>
              <w:jc w:val="center"/>
            </w:pPr>
            <w:r w:rsidRPr="000D1389">
              <w:t>300 mg</w:t>
            </w:r>
          </w:p>
        </w:tc>
        <w:tc>
          <w:tcPr>
            <w:tcW w:w="2526" w:type="dxa"/>
            <w:vMerge w:val="restart"/>
            <w:vAlign w:val="center"/>
          </w:tcPr>
          <w:p w14:paraId="2EA9F124" w14:textId="77777777" w:rsidR="0093608E" w:rsidRPr="00205340" w:rsidRDefault="0093608E">
            <w:pPr>
              <w:pStyle w:val="TableText"/>
              <w:keepNext/>
              <w:jc w:val="center"/>
            </w:pPr>
            <w:r w:rsidRPr="00205340">
              <w:t>N/A</w:t>
            </w:r>
          </w:p>
        </w:tc>
      </w:tr>
      <w:tr w:rsidR="0093608E" w:rsidRPr="00205340" w14:paraId="43B8084B" w14:textId="77777777">
        <w:tc>
          <w:tcPr>
            <w:tcW w:w="3964" w:type="dxa"/>
          </w:tcPr>
          <w:p w14:paraId="0C5A8AD6" w14:textId="77777777" w:rsidR="0093608E" w:rsidRPr="00205340" w:rsidRDefault="0093608E">
            <w:pPr>
              <w:pStyle w:val="TableText"/>
              <w:keepNext/>
            </w:pPr>
            <w:r w:rsidRPr="00205340">
              <w:t>Cost for loading dose</w:t>
            </w:r>
          </w:p>
        </w:tc>
        <w:tc>
          <w:tcPr>
            <w:tcW w:w="2526" w:type="dxa"/>
            <w:vAlign w:val="center"/>
          </w:tcPr>
          <w:p w14:paraId="088CE2CD" w14:textId="6F10BD18" w:rsidR="0093608E" w:rsidRPr="000D1389" w:rsidRDefault="0093608E">
            <w:pPr>
              <w:pStyle w:val="TableText"/>
              <w:keepNext/>
              <w:jc w:val="center"/>
            </w:pPr>
            <w:r w:rsidRPr="000D1389">
              <w:t>$</w:t>
            </w:r>
            <w:r w:rsidR="00CB1654" w:rsidRPr="000D1389">
              <w:rPr>
                <w:b/>
                <w:bCs/>
              </w:rPr>
              <w:t>redacted</w:t>
            </w:r>
          </w:p>
        </w:tc>
        <w:tc>
          <w:tcPr>
            <w:tcW w:w="2526" w:type="dxa"/>
            <w:vMerge/>
            <w:vAlign w:val="center"/>
          </w:tcPr>
          <w:p w14:paraId="1FE588A6" w14:textId="77777777" w:rsidR="0093608E" w:rsidRPr="00205340" w:rsidRDefault="0093608E">
            <w:pPr>
              <w:pStyle w:val="TableText"/>
              <w:keepNext/>
              <w:jc w:val="center"/>
            </w:pPr>
          </w:p>
        </w:tc>
      </w:tr>
      <w:tr w:rsidR="0093608E" w:rsidRPr="00205340" w14:paraId="5FC2D39A" w14:textId="77777777">
        <w:tc>
          <w:tcPr>
            <w:tcW w:w="3964" w:type="dxa"/>
          </w:tcPr>
          <w:p w14:paraId="062303BC" w14:textId="77777777" w:rsidR="0093608E" w:rsidRPr="00205340" w:rsidRDefault="0093608E">
            <w:pPr>
              <w:pStyle w:val="TableText"/>
              <w:keepNext/>
            </w:pPr>
            <w:r w:rsidRPr="00205340">
              <w:t>Maintenance dose</w:t>
            </w:r>
          </w:p>
        </w:tc>
        <w:tc>
          <w:tcPr>
            <w:tcW w:w="2526" w:type="dxa"/>
            <w:vAlign w:val="center"/>
          </w:tcPr>
          <w:p w14:paraId="0852F8A6" w14:textId="77777777" w:rsidR="0093608E" w:rsidRPr="000D1389" w:rsidRDefault="0093608E">
            <w:pPr>
              <w:pStyle w:val="TableText"/>
              <w:keepNext/>
              <w:jc w:val="center"/>
            </w:pPr>
            <w:r w:rsidRPr="000D1389">
              <w:t xml:space="preserve">157 </w:t>
            </w:r>
            <w:proofErr w:type="spellStart"/>
            <w:r w:rsidRPr="000D1389">
              <w:t>mg</w:t>
            </w:r>
            <w:r w:rsidRPr="000D1389">
              <w:rPr>
                <w:vertAlign w:val="superscript"/>
              </w:rPr>
              <w:t>a</w:t>
            </w:r>
            <w:proofErr w:type="spellEnd"/>
          </w:p>
        </w:tc>
        <w:tc>
          <w:tcPr>
            <w:tcW w:w="2526" w:type="dxa"/>
            <w:vAlign w:val="center"/>
          </w:tcPr>
          <w:p w14:paraId="7219B85E" w14:textId="77777777" w:rsidR="0093608E" w:rsidRPr="00205340" w:rsidRDefault="0093608E">
            <w:pPr>
              <w:pStyle w:val="TableText"/>
              <w:keepNext/>
              <w:jc w:val="center"/>
            </w:pPr>
            <w:r w:rsidRPr="00205340">
              <w:t xml:space="preserve">117 </w:t>
            </w:r>
            <w:proofErr w:type="spellStart"/>
            <w:r w:rsidRPr="00205340">
              <w:t>mg</w:t>
            </w:r>
            <w:r w:rsidRPr="00205340">
              <w:rPr>
                <w:vertAlign w:val="superscript"/>
              </w:rPr>
              <w:t>b</w:t>
            </w:r>
            <w:proofErr w:type="spellEnd"/>
          </w:p>
        </w:tc>
      </w:tr>
      <w:tr w:rsidR="0093608E" w:rsidRPr="00205340" w14:paraId="6CEB65D9" w14:textId="77777777">
        <w:tc>
          <w:tcPr>
            <w:tcW w:w="3964" w:type="dxa"/>
          </w:tcPr>
          <w:p w14:paraId="503C92B0" w14:textId="77777777" w:rsidR="0093608E" w:rsidRPr="00205340" w:rsidRDefault="0093608E">
            <w:pPr>
              <w:pStyle w:val="TableText"/>
              <w:keepNext/>
            </w:pPr>
            <w:r w:rsidRPr="00205340">
              <w:t>Average maintenance dose cost</w:t>
            </w:r>
          </w:p>
        </w:tc>
        <w:tc>
          <w:tcPr>
            <w:tcW w:w="2526" w:type="dxa"/>
            <w:vAlign w:val="center"/>
          </w:tcPr>
          <w:p w14:paraId="3ED43850" w14:textId="138E6169" w:rsidR="0093608E" w:rsidRPr="000D1389" w:rsidRDefault="0093608E">
            <w:pPr>
              <w:pStyle w:val="TableText"/>
              <w:keepNext/>
              <w:jc w:val="center"/>
            </w:pPr>
            <w:r w:rsidRPr="000D1389">
              <w:t>$</w:t>
            </w:r>
            <w:r w:rsidR="00CB1654" w:rsidRPr="000D1389">
              <w:rPr>
                <w:b/>
                <w:bCs/>
              </w:rPr>
              <w:t>redacted</w:t>
            </w:r>
            <w:r w:rsidR="00CB1654" w:rsidRPr="000D1389">
              <w:t xml:space="preserve"> </w:t>
            </w:r>
          </w:p>
        </w:tc>
        <w:tc>
          <w:tcPr>
            <w:tcW w:w="2526" w:type="dxa"/>
            <w:vAlign w:val="center"/>
          </w:tcPr>
          <w:p w14:paraId="6E812EC0" w14:textId="77777777" w:rsidR="0093608E" w:rsidRPr="00205340" w:rsidRDefault="0093608E">
            <w:pPr>
              <w:pStyle w:val="TableText"/>
              <w:keepNext/>
              <w:jc w:val="center"/>
            </w:pPr>
            <w:r w:rsidRPr="00205340">
              <w:t>$11,206</w:t>
            </w:r>
          </w:p>
        </w:tc>
      </w:tr>
      <w:tr w:rsidR="0093608E" w:rsidRPr="00205340" w14:paraId="6EE1E8EF" w14:textId="77777777">
        <w:tc>
          <w:tcPr>
            <w:tcW w:w="3964" w:type="dxa"/>
          </w:tcPr>
          <w:p w14:paraId="1DAF1777" w14:textId="77777777" w:rsidR="0093608E" w:rsidRPr="00205340" w:rsidRDefault="0093608E">
            <w:pPr>
              <w:pStyle w:val="TableText"/>
              <w:keepNext/>
            </w:pPr>
            <w:r w:rsidRPr="00205340">
              <w:t>Number of standard maintenance doses in Year 1</w:t>
            </w:r>
          </w:p>
        </w:tc>
        <w:tc>
          <w:tcPr>
            <w:tcW w:w="2526" w:type="dxa"/>
            <w:vAlign w:val="center"/>
          </w:tcPr>
          <w:p w14:paraId="6123FDC8" w14:textId="77777777" w:rsidR="0093608E" w:rsidRPr="000D1389" w:rsidRDefault="0093608E">
            <w:pPr>
              <w:pStyle w:val="TableText"/>
              <w:keepNext/>
              <w:jc w:val="center"/>
            </w:pPr>
            <w:r w:rsidRPr="000D1389">
              <w:t>51</w:t>
            </w:r>
          </w:p>
        </w:tc>
        <w:tc>
          <w:tcPr>
            <w:tcW w:w="2526" w:type="dxa"/>
            <w:vAlign w:val="center"/>
          </w:tcPr>
          <w:p w14:paraId="3CCBBB6C" w14:textId="77777777" w:rsidR="0093608E" w:rsidRPr="00205340" w:rsidRDefault="0093608E">
            <w:pPr>
              <w:pStyle w:val="TableText"/>
              <w:keepNext/>
              <w:jc w:val="center"/>
            </w:pPr>
            <w:r w:rsidRPr="00205340">
              <w:t>52</w:t>
            </w:r>
          </w:p>
        </w:tc>
      </w:tr>
      <w:tr w:rsidR="0093608E" w:rsidRPr="00205340" w14:paraId="2A986A8B" w14:textId="77777777">
        <w:tc>
          <w:tcPr>
            <w:tcW w:w="3964" w:type="dxa"/>
          </w:tcPr>
          <w:p w14:paraId="6BB21CB2" w14:textId="77777777" w:rsidR="0093608E" w:rsidRPr="00205340" w:rsidRDefault="0093608E">
            <w:pPr>
              <w:pStyle w:val="TableText"/>
              <w:keepNext/>
            </w:pPr>
            <w:r w:rsidRPr="00205340">
              <w:t>Number of standard maintenance doses in Year 2</w:t>
            </w:r>
          </w:p>
        </w:tc>
        <w:tc>
          <w:tcPr>
            <w:tcW w:w="2526" w:type="dxa"/>
            <w:vAlign w:val="center"/>
          </w:tcPr>
          <w:p w14:paraId="2B03CCE1" w14:textId="77777777" w:rsidR="0093608E" w:rsidRPr="000D1389" w:rsidRDefault="0093608E">
            <w:pPr>
              <w:pStyle w:val="TableText"/>
              <w:keepNext/>
              <w:jc w:val="center"/>
            </w:pPr>
            <w:r w:rsidRPr="000D1389">
              <w:t>52</w:t>
            </w:r>
          </w:p>
        </w:tc>
        <w:tc>
          <w:tcPr>
            <w:tcW w:w="2526" w:type="dxa"/>
            <w:vAlign w:val="center"/>
          </w:tcPr>
          <w:p w14:paraId="4BD7A316" w14:textId="77777777" w:rsidR="0093608E" w:rsidRPr="00205340" w:rsidRDefault="0093608E">
            <w:pPr>
              <w:pStyle w:val="TableText"/>
              <w:keepNext/>
              <w:jc w:val="center"/>
            </w:pPr>
            <w:r w:rsidRPr="00205340">
              <w:t>52</w:t>
            </w:r>
          </w:p>
        </w:tc>
      </w:tr>
      <w:tr w:rsidR="0093608E" w:rsidRPr="00205340" w14:paraId="6E2BC01E" w14:textId="77777777">
        <w:tc>
          <w:tcPr>
            <w:tcW w:w="3964" w:type="dxa"/>
          </w:tcPr>
          <w:p w14:paraId="343C3163" w14:textId="77777777" w:rsidR="0093608E" w:rsidRPr="00205340" w:rsidRDefault="0093608E">
            <w:pPr>
              <w:pStyle w:val="TableText"/>
              <w:keepNext/>
            </w:pPr>
            <w:r w:rsidRPr="00205340">
              <w:t>Compliance rate</w:t>
            </w:r>
          </w:p>
        </w:tc>
        <w:tc>
          <w:tcPr>
            <w:tcW w:w="2526" w:type="dxa"/>
            <w:vAlign w:val="center"/>
          </w:tcPr>
          <w:p w14:paraId="043F631C" w14:textId="77777777" w:rsidR="0093608E" w:rsidRPr="000D1389" w:rsidRDefault="0093608E">
            <w:pPr>
              <w:pStyle w:val="TableText"/>
              <w:keepNext/>
              <w:jc w:val="center"/>
            </w:pPr>
            <w:r w:rsidRPr="000D1389">
              <w:t>98%</w:t>
            </w:r>
          </w:p>
        </w:tc>
        <w:tc>
          <w:tcPr>
            <w:tcW w:w="2526" w:type="dxa"/>
            <w:vAlign w:val="center"/>
          </w:tcPr>
          <w:p w14:paraId="0EC9C8DF" w14:textId="77777777" w:rsidR="0093608E" w:rsidRPr="00205340" w:rsidRDefault="0093608E">
            <w:pPr>
              <w:pStyle w:val="TableText"/>
              <w:keepNext/>
              <w:jc w:val="center"/>
            </w:pPr>
            <w:r w:rsidRPr="00205340">
              <w:t>100%</w:t>
            </w:r>
          </w:p>
        </w:tc>
      </w:tr>
      <w:tr w:rsidR="0093608E" w:rsidRPr="00205340" w14:paraId="2FEC8D47" w14:textId="77777777">
        <w:tc>
          <w:tcPr>
            <w:tcW w:w="3964" w:type="dxa"/>
          </w:tcPr>
          <w:p w14:paraId="1F762614" w14:textId="77777777" w:rsidR="0093608E" w:rsidRPr="00205340" w:rsidRDefault="0093608E">
            <w:pPr>
              <w:pStyle w:val="TableText"/>
              <w:keepNext/>
            </w:pPr>
            <w:r w:rsidRPr="00205340">
              <w:t>Average number of standard maintenance doses in Year 1 (i.e. adjusted for compliance)</w:t>
            </w:r>
          </w:p>
        </w:tc>
        <w:tc>
          <w:tcPr>
            <w:tcW w:w="2526" w:type="dxa"/>
            <w:vAlign w:val="center"/>
          </w:tcPr>
          <w:p w14:paraId="129F8564" w14:textId="77777777" w:rsidR="0093608E" w:rsidRPr="000D1389" w:rsidRDefault="0093608E">
            <w:pPr>
              <w:pStyle w:val="TableText"/>
              <w:keepNext/>
              <w:jc w:val="center"/>
            </w:pPr>
            <w:r w:rsidRPr="000D1389">
              <w:t>50</w:t>
            </w:r>
          </w:p>
        </w:tc>
        <w:tc>
          <w:tcPr>
            <w:tcW w:w="2526" w:type="dxa"/>
            <w:vAlign w:val="center"/>
          </w:tcPr>
          <w:p w14:paraId="0CCD02AE" w14:textId="77777777" w:rsidR="0093608E" w:rsidRPr="00205340" w:rsidRDefault="0093608E">
            <w:pPr>
              <w:pStyle w:val="TableText"/>
              <w:keepNext/>
              <w:jc w:val="center"/>
            </w:pPr>
            <w:r w:rsidRPr="00205340">
              <w:t>52</w:t>
            </w:r>
          </w:p>
        </w:tc>
      </w:tr>
      <w:tr w:rsidR="0093608E" w:rsidRPr="00205340" w14:paraId="2FBD8461" w14:textId="77777777">
        <w:tc>
          <w:tcPr>
            <w:tcW w:w="3964" w:type="dxa"/>
          </w:tcPr>
          <w:p w14:paraId="20F49BE3" w14:textId="77777777" w:rsidR="0093608E" w:rsidRPr="00205340" w:rsidRDefault="0093608E">
            <w:pPr>
              <w:pStyle w:val="TableText"/>
              <w:keepNext/>
            </w:pPr>
            <w:r w:rsidRPr="00205340">
              <w:t>Average number of standard maintenance doses in Year 2 (i.e. adjusted for compliance)</w:t>
            </w:r>
          </w:p>
        </w:tc>
        <w:tc>
          <w:tcPr>
            <w:tcW w:w="2526" w:type="dxa"/>
            <w:vAlign w:val="center"/>
          </w:tcPr>
          <w:p w14:paraId="630D04B1" w14:textId="77777777" w:rsidR="0093608E" w:rsidRPr="000D1389" w:rsidRDefault="0093608E">
            <w:pPr>
              <w:pStyle w:val="TableText"/>
              <w:keepNext/>
              <w:jc w:val="center"/>
            </w:pPr>
            <w:r w:rsidRPr="000D1389">
              <w:t>51</w:t>
            </w:r>
          </w:p>
        </w:tc>
        <w:tc>
          <w:tcPr>
            <w:tcW w:w="2526" w:type="dxa"/>
            <w:vAlign w:val="center"/>
          </w:tcPr>
          <w:p w14:paraId="0579E11B" w14:textId="77777777" w:rsidR="0093608E" w:rsidRPr="00205340" w:rsidRDefault="0093608E">
            <w:pPr>
              <w:pStyle w:val="TableText"/>
              <w:keepNext/>
              <w:jc w:val="center"/>
            </w:pPr>
            <w:r w:rsidRPr="00205340">
              <w:t>52</w:t>
            </w:r>
          </w:p>
        </w:tc>
      </w:tr>
      <w:tr w:rsidR="0093608E" w:rsidRPr="00205340" w14:paraId="28830126" w14:textId="77777777">
        <w:tc>
          <w:tcPr>
            <w:tcW w:w="3964" w:type="dxa"/>
          </w:tcPr>
          <w:p w14:paraId="148C403A" w14:textId="77777777" w:rsidR="0093608E" w:rsidRPr="00205340" w:rsidRDefault="0093608E">
            <w:pPr>
              <w:pStyle w:val="TableText"/>
              <w:keepNext/>
            </w:pPr>
            <w:r w:rsidRPr="00205340">
              <w:t xml:space="preserve">Total maintenance doses over two years </w:t>
            </w:r>
          </w:p>
        </w:tc>
        <w:tc>
          <w:tcPr>
            <w:tcW w:w="2526" w:type="dxa"/>
            <w:vAlign w:val="center"/>
          </w:tcPr>
          <w:p w14:paraId="6388B361" w14:textId="77777777" w:rsidR="0093608E" w:rsidRPr="000D1389" w:rsidRDefault="0093608E">
            <w:pPr>
              <w:pStyle w:val="TableText"/>
              <w:keepNext/>
              <w:jc w:val="center"/>
            </w:pPr>
            <w:r w:rsidRPr="000D1389">
              <w:t>101</w:t>
            </w:r>
          </w:p>
        </w:tc>
        <w:tc>
          <w:tcPr>
            <w:tcW w:w="2526" w:type="dxa"/>
            <w:vAlign w:val="center"/>
          </w:tcPr>
          <w:p w14:paraId="0E5686EE" w14:textId="77777777" w:rsidR="0093608E" w:rsidRPr="00205340" w:rsidRDefault="0093608E">
            <w:pPr>
              <w:pStyle w:val="TableText"/>
              <w:keepNext/>
              <w:jc w:val="center"/>
            </w:pPr>
            <w:r w:rsidRPr="00205340">
              <w:t>104</w:t>
            </w:r>
          </w:p>
        </w:tc>
      </w:tr>
      <w:tr w:rsidR="0093608E" w:rsidRPr="00205340" w14:paraId="28A57880" w14:textId="77777777">
        <w:tc>
          <w:tcPr>
            <w:tcW w:w="3964" w:type="dxa"/>
          </w:tcPr>
          <w:p w14:paraId="44CFDA7B" w14:textId="77777777" w:rsidR="0093608E" w:rsidRPr="00205340" w:rsidRDefault="0093608E">
            <w:pPr>
              <w:pStyle w:val="TableText"/>
              <w:keepNext/>
            </w:pPr>
            <w:r w:rsidRPr="00205340">
              <w:t xml:space="preserve">Total cost in Year 1 </w:t>
            </w:r>
          </w:p>
        </w:tc>
        <w:tc>
          <w:tcPr>
            <w:tcW w:w="2526" w:type="dxa"/>
            <w:vAlign w:val="center"/>
          </w:tcPr>
          <w:p w14:paraId="74FD8C0E" w14:textId="34C025C7" w:rsidR="0093608E" w:rsidRPr="000D1389" w:rsidRDefault="0093608E">
            <w:pPr>
              <w:pStyle w:val="TableText"/>
              <w:keepNext/>
              <w:jc w:val="center"/>
            </w:pPr>
            <w:r w:rsidRPr="000D1389">
              <w:t>$</w:t>
            </w:r>
            <w:r w:rsidR="00CB1654" w:rsidRPr="000D1389">
              <w:rPr>
                <w:b/>
                <w:bCs/>
              </w:rPr>
              <w:t>redacted</w:t>
            </w:r>
          </w:p>
        </w:tc>
        <w:tc>
          <w:tcPr>
            <w:tcW w:w="2526" w:type="dxa"/>
            <w:vAlign w:val="center"/>
          </w:tcPr>
          <w:p w14:paraId="3DF2DA17" w14:textId="77777777" w:rsidR="0093608E" w:rsidRPr="00205340" w:rsidRDefault="0093608E">
            <w:pPr>
              <w:pStyle w:val="TableText"/>
              <w:keepNext/>
              <w:jc w:val="center"/>
            </w:pPr>
            <w:r w:rsidRPr="00205340">
              <w:rPr>
                <w:rFonts w:cs="Calibri"/>
                <w:szCs w:val="20"/>
              </w:rPr>
              <w:t>$582,724</w:t>
            </w:r>
          </w:p>
        </w:tc>
      </w:tr>
      <w:tr w:rsidR="0093608E" w:rsidRPr="00205340" w14:paraId="7CB96357" w14:textId="77777777">
        <w:tc>
          <w:tcPr>
            <w:tcW w:w="3964" w:type="dxa"/>
          </w:tcPr>
          <w:p w14:paraId="6F0C9FAA" w14:textId="77777777" w:rsidR="0093608E" w:rsidRPr="00205340" w:rsidRDefault="0093608E">
            <w:pPr>
              <w:pStyle w:val="TableText"/>
              <w:keepNext/>
            </w:pPr>
            <w:r w:rsidRPr="00205340">
              <w:t>Total cost in Year 2</w:t>
            </w:r>
          </w:p>
        </w:tc>
        <w:tc>
          <w:tcPr>
            <w:tcW w:w="2526" w:type="dxa"/>
            <w:vAlign w:val="center"/>
          </w:tcPr>
          <w:p w14:paraId="52561C71" w14:textId="26280348" w:rsidR="0093608E" w:rsidRPr="000D1389" w:rsidRDefault="0093608E">
            <w:pPr>
              <w:pStyle w:val="TableText"/>
              <w:keepNext/>
              <w:jc w:val="center"/>
            </w:pPr>
            <w:r w:rsidRPr="000D1389">
              <w:t>$</w:t>
            </w:r>
            <w:r w:rsidR="00CB1654" w:rsidRPr="000D1389">
              <w:rPr>
                <w:b/>
                <w:bCs/>
              </w:rPr>
              <w:t>redacted</w:t>
            </w:r>
          </w:p>
        </w:tc>
        <w:tc>
          <w:tcPr>
            <w:tcW w:w="2526" w:type="dxa"/>
            <w:vAlign w:val="center"/>
          </w:tcPr>
          <w:p w14:paraId="4C8DF33E" w14:textId="77777777" w:rsidR="0093608E" w:rsidRPr="00205340" w:rsidRDefault="0093608E">
            <w:pPr>
              <w:pStyle w:val="TableText"/>
              <w:keepNext/>
              <w:jc w:val="center"/>
            </w:pPr>
            <w:r w:rsidRPr="00205340">
              <w:rPr>
                <w:rFonts w:cs="Calibri"/>
                <w:szCs w:val="20"/>
              </w:rPr>
              <w:t>$582,724</w:t>
            </w:r>
          </w:p>
        </w:tc>
      </w:tr>
      <w:tr w:rsidR="0093608E" w:rsidRPr="00205340" w14:paraId="0916A5FB" w14:textId="77777777">
        <w:tc>
          <w:tcPr>
            <w:tcW w:w="3964" w:type="dxa"/>
          </w:tcPr>
          <w:p w14:paraId="6F250E4B" w14:textId="77777777" w:rsidR="0093608E" w:rsidRPr="00205340" w:rsidRDefault="0093608E">
            <w:pPr>
              <w:pStyle w:val="TableText"/>
              <w:keepNext/>
            </w:pPr>
            <w:r w:rsidRPr="00205340">
              <w:t>Total cost over two years</w:t>
            </w:r>
          </w:p>
        </w:tc>
        <w:tc>
          <w:tcPr>
            <w:tcW w:w="2526" w:type="dxa"/>
            <w:vAlign w:val="center"/>
          </w:tcPr>
          <w:p w14:paraId="7BA23FAA" w14:textId="2D3C5C0D" w:rsidR="0093608E" w:rsidRPr="000D1389" w:rsidRDefault="0093608E">
            <w:pPr>
              <w:pStyle w:val="TableText"/>
              <w:keepNext/>
              <w:jc w:val="center"/>
            </w:pPr>
            <w:r w:rsidRPr="000D1389">
              <w:t>$</w:t>
            </w:r>
            <w:r w:rsidR="00CB1654" w:rsidRPr="000D1389">
              <w:rPr>
                <w:b/>
                <w:bCs/>
              </w:rPr>
              <w:t>redacted</w:t>
            </w:r>
          </w:p>
        </w:tc>
        <w:tc>
          <w:tcPr>
            <w:tcW w:w="2526" w:type="dxa"/>
            <w:vAlign w:val="center"/>
          </w:tcPr>
          <w:p w14:paraId="1A7156AB" w14:textId="77777777" w:rsidR="0093608E" w:rsidRPr="00205340" w:rsidRDefault="0093608E">
            <w:pPr>
              <w:pStyle w:val="TableText"/>
              <w:keepNext/>
              <w:jc w:val="center"/>
            </w:pPr>
            <w:r w:rsidRPr="00205340">
              <w:rPr>
                <w:rFonts w:cs="Calibri"/>
                <w:szCs w:val="20"/>
              </w:rPr>
              <w:t>$1,165,448</w:t>
            </w:r>
          </w:p>
        </w:tc>
      </w:tr>
    </w:tbl>
    <w:p w14:paraId="44EA4914" w14:textId="77777777" w:rsidR="0093608E" w:rsidRPr="00205340" w:rsidRDefault="0093608E" w:rsidP="0093608E">
      <w:pPr>
        <w:pStyle w:val="TableFigureFooter"/>
        <w:keepNext/>
        <w:spacing w:before="0"/>
        <w:contextualSpacing/>
      </w:pPr>
      <w:r w:rsidRPr="00205340">
        <w:t>Source: Constructed during the evaluation from the “Economic inputs – marstacimab final” Excel workbook provided with the ADAR.</w:t>
      </w:r>
    </w:p>
    <w:p w14:paraId="6B025543" w14:textId="77777777" w:rsidR="0093608E" w:rsidRPr="00205340" w:rsidRDefault="0093608E" w:rsidP="0093608E">
      <w:pPr>
        <w:pStyle w:val="TableFigureFooter"/>
        <w:keepNext/>
        <w:spacing w:before="0"/>
        <w:contextualSpacing/>
      </w:pPr>
      <w:r w:rsidRPr="00205340">
        <w:t>ADAR = Applicant Developed Assessment Report; CMA = cost-minimisation approach; CSR = clinical study report; PI = product information.</w:t>
      </w:r>
    </w:p>
    <w:p w14:paraId="538DD2BD" w14:textId="77777777" w:rsidR="0093608E" w:rsidRPr="00205340" w:rsidRDefault="0093608E" w:rsidP="0093608E">
      <w:pPr>
        <w:pStyle w:val="TableFigureFooter"/>
        <w:keepNext/>
        <w:spacing w:before="0"/>
        <w:contextualSpacing/>
      </w:pPr>
      <w:proofErr w:type="spellStart"/>
      <w:r w:rsidRPr="00205340">
        <w:rPr>
          <w:vertAlign w:val="superscript"/>
        </w:rPr>
        <w:t>a</w:t>
      </w:r>
      <w:proofErr w:type="spellEnd"/>
      <w:r w:rsidRPr="00205340">
        <w:rPr>
          <w:vertAlign w:val="superscript"/>
        </w:rPr>
        <w:t xml:space="preserve"> </w:t>
      </w:r>
      <w:r w:rsidRPr="00205340">
        <w:t xml:space="preserve">The ADAR assumed 4.7% of patients had a dose escalation of 300 mg and the remaining 95.2% had the standard 150 mg dose. </w:t>
      </w:r>
    </w:p>
    <w:p w14:paraId="02DA8FFB" w14:textId="77777777" w:rsidR="0093608E" w:rsidRPr="00205340" w:rsidRDefault="0093608E" w:rsidP="0093608E">
      <w:pPr>
        <w:pStyle w:val="TableFigureFooter"/>
        <w:keepNext/>
        <w:spacing w:before="0"/>
        <w:contextualSpacing/>
      </w:pPr>
      <w:r w:rsidRPr="00205340">
        <w:rPr>
          <w:vertAlign w:val="superscript"/>
        </w:rPr>
        <w:t xml:space="preserve">b </w:t>
      </w:r>
      <w:r w:rsidRPr="00205340">
        <w:t xml:space="preserve">Average weight of 78 kg multiplied by PI dose of 1.5 mg/kg </w:t>
      </w:r>
    </w:p>
    <w:p w14:paraId="15D23234" w14:textId="0F79C4EA" w:rsidR="0093608E" w:rsidRPr="00205340" w:rsidRDefault="0093608E" w:rsidP="0093608E">
      <w:pPr>
        <w:rPr>
          <w:rFonts w:cstheme="minorHAnsi"/>
        </w:rPr>
      </w:pPr>
      <w:r w:rsidRPr="00205340">
        <w:t xml:space="preserve">The Commentary considered that the main area of uncertainty in the CMA related to the proportion of marstacimab patients with dose escalations. The base case estimate was derived from the mean dose in the BASIS trial (157 mg), however this was not appropriate as it includes the initial loading dose which all patients receive. The Commentary considered that </w:t>
      </w:r>
      <w:r w:rsidRPr="00205340">
        <w:rPr>
          <w:rFonts w:cstheme="minorHAnsi"/>
        </w:rPr>
        <w:t xml:space="preserve">a better estimate for the proportion of patients receiving dose escalation may come from BASIS LTE as </w:t>
      </w:r>
      <w:r w:rsidRPr="00205340">
        <w:rPr>
          <w:rFonts w:cstheme="minorHAnsi"/>
        </w:rPr>
        <w:lastRenderedPageBreak/>
        <w:t>the observational period was longer and the mean dose appears to not include the initial loading dose. The mean dose per administration was reported to be 170.8 mg in BASIS LTE. This results in approximately 14% of patients having dose escalations, noting that this proportion may further increase over time. This parameter was tested in sensitivity analyses (</w:t>
      </w:r>
      <w:r w:rsidR="00F04910" w:rsidRPr="00205340">
        <w:rPr>
          <w:rFonts w:cstheme="minorHAnsi"/>
        </w:rPr>
        <w:fldChar w:fldCharType="begin" w:fldLock="1"/>
      </w:r>
      <w:r w:rsidR="00F04910" w:rsidRPr="00205340">
        <w:rPr>
          <w:rFonts w:cstheme="minorHAnsi"/>
        </w:rPr>
        <w:instrText xml:space="preserve"> REF _Ref227157032 \h </w:instrText>
      </w:r>
      <w:r w:rsidR="00205340">
        <w:rPr>
          <w:rFonts w:cstheme="minorHAnsi"/>
        </w:rPr>
        <w:instrText xml:space="preserve"> \* MERGEFORMAT </w:instrText>
      </w:r>
      <w:r w:rsidR="00F04910" w:rsidRPr="00205340">
        <w:rPr>
          <w:rFonts w:cstheme="minorHAnsi"/>
        </w:rPr>
      </w:r>
      <w:r w:rsidR="00F04910" w:rsidRPr="00205340">
        <w:rPr>
          <w:rFonts w:cstheme="minorHAnsi"/>
        </w:rPr>
        <w:fldChar w:fldCharType="separate"/>
      </w:r>
      <w:r w:rsidR="00F04910" w:rsidRPr="00205340">
        <w:t xml:space="preserve">Table </w:t>
      </w:r>
      <w:r w:rsidR="00F04910" w:rsidRPr="00205340">
        <w:rPr>
          <w:noProof/>
        </w:rPr>
        <w:t>15</w:t>
      </w:r>
      <w:r w:rsidR="00F04910" w:rsidRPr="00205340">
        <w:rPr>
          <w:rFonts w:cstheme="minorHAnsi"/>
        </w:rPr>
        <w:fldChar w:fldCharType="end"/>
      </w:r>
      <w:r w:rsidRPr="00205340">
        <w:rPr>
          <w:rFonts w:cstheme="minorHAnsi"/>
        </w:rPr>
        <w:t>).</w:t>
      </w:r>
    </w:p>
    <w:p w14:paraId="3BDCBA34" w14:textId="4D8405AC" w:rsidR="0093608E" w:rsidRPr="00205340" w:rsidRDefault="0093608E" w:rsidP="0093608E">
      <w:pPr>
        <w:rPr>
          <w:rFonts w:cstheme="minorHAnsi"/>
        </w:rPr>
      </w:pPr>
      <w:r w:rsidRPr="00205340">
        <w:rPr>
          <w:rFonts w:cstheme="minorHAnsi"/>
        </w:rPr>
        <w:t>The ADAR did not present any sensitivity analyses for the HMA CMA. Sensitivity analyses were presented in the Commentary around the CMA results over the first two years of treatment using the price of emicizumab assumed by the ADAR (</w:t>
      </w:r>
      <w:r w:rsidR="00F04910" w:rsidRPr="00205340">
        <w:rPr>
          <w:rFonts w:cstheme="minorHAnsi"/>
        </w:rPr>
        <w:fldChar w:fldCharType="begin" w:fldLock="1"/>
      </w:r>
      <w:r w:rsidR="00F04910" w:rsidRPr="00205340">
        <w:rPr>
          <w:rFonts w:cstheme="minorHAnsi"/>
        </w:rPr>
        <w:instrText xml:space="preserve"> REF _Ref227157032 \h </w:instrText>
      </w:r>
      <w:r w:rsidR="00205340">
        <w:rPr>
          <w:rFonts w:cstheme="minorHAnsi"/>
        </w:rPr>
        <w:instrText xml:space="preserve"> \* MERGEFORMAT </w:instrText>
      </w:r>
      <w:r w:rsidR="00F04910" w:rsidRPr="00205340">
        <w:rPr>
          <w:rFonts w:cstheme="minorHAnsi"/>
        </w:rPr>
      </w:r>
      <w:r w:rsidR="00F04910" w:rsidRPr="00205340">
        <w:rPr>
          <w:rFonts w:cstheme="minorHAnsi"/>
        </w:rPr>
        <w:fldChar w:fldCharType="separate"/>
      </w:r>
      <w:r w:rsidR="00F04910" w:rsidRPr="00205340">
        <w:t xml:space="preserve">Table </w:t>
      </w:r>
      <w:r w:rsidR="00F04910" w:rsidRPr="00205340">
        <w:rPr>
          <w:noProof/>
        </w:rPr>
        <w:t>15</w:t>
      </w:r>
      <w:r w:rsidR="00F04910" w:rsidRPr="00205340">
        <w:rPr>
          <w:rFonts w:cstheme="minorHAnsi"/>
        </w:rPr>
        <w:fldChar w:fldCharType="end"/>
      </w:r>
      <w:r w:rsidRPr="00205340">
        <w:rPr>
          <w:rFonts w:cstheme="minorHAnsi"/>
        </w:rPr>
        <w:t>). These analyses have been replicated using the effective price of emicizumab in the Committee in Confidence section</w:t>
      </w:r>
      <w:r w:rsidR="000153D7" w:rsidRPr="00205340">
        <w:rPr>
          <w:rFonts w:cstheme="minorHAnsi"/>
        </w:rPr>
        <w:t>.</w:t>
      </w:r>
    </w:p>
    <w:p w14:paraId="12BDB6F6" w14:textId="22797983" w:rsidR="00F04910" w:rsidRPr="00205340" w:rsidRDefault="00F04910" w:rsidP="00F04910">
      <w:pPr>
        <w:pStyle w:val="Caption"/>
      </w:pPr>
      <w:bookmarkStart w:id="54" w:name="_Ref227157032"/>
      <w:r w:rsidRPr="00205340">
        <w:t xml:space="preserve">Table </w:t>
      </w:r>
      <w:fldSimple w:instr=" SEQ Table \* ARABIC ">
        <w:r w:rsidR="002C6A9B" w:rsidRPr="00205340">
          <w:rPr>
            <w:noProof/>
          </w:rPr>
          <w:t>15</w:t>
        </w:r>
      </w:fldSimple>
      <w:bookmarkEnd w:id="54"/>
      <w:r w:rsidRPr="00205340">
        <w:t xml:space="preserve"> Sensitivity analyses conducted on the HMA CMA</w:t>
      </w:r>
    </w:p>
    <w:tbl>
      <w:tblPr>
        <w:tblStyle w:val="TableGrid"/>
        <w:tblW w:w="8926" w:type="dxa"/>
        <w:tblLook w:val="04A0" w:firstRow="1" w:lastRow="0" w:firstColumn="1" w:lastColumn="0" w:noHBand="0" w:noVBand="1"/>
      </w:tblPr>
      <w:tblGrid>
        <w:gridCol w:w="2646"/>
        <w:gridCol w:w="1219"/>
        <w:gridCol w:w="1233"/>
        <w:gridCol w:w="2835"/>
        <w:gridCol w:w="993"/>
      </w:tblGrid>
      <w:tr w:rsidR="00D94D37" w:rsidRPr="00205340" w14:paraId="6421560A" w14:textId="2909C429" w:rsidTr="000153D7">
        <w:tc>
          <w:tcPr>
            <w:tcW w:w="2646" w:type="dxa"/>
            <w:vMerge w:val="restart"/>
            <w:vAlign w:val="center"/>
          </w:tcPr>
          <w:p w14:paraId="3B6D0EF4" w14:textId="77777777" w:rsidR="00C3176B" w:rsidRPr="00205340" w:rsidRDefault="00C3176B">
            <w:pPr>
              <w:pStyle w:val="TableText"/>
              <w:keepNext/>
              <w:jc w:val="center"/>
              <w:rPr>
                <w:b/>
                <w:bCs/>
              </w:rPr>
            </w:pPr>
            <w:r w:rsidRPr="00205340">
              <w:rPr>
                <w:b/>
                <w:bCs/>
              </w:rPr>
              <w:t>Analyses</w:t>
            </w:r>
          </w:p>
        </w:tc>
        <w:tc>
          <w:tcPr>
            <w:tcW w:w="2452" w:type="dxa"/>
            <w:gridSpan w:val="2"/>
            <w:vAlign w:val="center"/>
          </w:tcPr>
          <w:p w14:paraId="61E38220" w14:textId="77777777" w:rsidR="00C3176B" w:rsidRPr="00205340" w:rsidRDefault="00C3176B">
            <w:pPr>
              <w:pStyle w:val="TableText"/>
              <w:keepNext/>
              <w:jc w:val="center"/>
              <w:rPr>
                <w:b/>
                <w:bCs/>
              </w:rPr>
            </w:pPr>
            <w:r w:rsidRPr="00205340">
              <w:rPr>
                <w:b/>
                <w:bCs/>
              </w:rPr>
              <w:t>Cost over two years</w:t>
            </w:r>
          </w:p>
        </w:tc>
        <w:tc>
          <w:tcPr>
            <w:tcW w:w="2835" w:type="dxa"/>
            <w:vMerge w:val="restart"/>
            <w:vAlign w:val="center"/>
          </w:tcPr>
          <w:p w14:paraId="7003FD82" w14:textId="77777777" w:rsidR="00C3176B" w:rsidRPr="00205340" w:rsidRDefault="00C3176B">
            <w:pPr>
              <w:pStyle w:val="TableText"/>
              <w:keepNext/>
              <w:jc w:val="center"/>
              <w:rPr>
                <w:b/>
                <w:bCs/>
              </w:rPr>
            </w:pPr>
            <w:r w:rsidRPr="00205340">
              <w:rPr>
                <w:b/>
                <w:bCs/>
              </w:rPr>
              <w:t>Absolute price difference (Marstacimab – emicizumab cost)</w:t>
            </w:r>
          </w:p>
        </w:tc>
        <w:tc>
          <w:tcPr>
            <w:tcW w:w="993" w:type="dxa"/>
            <w:vMerge w:val="restart"/>
          </w:tcPr>
          <w:p w14:paraId="76B722B2" w14:textId="25619A7B" w:rsidR="00C3176B" w:rsidRPr="00205340" w:rsidRDefault="00232F98">
            <w:pPr>
              <w:pStyle w:val="TableText"/>
              <w:keepNext/>
              <w:jc w:val="center"/>
              <w:rPr>
                <w:b/>
                <w:bCs/>
              </w:rPr>
            </w:pPr>
            <w:r w:rsidRPr="00205340">
              <w:rPr>
                <w:b/>
                <w:bCs/>
              </w:rPr>
              <w:t>% Change</w:t>
            </w:r>
          </w:p>
        </w:tc>
      </w:tr>
      <w:tr w:rsidR="004D521D" w:rsidRPr="00205340" w14:paraId="5D4913D3" w14:textId="6ABB03A4" w:rsidTr="000153D7">
        <w:tc>
          <w:tcPr>
            <w:tcW w:w="2646" w:type="dxa"/>
            <w:vMerge/>
          </w:tcPr>
          <w:p w14:paraId="6DEEBA89" w14:textId="77777777" w:rsidR="00C3176B" w:rsidRPr="00205340" w:rsidRDefault="00C3176B">
            <w:pPr>
              <w:pStyle w:val="TableText"/>
              <w:keepNext/>
            </w:pPr>
          </w:p>
        </w:tc>
        <w:tc>
          <w:tcPr>
            <w:tcW w:w="1219" w:type="dxa"/>
            <w:vAlign w:val="center"/>
          </w:tcPr>
          <w:p w14:paraId="7A77121A" w14:textId="77777777" w:rsidR="00C3176B" w:rsidRPr="00205340" w:rsidRDefault="00C3176B">
            <w:pPr>
              <w:pStyle w:val="TableText"/>
              <w:keepNext/>
              <w:jc w:val="center"/>
              <w:rPr>
                <w:b/>
                <w:bCs/>
              </w:rPr>
            </w:pPr>
            <w:r w:rsidRPr="00205340">
              <w:rPr>
                <w:b/>
                <w:bCs/>
              </w:rPr>
              <w:t>Marstacimab</w:t>
            </w:r>
          </w:p>
        </w:tc>
        <w:tc>
          <w:tcPr>
            <w:tcW w:w="1233" w:type="dxa"/>
            <w:vAlign w:val="center"/>
          </w:tcPr>
          <w:p w14:paraId="44FE64DC" w14:textId="77777777" w:rsidR="00C3176B" w:rsidRPr="00205340" w:rsidRDefault="00C3176B">
            <w:pPr>
              <w:pStyle w:val="TableText"/>
              <w:keepNext/>
              <w:jc w:val="center"/>
              <w:rPr>
                <w:b/>
                <w:bCs/>
              </w:rPr>
            </w:pPr>
            <w:r w:rsidRPr="00205340">
              <w:rPr>
                <w:b/>
                <w:bCs/>
              </w:rPr>
              <w:t>Emicizumab</w:t>
            </w:r>
          </w:p>
        </w:tc>
        <w:tc>
          <w:tcPr>
            <w:tcW w:w="2835" w:type="dxa"/>
            <w:vMerge/>
            <w:vAlign w:val="center"/>
          </w:tcPr>
          <w:p w14:paraId="6E7017AC" w14:textId="77777777" w:rsidR="00C3176B" w:rsidRPr="00205340" w:rsidRDefault="00C3176B">
            <w:pPr>
              <w:pStyle w:val="TableText"/>
              <w:keepNext/>
              <w:jc w:val="center"/>
            </w:pPr>
          </w:p>
        </w:tc>
        <w:tc>
          <w:tcPr>
            <w:tcW w:w="993" w:type="dxa"/>
            <w:vMerge/>
          </w:tcPr>
          <w:p w14:paraId="2387A9E2" w14:textId="77777777" w:rsidR="00C3176B" w:rsidRPr="00205340" w:rsidRDefault="00C3176B">
            <w:pPr>
              <w:pStyle w:val="TableText"/>
              <w:keepNext/>
              <w:jc w:val="center"/>
            </w:pPr>
          </w:p>
        </w:tc>
      </w:tr>
      <w:tr w:rsidR="004D521D" w:rsidRPr="00205340" w14:paraId="3FCB99DC" w14:textId="268D0DE2" w:rsidTr="000153D7">
        <w:tc>
          <w:tcPr>
            <w:tcW w:w="2646" w:type="dxa"/>
          </w:tcPr>
          <w:p w14:paraId="578A66AF" w14:textId="77777777" w:rsidR="00C3176B" w:rsidRPr="00205340" w:rsidRDefault="00C3176B">
            <w:pPr>
              <w:pStyle w:val="TableText"/>
              <w:keepNext/>
              <w:rPr>
                <w:b/>
                <w:bCs/>
              </w:rPr>
            </w:pPr>
            <w:r w:rsidRPr="00205340">
              <w:rPr>
                <w:b/>
                <w:bCs/>
              </w:rPr>
              <w:t>Base case</w:t>
            </w:r>
          </w:p>
        </w:tc>
        <w:tc>
          <w:tcPr>
            <w:tcW w:w="1219" w:type="dxa"/>
          </w:tcPr>
          <w:p w14:paraId="73922A07" w14:textId="195C5920" w:rsidR="00C3176B" w:rsidRPr="000C01F9" w:rsidRDefault="00C3176B">
            <w:pPr>
              <w:pStyle w:val="TableText"/>
              <w:keepNext/>
              <w:jc w:val="center"/>
            </w:pPr>
            <w:r w:rsidRPr="000C01F9">
              <w:t>$</w:t>
            </w:r>
            <w:r w:rsidR="00EF10DE" w:rsidRPr="000C01F9">
              <w:rPr>
                <w:b/>
                <w:bCs/>
              </w:rPr>
              <w:t>redacted</w:t>
            </w:r>
          </w:p>
        </w:tc>
        <w:tc>
          <w:tcPr>
            <w:tcW w:w="1233" w:type="dxa"/>
          </w:tcPr>
          <w:p w14:paraId="4963424F" w14:textId="77777777" w:rsidR="00C3176B" w:rsidRPr="000C01F9" w:rsidRDefault="00C3176B">
            <w:pPr>
              <w:pStyle w:val="TableText"/>
              <w:keepNext/>
              <w:jc w:val="center"/>
            </w:pPr>
            <w:r w:rsidRPr="000C01F9">
              <w:t>$1,165,448</w:t>
            </w:r>
          </w:p>
        </w:tc>
        <w:tc>
          <w:tcPr>
            <w:tcW w:w="2835" w:type="dxa"/>
          </w:tcPr>
          <w:p w14:paraId="7FF39C99" w14:textId="3D555CF1" w:rsidR="00C3176B" w:rsidRPr="000C01F9" w:rsidRDefault="00C3176B">
            <w:pPr>
              <w:pStyle w:val="TableText"/>
              <w:keepNext/>
              <w:jc w:val="center"/>
              <w:rPr>
                <w:rFonts w:ascii="Calibri" w:hAnsi="Calibri" w:cs="Calibri"/>
              </w:rPr>
            </w:pPr>
            <w:r w:rsidRPr="000C01F9">
              <w:t>-$</w:t>
            </w:r>
            <w:r w:rsidR="007A333A" w:rsidRPr="000C01F9">
              <w:rPr>
                <w:b/>
                <w:bCs/>
              </w:rPr>
              <w:t>redacted</w:t>
            </w:r>
          </w:p>
        </w:tc>
        <w:tc>
          <w:tcPr>
            <w:tcW w:w="993" w:type="dxa"/>
          </w:tcPr>
          <w:p w14:paraId="0C5A5538" w14:textId="52BF8892" w:rsidR="00C3176B" w:rsidRPr="00205340" w:rsidRDefault="00232F98">
            <w:pPr>
              <w:pStyle w:val="TableText"/>
              <w:keepNext/>
              <w:jc w:val="center"/>
            </w:pPr>
            <w:r w:rsidRPr="00205340">
              <w:t>0%</w:t>
            </w:r>
          </w:p>
        </w:tc>
      </w:tr>
      <w:tr w:rsidR="00232F98" w:rsidRPr="00205340" w14:paraId="55771A94" w14:textId="00840F14" w:rsidTr="00454CED">
        <w:tc>
          <w:tcPr>
            <w:tcW w:w="8926" w:type="dxa"/>
            <w:gridSpan w:val="5"/>
            <w:vAlign w:val="center"/>
          </w:tcPr>
          <w:p w14:paraId="65431B8D" w14:textId="660A96E2" w:rsidR="00232F98" w:rsidRPr="000C01F9" w:rsidRDefault="00232F98">
            <w:pPr>
              <w:pStyle w:val="TableText"/>
              <w:keepNext/>
            </w:pPr>
            <w:r w:rsidRPr="000C01F9">
              <w:t>Average weight (base case: 77.8kg, HMA and HMB patients)</w:t>
            </w:r>
          </w:p>
        </w:tc>
      </w:tr>
      <w:tr w:rsidR="004D521D" w:rsidRPr="00205340" w14:paraId="43446DD7" w14:textId="5A84CD49" w:rsidTr="000153D7">
        <w:tc>
          <w:tcPr>
            <w:tcW w:w="2646" w:type="dxa"/>
          </w:tcPr>
          <w:p w14:paraId="554394BB" w14:textId="0B26A603" w:rsidR="00C3176B" w:rsidRPr="00205340" w:rsidRDefault="00C3176B" w:rsidP="005C116D">
            <w:pPr>
              <w:pStyle w:val="TableText"/>
              <w:keepNext/>
              <w:numPr>
                <w:ilvl w:val="0"/>
                <w:numId w:val="16"/>
              </w:numPr>
            </w:pPr>
            <w:r w:rsidRPr="00205340">
              <w:t>75 kg (HMA patients in ABDR report)</w:t>
            </w:r>
          </w:p>
        </w:tc>
        <w:tc>
          <w:tcPr>
            <w:tcW w:w="1219" w:type="dxa"/>
            <w:vAlign w:val="center"/>
          </w:tcPr>
          <w:p w14:paraId="1CAD9DA2" w14:textId="0D077BA5" w:rsidR="00C3176B" w:rsidRPr="000C01F9" w:rsidRDefault="00C3176B">
            <w:pPr>
              <w:pStyle w:val="TableText"/>
              <w:keepNext/>
              <w:jc w:val="center"/>
            </w:pPr>
            <w:r w:rsidRPr="000C01F9">
              <w:t>$</w:t>
            </w:r>
            <w:r w:rsidR="00EF10DE" w:rsidRPr="000C01F9">
              <w:rPr>
                <w:b/>
                <w:bCs/>
              </w:rPr>
              <w:t>redacted</w:t>
            </w:r>
          </w:p>
        </w:tc>
        <w:tc>
          <w:tcPr>
            <w:tcW w:w="1233" w:type="dxa"/>
            <w:vAlign w:val="center"/>
          </w:tcPr>
          <w:p w14:paraId="4B84FF35" w14:textId="77777777" w:rsidR="00C3176B" w:rsidRPr="000C01F9" w:rsidRDefault="00C3176B">
            <w:pPr>
              <w:pStyle w:val="TableText"/>
              <w:keepNext/>
              <w:jc w:val="center"/>
            </w:pPr>
            <w:r w:rsidRPr="000C01F9">
              <w:t>$1,126,808</w:t>
            </w:r>
          </w:p>
        </w:tc>
        <w:tc>
          <w:tcPr>
            <w:tcW w:w="2835" w:type="dxa"/>
            <w:vAlign w:val="center"/>
          </w:tcPr>
          <w:p w14:paraId="483F664D" w14:textId="4B5CE820" w:rsidR="00C3176B" w:rsidRPr="000C01F9" w:rsidRDefault="00C3176B">
            <w:pPr>
              <w:pStyle w:val="TableText"/>
              <w:keepNext/>
              <w:jc w:val="center"/>
            </w:pPr>
            <w:r w:rsidRPr="000C01F9">
              <w:t>-$</w:t>
            </w:r>
            <w:r w:rsidR="007A333A" w:rsidRPr="000C01F9">
              <w:rPr>
                <w:b/>
                <w:bCs/>
              </w:rPr>
              <w:t>redacted</w:t>
            </w:r>
          </w:p>
        </w:tc>
        <w:tc>
          <w:tcPr>
            <w:tcW w:w="993" w:type="dxa"/>
          </w:tcPr>
          <w:p w14:paraId="33C43F63" w14:textId="3511E646" w:rsidR="00C3176B" w:rsidRPr="00205340" w:rsidRDefault="00232F98">
            <w:pPr>
              <w:pStyle w:val="TableText"/>
              <w:keepNext/>
              <w:jc w:val="center"/>
            </w:pPr>
            <w:r w:rsidRPr="00205340">
              <w:t>-5%</w:t>
            </w:r>
          </w:p>
        </w:tc>
      </w:tr>
      <w:tr w:rsidR="00232F98" w:rsidRPr="00205340" w14:paraId="54348CFB" w14:textId="0AC098F4" w:rsidTr="00454CED">
        <w:tc>
          <w:tcPr>
            <w:tcW w:w="8926" w:type="dxa"/>
            <w:gridSpan w:val="5"/>
            <w:vAlign w:val="center"/>
          </w:tcPr>
          <w:p w14:paraId="19B86FE8" w14:textId="48152567" w:rsidR="00232F98" w:rsidRPr="000C01F9" w:rsidRDefault="00232F98">
            <w:pPr>
              <w:pStyle w:val="TableText"/>
              <w:keepNext/>
            </w:pPr>
            <w:r w:rsidRPr="000C01F9">
              <w:t>Proportion of marstacimab patients receiving dose escalations (base case: 4.7%)</w:t>
            </w:r>
          </w:p>
        </w:tc>
      </w:tr>
      <w:tr w:rsidR="004D521D" w:rsidRPr="00205340" w14:paraId="07FABA54" w14:textId="53A9D1A6" w:rsidTr="000153D7">
        <w:tc>
          <w:tcPr>
            <w:tcW w:w="2646" w:type="dxa"/>
          </w:tcPr>
          <w:p w14:paraId="7F1159EA" w14:textId="77777777" w:rsidR="00C3176B" w:rsidRPr="00205340" w:rsidRDefault="00C3176B" w:rsidP="005C116D">
            <w:pPr>
              <w:pStyle w:val="TableText"/>
              <w:keepNext/>
              <w:numPr>
                <w:ilvl w:val="0"/>
                <w:numId w:val="15"/>
              </w:numPr>
            </w:pPr>
            <w:r w:rsidRPr="00205340">
              <w:t>13.9% (BASIS LTE)</w:t>
            </w:r>
          </w:p>
        </w:tc>
        <w:tc>
          <w:tcPr>
            <w:tcW w:w="1219" w:type="dxa"/>
            <w:vAlign w:val="center"/>
          </w:tcPr>
          <w:p w14:paraId="57B352F4" w14:textId="183EB424" w:rsidR="00C3176B" w:rsidRPr="000C01F9" w:rsidRDefault="00C3176B">
            <w:pPr>
              <w:pStyle w:val="TableText"/>
              <w:keepNext/>
              <w:jc w:val="center"/>
            </w:pPr>
            <w:r w:rsidRPr="000C01F9">
              <w:t>$</w:t>
            </w:r>
            <w:r w:rsidR="00EF10DE" w:rsidRPr="000C01F9">
              <w:rPr>
                <w:b/>
                <w:bCs/>
              </w:rPr>
              <w:t>redacted</w:t>
            </w:r>
          </w:p>
        </w:tc>
        <w:tc>
          <w:tcPr>
            <w:tcW w:w="1233" w:type="dxa"/>
            <w:vAlign w:val="center"/>
          </w:tcPr>
          <w:p w14:paraId="158238AE" w14:textId="77777777" w:rsidR="00C3176B" w:rsidRPr="000C01F9" w:rsidRDefault="00C3176B">
            <w:pPr>
              <w:pStyle w:val="TableText"/>
              <w:keepNext/>
              <w:jc w:val="center"/>
            </w:pPr>
            <w:r w:rsidRPr="000C01F9">
              <w:t>$1,165,448</w:t>
            </w:r>
          </w:p>
        </w:tc>
        <w:tc>
          <w:tcPr>
            <w:tcW w:w="2835" w:type="dxa"/>
            <w:vAlign w:val="center"/>
          </w:tcPr>
          <w:p w14:paraId="3FC51D1D" w14:textId="66110574" w:rsidR="00C3176B" w:rsidRPr="000C01F9" w:rsidRDefault="00C3176B">
            <w:pPr>
              <w:pStyle w:val="TableText"/>
              <w:keepNext/>
              <w:jc w:val="center"/>
            </w:pPr>
            <w:r w:rsidRPr="000C01F9">
              <w:t>-$</w:t>
            </w:r>
            <w:r w:rsidR="007A333A" w:rsidRPr="000C01F9">
              <w:rPr>
                <w:b/>
                <w:bCs/>
              </w:rPr>
              <w:t>redacted</w:t>
            </w:r>
          </w:p>
        </w:tc>
        <w:tc>
          <w:tcPr>
            <w:tcW w:w="993" w:type="dxa"/>
          </w:tcPr>
          <w:p w14:paraId="34DCBA40" w14:textId="09ADB5CD" w:rsidR="00C3176B" w:rsidRPr="00205340" w:rsidRDefault="00232F98">
            <w:pPr>
              <w:pStyle w:val="TableText"/>
              <w:keepNext/>
              <w:jc w:val="center"/>
            </w:pPr>
            <w:r w:rsidRPr="00205340">
              <w:t>-6%</w:t>
            </w:r>
          </w:p>
        </w:tc>
      </w:tr>
      <w:tr w:rsidR="00232F98" w:rsidRPr="00205340" w14:paraId="5ACDC0C7" w14:textId="12E20723" w:rsidTr="00454CED">
        <w:tc>
          <w:tcPr>
            <w:tcW w:w="8926" w:type="dxa"/>
            <w:gridSpan w:val="5"/>
            <w:vAlign w:val="center"/>
          </w:tcPr>
          <w:p w14:paraId="0438940C" w14:textId="6D8CAD2D" w:rsidR="00232F98" w:rsidRPr="000C01F9" w:rsidRDefault="00232F98">
            <w:pPr>
              <w:pStyle w:val="TableText"/>
              <w:keepNext/>
            </w:pPr>
            <w:r w:rsidRPr="000C01F9">
              <w:t>Marstacimab compliance (base case: 98%)</w:t>
            </w:r>
          </w:p>
        </w:tc>
      </w:tr>
      <w:tr w:rsidR="004D521D" w:rsidRPr="00205340" w14:paraId="5678B75B" w14:textId="09944B08" w:rsidTr="000153D7">
        <w:tc>
          <w:tcPr>
            <w:tcW w:w="2646" w:type="dxa"/>
          </w:tcPr>
          <w:p w14:paraId="226981A3" w14:textId="77777777" w:rsidR="00C3176B" w:rsidRPr="00205340" w:rsidRDefault="00C3176B" w:rsidP="005C116D">
            <w:pPr>
              <w:pStyle w:val="TableText"/>
              <w:keepNext/>
              <w:numPr>
                <w:ilvl w:val="0"/>
                <w:numId w:val="17"/>
              </w:numPr>
            </w:pPr>
            <w:r w:rsidRPr="00205340">
              <w:t>100%</w:t>
            </w:r>
          </w:p>
        </w:tc>
        <w:tc>
          <w:tcPr>
            <w:tcW w:w="1219" w:type="dxa"/>
            <w:vAlign w:val="center"/>
          </w:tcPr>
          <w:p w14:paraId="449F20E8" w14:textId="20B20AA7" w:rsidR="00C3176B" w:rsidRPr="000C01F9" w:rsidRDefault="00C3176B">
            <w:pPr>
              <w:pStyle w:val="TableText"/>
              <w:keepNext/>
              <w:jc w:val="center"/>
            </w:pPr>
            <w:r w:rsidRPr="000C01F9">
              <w:t>$</w:t>
            </w:r>
            <w:r w:rsidR="00EF10DE" w:rsidRPr="000C01F9">
              <w:rPr>
                <w:b/>
                <w:bCs/>
              </w:rPr>
              <w:t>redacted</w:t>
            </w:r>
          </w:p>
        </w:tc>
        <w:tc>
          <w:tcPr>
            <w:tcW w:w="1233" w:type="dxa"/>
            <w:vAlign w:val="center"/>
          </w:tcPr>
          <w:p w14:paraId="27BE4431" w14:textId="77777777" w:rsidR="00C3176B" w:rsidRPr="000C01F9" w:rsidRDefault="00C3176B">
            <w:pPr>
              <w:pStyle w:val="TableText"/>
              <w:keepNext/>
              <w:jc w:val="center"/>
            </w:pPr>
            <w:r w:rsidRPr="000C01F9">
              <w:t>$1,165,448</w:t>
            </w:r>
          </w:p>
        </w:tc>
        <w:tc>
          <w:tcPr>
            <w:tcW w:w="2835" w:type="dxa"/>
            <w:vAlign w:val="center"/>
          </w:tcPr>
          <w:p w14:paraId="494AD275" w14:textId="6B3194F8" w:rsidR="00C3176B" w:rsidRPr="000C01F9" w:rsidRDefault="00C3176B">
            <w:pPr>
              <w:pStyle w:val="TableText"/>
              <w:keepNext/>
              <w:jc w:val="center"/>
            </w:pPr>
            <w:r w:rsidRPr="000C01F9">
              <w:t>-$</w:t>
            </w:r>
            <w:r w:rsidR="007A333A" w:rsidRPr="000C01F9">
              <w:rPr>
                <w:b/>
                <w:bCs/>
              </w:rPr>
              <w:t>redacted</w:t>
            </w:r>
          </w:p>
        </w:tc>
        <w:tc>
          <w:tcPr>
            <w:tcW w:w="993" w:type="dxa"/>
          </w:tcPr>
          <w:p w14:paraId="190F2E00" w14:textId="70859F68" w:rsidR="00C3176B" w:rsidRPr="00205340" w:rsidRDefault="00232F98">
            <w:pPr>
              <w:pStyle w:val="TableText"/>
              <w:keepNext/>
              <w:jc w:val="center"/>
            </w:pPr>
            <w:r w:rsidRPr="00205340">
              <w:t>-1%</w:t>
            </w:r>
          </w:p>
        </w:tc>
      </w:tr>
      <w:tr w:rsidR="004D521D" w:rsidRPr="00205340" w14:paraId="182F6D98" w14:textId="76648366" w:rsidTr="000153D7">
        <w:tc>
          <w:tcPr>
            <w:tcW w:w="2646" w:type="dxa"/>
          </w:tcPr>
          <w:p w14:paraId="701F0AA1" w14:textId="77777777" w:rsidR="00C3176B" w:rsidRPr="00205340" w:rsidRDefault="00C3176B" w:rsidP="005C116D">
            <w:pPr>
              <w:pStyle w:val="TableText"/>
              <w:keepNext/>
              <w:numPr>
                <w:ilvl w:val="0"/>
                <w:numId w:val="17"/>
              </w:numPr>
            </w:pPr>
            <w:r w:rsidRPr="00205340">
              <w:t>95%</w:t>
            </w:r>
          </w:p>
        </w:tc>
        <w:tc>
          <w:tcPr>
            <w:tcW w:w="1219" w:type="dxa"/>
            <w:vAlign w:val="center"/>
          </w:tcPr>
          <w:p w14:paraId="71E7A3E4" w14:textId="019CCC04" w:rsidR="00C3176B" w:rsidRPr="000C01F9" w:rsidRDefault="00C3176B">
            <w:pPr>
              <w:pStyle w:val="TableText"/>
              <w:keepNext/>
              <w:jc w:val="center"/>
            </w:pPr>
            <w:r w:rsidRPr="000C01F9">
              <w:t>$</w:t>
            </w:r>
            <w:r w:rsidR="00EF10DE" w:rsidRPr="000C01F9">
              <w:rPr>
                <w:b/>
                <w:bCs/>
              </w:rPr>
              <w:t>redacted</w:t>
            </w:r>
          </w:p>
        </w:tc>
        <w:tc>
          <w:tcPr>
            <w:tcW w:w="1233" w:type="dxa"/>
            <w:vAlign w:val="center"/>
          </w:tcPr>
          <w:p w14:paraId="5E876720" w14:textId="77777777" w:rsidR="00C3176B" w:rsidRPr="000C01F9" w:rsidRDefault="00C3176B">
            <w:pPr>
              <w:pStyle w:val="TableText"/>
              <w:keepNext/>
              <w:jc w:val="center"/>
            </w:pPr>
            <w:r w:rsidRPr="000C01F9">
              <w:t>$1,165,448</w:t>
            </w:r>
          </w:p>
        </w:tc>
        <w:tc>
          <w:tcPr>
            <w:tcW w:w="2835" w:type="dxa"/>
            <w:vAlign w:val="center"/>
          </w:tcPr>
          <w:p w14:paraId="0B8C15DD" w14:textId="629F83B3" w:rsidR="00C3176B" w:rsidRPr="000C01F9" w:rsidRDefault="00C3176B">
            <w:pPr>
              <w:pStyle w:val="TableText"/>
              <w:keepNext/>
              <w:jc w:val="center"/>
            </w:pPr>
            <w:r w:rsidRPr="000C01F9">
              <w:t>-$</w:t>
            </w:r>
            <w:r w:rsidR="007A333A" w:rsidRPr="000C01F9">
              <w:rPr>
                <w:b/>
                <w:bCs/>
              </w:rPr>
              <w:t>redacted</w:t>
            </w:r>
          </w:p>
        </w:tc>
        <w:tc>
          <w:tcPr>
            <w:tcW w:w="993" w:type="dxa"/>
          </w:tcPr>
          <w:p w14:paraId="0911D240" w14:textId="74C54E9D" w:rsidR="00C3176B" w:rsidRPr="00205340" w:rsidRDefault="00232F98">
            <w:pPr>
              <w:pStyle w:val="TableText"/>
              <w:keepNext/>
              <w:jc w:val="center"/>
            </w:pPr>
            <w:r w:rsidRPr="00205340">
              <w:t>2%</w:t>
            </w:r>
          </w:p>
        </w:tc>
      </w:tr>
      <w:tr w:rsidR="00232F98" w:rsidRPr="00205340" w14:paraId="10521487" w14:textId="0BBB8DD6" w:rsidTr="00454CED">
        <w:tc>
          <w:tcPr>
            <w:tcW w:w="8926" w:type="dxa"/>
            <w:gridSpan w:val="5"/>
            <w:vAlign w:val="center"/>
          </w:tcPr>
          <w:p w14:paraId="353D0124" w14:textId="0362A23C" w:rsidR="00232F98" w:rsidRPr="000C01F9" w:rsidRDefault="00232F98">
            <w:pPr>
              <w:pStyle w:val="TableText"/>
              <w:keepNext/>
            </w:pPr>
            <w:r w:rsidRPr="000C01F9">
              <w:t>Emicizumab compliance (base case: 100%)</w:t>
            </w:r>
          </w:p>
        </w:tc>
      </w:tr>
      <w:tr w:rsidR="004D521D" w:rsidRPr="00205340" w14:paraId="5B8528B5" w14:textId="006196FA" w:rsidTr="000153D7">
        <w:tc>
          <w:tcPr>
            <w:tcW w:w="2646" w:type="dxa"/>
          </w:tcPr>
          <w:p w14:paraId="37EA336B" w14:textId="77777777" w:rsidR="00C3176B" w:rsidRPr="00205340" w:rsidRDefault="00C3176B" w:rsidP="005C116D">
            <w:pPr>
              <w:pStyle w:val="TableText"/>
              <w:keepNext/>
              <w:numPr>
                <w:ilvl w:val="0"/>
                <w:numId w:val="17"/>
              </w:numPr>
            </w:pPr>
            <w:r w:rsidRPr="00205340">
              <w:t>98%</w:t>
            </w:r>
          </w:p>
        </w:tc>
        <w:tc>
          <w:tcPr>
            <w:tcW w:w="1219" w:type="dxa"/>
            <w:vAlign w:val="center"/>
          </w:tcPr>
          <w:p w14:paraId="2EC36870" w14:textId="23F5ADA3" w:rsidR="00C3176B" w:rsidRPr="000C01F9" w:rsidRDefault="00C3176B">
            <w:pPr>
              <w:pStyle w:val="TableText"/>
              <w:keepNext/>
              <w:jc w:val="center"/>
            </w:pPr>
            <w:r w:rsidRPr="000C01F9">
              <w:t>$</w:t>
            </w:r>
            <w:r w:rsidR="00EF10DE" w:rsidRPr="000C01F9">
              <w:rPr>
                <w:b/>
                <w:bCs/>
              </w:rPr>
              <w:t>redacted</w:t>
            </w:r>
          </w:p>
        </w:tc>
        <w:tc>
          <w:tcPr>
            <w:tcW w:w="1233" w:type="dxa"/>
            <w:vAlign w:val="center"/>
          </w:tcPr>
          <w:p w14:paraId="198A5EFE" w14:textId="77777777" w:rsidR="00C3176B" w:rsidRPr="000C01F9" w:rsidRDefault="00C3176B">
            <w:pPr>
              <w:pStyle w:val="TableText"/>
              <w:keepNext/>
              <w:jc w:val="center"/>
            </w:pPr>
            <w:r w:rsidRPr="000C01F9">
              <w:t>$1,142,139</w:t>
            </w:r>
          </w:p>
        </w:tc>
        <w:tc>
          <w:tcPr>
            <w:tcW w:w="2835" w:type="dxa"/>
            <w:vAlign w:val="center"/>
          </w:tcPr>
          <w:p w14:paraId="6C6AE2A1" w14:textId="6A03D8AC" w:rsidR="00C3176B" w:rsidRPr="000C01F9" w:rsidRDefault="00C3176B">
            <w:pPr>
              <w:pStyle w:val="TableText"/>
              <w:keepNext/>
              <w:jc w:val="center"/>
            </w:pPr>
            <w:r w:rsidRPr="000C01F9">
              <w:t>-$</w:t>
            </w:r>
            <w:r w:rsidR="007A333A" w:rsidRPr="000C01F9">
              <w:rPr>
                <w:b/>
                <w:bCs/>
              </w:rPr>
              <w:t>redacted</w:t>
            </w:r>
          </w:p>
        </w:tc>
        <w:tc>
          <w:tcPr>
            <w:tcW w:w="993" w:type="dxa"/>
          </w:tcPr>
          <w:p w14:paraId="3AE9A094" w14:textId="01D829D0" w:rsidR="00C3176B" w:rsidRPr="00205340" w:rsidRDefault="00232F98">
            <w:pPr>
              <w:pStyle w:val="TableText"/>
              <w:keepNext/>
              <w:jc w:val="center"/>
            </w:pPr>
            <w:r w:rsidRPr="00205340">
              <w:t>-3%</w:t>
            </w:r>
          </w:p>
        </w:tc>
      </w:tr>
      <w:tr w:rsidR="004D521D" w:rsidRPr="00205340" w14:paraId="6AE0448F" w14:textId="2FC22A9B" w:rsidTr="000153D7">
        <w:tc>
          <w:tcPr>
            <w:tcW w:w="2646" w:type="dxa"/>
          </w:tcPr>
          <w:p w14:paraId="1E778917" w14:textId="77777777" w:rsidR="00C3176B" w:rsidRPr="00205340" w:rsidRDefault="00C3176B" w:rsidP="005C116D">
            <w:pPr>
              <w:pStyle w:val="TableText"/>
              <w:keepNext/>
              <w:numPr>
                <w:ilvl w:val="0"/>
                <w:numId w:val="17"/>
              </w:numPr>
            </w:pPr>
            <w:r w:rsidRPr="00205340">
              <w:t>95%</w:t>
            </w:r>
          </w:p>
        </w:tc>
        <w:tc>
          <w:tcPr>
            <w:tcW w:w="1219" w:type="dxa"/>
            <w:vAlign w:val="center"/>
          </w:tcPr>
          <w:p w14:paraId="6AD2E8F5" w14:textId="3BFF9CE2" w:rsidR="00C3176B" w:rsidRPr="000C01F9" w:rsidRDefault="00C3176B">
            <w:pPr>
              <w:pStyle w:val="TableText"/>
              <w:keepNext/>
              <w:jc w:val="center"/>
            </w:pPr>
            <w:r w:rsidRPr="000C01F9">
              <w:t>$</w:t>
            </w:r>
            <w:r w:rsidR="00EF10DE" w:rsidRPr="000C01F9">
              <w:rPr>
                <w:b/>
                <w:bCs/>
              </w:rPr>
              <w:t>redacted</w:t>
            </w:r>
          </w:p>
        </w:tc>
        <w:tc>
          <w:tcPr>
            <w:tcW w:w="1233" w:type="dxa"/>
            <w:vAlign w:val="center"/>
          </w:tcPr>
          <w:p w14:paraId="383FE249" w14:textId="77777777" w:rsidR="00C3176B" w:rsidRPr="000C01F9" w:rsidRDefault="00C3176B">
            <w:pPr>
              <w:pStyle w:val="TableText"/>
              <w:keepNext/>
              <w:jc w:val="center"/>
            </w:pPr>
            <w:r w:rsidRPr="000C01F9">
              <w:t>$1,107,175</w:t>
            </w:r>
          </w:p>
        </w:tc>
        <w:tc>
          <w:tcPr>
            <w:tcW w:w="2835" w:type="dxa"/>
            <w:vAlign w:val="center"/>
          </w:tcPr>
          <w:p w14:paraId="05D8D7ED" w14:textId="37950E70" w:rsidR="00C3176B" w:rsidRPr="000C01F9" w:rsidRDefault="00C3176B">
            <w:pPr>
              <w:pStyle w:val="TableText"/>
              <w:keepNext/>
              <w:jc w:val="center"/>
            </w:pPr>
            <w:r w:rsidRPr="000C01F9">
              <w:t>-$</w:t>
            </w:r>
            <w:r w:rsidR="007A333A" w:rsidRPr="000C01F9">
              <w:rPr>
                <w:b/>
                <w:bCs/>
              </w:rPr>
              <w:t>redacted</w:t>
            </w:r>
          </w:p>
        </w:tc>
        <w:tc>
          <w:tcPr>
            <w:tcW w:w="993" w:type="dxa"/>
          </w:tcPr>
          <w:p w14:paraId="46E94032" w14:textId="4114E9BC" w:rsidR="00C3176B" w:rsidRPr="00205340" w:rsidRDefault="00232F98">
            <w:pPr>
              <w:pStyle w:val="TableText"/>
              <w:keepNext/>
              <w:jc w:val="center"/>
            </w:pPr>
            <w:r w:rsidRPr="00205340">
              <w:t>-8%</w:t>
            </w:r>
          </w:p>
        </w:tc>
      </w:tr>
    </w:tbl>
    <w:p w14:paraId="38B31B42" w14:textId="77777777" w:rsidR="0093608E" w:rsidRPr="00205340" w:rsidRDefault="0093608E" w:rsidP="0093608E">
      <w:pPr>
        <w:pStyle w:val="TableFigureFooter"/>
        <w:keepNext/>
        <w:spacing w:before="0" w:after="0"/>
      </w:pPr>
      <w:r w:rsidRPr="00205340">
        <w:t>Source: Constructed during the evaluation from the “Economic inputs – marstacimab final” Excel workbook provided with the ADAR.</w:t>
      </w:r>
    </w:p>
    <w:p w14:paraId="4A298FD0" w14:textId="56B7A688" w:rsidR="0093608E" w:rsidRPr="00205340" w:rsidRDefault="00F80C9A" w:rsidP="00F80C9A">
      <w:pPr>
        <w:pStyle w:val="TableFigureFooter"/>
        <w:keepNext/>
        <w:spacing w:before="0" w:after="240"/>
      </w:pPr>
      <w:r w:rsidRPr="00205340">
        <w:t xml:space="preserve">ABDR = Australian Bleeding Disorders Registry; </w:t>
      </w:r>
      <w:r w:rsidR="0093608E" w:rsidRPr="00205340">
        <w:t>ADAR = Applicant Developed Assessment Report; CMA = cost minimisation approach; HMA = haemophilia type A; LTE = long-term extension</w:t>
      </w:r>
    </w:p>
    <w:p w14:paraId="377EFA6D" w14:textId="77777777" w:rsidR="0093608E" w:rsidRPr="00205340" w:rsidRDefault="0093608E" w:rsidP="0093608E">
      <w:pPr>
        <w:pStyle w:val="Heading3"/>
      </w:pPr>
      <w:r w:rsidRPr="00205340">
        <w:t>HMB CMA</w:t>
      </w:r>
    </w:p>
    <w:p w14:paraId="1D59F59A" w14:textId="5CDA67F5" w:rsidR="0093608E" w:rsidRPr="00205340" w:rsidRDefault="0093608E" w:rsidP="0093608E">
      <w:r w:rsidRPr="00205340">
        <w:t>As mentioned above, the ADAR did not present a CMA for marstacimab versus EHL prophylaxis in the HMB population which was not appropriate as superiority was not demonstrated (see</w:t>
      </w:r>
      <w:r w:rsidR="00F80C9A" w:rsidRPr="00205340">
        <w:t xml:space="preserve"> </w:t>
      </w:r>
      <w:r w:rsidR="00F80C9A" w:rsidRPr="00205340">
        <w:fldChar w:fldCharType="begin" w:fldLock="1"/>
      </w:r>
      <w:r w:rsidR="00F80C9A" w:rsidRPr="00205340">
        <w:instrText xml:space="preserve"> REF _Ref215675657 \h </w:instrText>
      </w:r>
      <w:r w:rsidR="00205340">
        <w:instrText xml:space="preserve"> \* MERGEFORMAT </w:instrText>
      </w:r>
      <w:r w:rsidR="00F80C9A" w:rsidRPr="00205340">
        <w:fldChar w:fldCharType="separate"/>
      </w:r>
      <w:r w:rsidR="00F80C9A" w:rsidRPr="00205340">
        <w:t>1</w:t>
      </w:r>
      <w:r w:rsidR="00326A50" w:rsidRPr="00205340">
        <w:t>2</w:t>
      </w:r>
      <w:r w:rsidR="00F80C9A" w:rsidRPr="00205340">
        <w:t>.</w:t>
      </w:r>
      <w:r w:rsidR="00F80C9A" w:rsidRPr="00205340">
        <w:tab/>
        <w:t>Overall conclusion for clinical claims</w:t>
      </w:r>
      <w:r w:rsidR="00F80C9A" w:rsidRPr="00205340">
        <w:fldChar w:fldCharType="end"/>
      </w:r>
      <w:r w:rsidR="00D91B8E" w:rsidRPr="00205340">
        <w:t>). This</w:t>
      </w:r>
      <w:r w:rsidRPr="00205340">
        <w:t xml:space="preserve"> was </w:t>
      </w:r>
      <w:r w:rsidR="00C474E8" w:rsidRPr="00205340">
        <w:t>conducted by</w:t>
      </w:r>
      <w:r w:rsidRPr="00205340">
        <w:t xml:space="preserve"> the Commentary. </w:t>
      </w:r>
    </w:p>
    <w:p w14:paraId="1F2FCBCC" w14:textId="41D2FEFD" w:rsidR="0093608E" w:rsidRPr="00205340" w:rsidRDefault="0093608E" w:rsidP="0093608E">
      <w:r w:rsidRPr="00205340">
        <w:t>Key inputs for the CMA conducted during the evaluation are presented in</w:t>
      </w:r>
      <w:r w:rsidR="00F04910" w:rsidRPr="00205340">
        <w:t xml:space="preserve"> </w:t>
      </w:r>
      <w:r w:rsidR="00F04910" w:rsidRPr="00205340">
        <w:fldChar w:fldCharType="begin" w:fldLock="1"/>
      </w:r>
      <w:r w:rsidR="00F04910" w:rsidRPr="00205340">
        <w:instrText xml:space="preserve"> REF _Ref227157068 \h </w:instrText>
      </w:r>
      <w:r w:rsidR="00205340">
        <w:instrText xml:space="preserve"> \* MERGEFORMAT </w:instrText>
      </w:r>
      <w:r w:rsidR="00F04910" w:rsidRPr="00205340">
        <w:fldChar w:fldCharType="separate"/>
      </w:r>
      <w:r w:rsidR="00F04910" w:rsidRPr="00205340">
        <w:t xml:space="preserve">Table </w:t>
      </w:r>
      <w:r w:rsidR="00F04910" w:rsidRPr="00205340">
        <w:rPr>
          <w:noProof/>
        </w:rPr>
        <w:t>16</w:t>
      </w:r>
      <w:r w:rsidR="00F04910" w:rsidRPr="00205340">
        <w:fldChar w:fldCharType="end"/>
      </w:r>
      <w:r w:rsidRPr="00205340">
        <w:t>, where possible these were sourced from the Applicant’s HMA CMA and the CUA.</w:t>
      </w:r>
    </w:p>
    <w:p w14:paraId="28C8913C" w14:textId="1F7A8F32" w:rsidR="00F04910" w:rsidRPr="00205340" w:rsidRDefault="00F04910" w:rsidP="00F04910">
      <w:pPr>
        <w:pStyle w:val="Caption"/>
      </w:pPr>
      <w:bookmarkStart w:id="55" w:name="_Ref227157068"/>
      <w:r w:rsidRPr="00205340">
        <w:lastRenderedPageBreak/>
        <w:t xml:space="preserve">Table </w:t>
      </w:r>
      <w:fldSimple w:instr=" SEQ Table \* ARABIC ">
        <w:r w:rsidR="002C6A9B" w:rsidRPr="00205340">
          <w:rPr>
            <w:noProof/>
          </w:rPr>
          <w:t>16</w:t>
        </w:r>
      </w:fldSimple>
      <w:bookmarkEnd w:id="55"/>
      <w:r w:rsidRPr="00205340">
        <w:t xml:space="preserve"> Key inputs used in the cost-minimisation approach, marstacimab vs EHL </w:t>
      </w:r>
      <w:r w:rsidR="00F71685" w:rsidRPr="00205340">
        <w:t>F</w:t>
      </w:r>
      <w:r w:rsidRPr="00205340">
        <w:t>actor IX, conducted by the Commentary</w:t>
      </w:r>
    </w:p>
    <w:tbl>
      <w:tblPr>
        <w:tblStyle w:val="TableGrid"/>
        <w:tblW w:w="0" w:type="auto"/>
        <w:tblLook w:val="04A0" w:firstRow="1" w:lastRow="0" w:firstColumn="1" w:lastColumn="0" w:noHBand="0" w:noVBand="1"/>
      </w:tblPr>
      <w:tblGrid>
        <w:gridCol w:w="1555"/>
        <w:gridCol w:w="3402"/>
        <w:gridCol w:w="4059"/>
      </w:tblGrid>
      <w:tr w:rsidR="007F0F4D" w:rsidRPr="00205340" w14:paraId="332993C8" w14:textId="77777777">
        <w:tc>
          <w:tcPr>
            <w:tcW w:w="1555" w:type="dxa"/>
            <w:vAlign w:val="center"/>
          </w:tcPr>
          <w:p w14:paraId="204542C1" w14:textId="77777777" w:rsidR="0093608E" w:rsidRPr="00205340" w:rsidRDefault="0093608E">
            <w:pPr>
              <w:pStyle w:val="TableText"/>
              <w:keepNext/>
              <w:jc w:val="center"/>
              <w:rPr>
                <w:b/>
                <w:bCs/>
              </w:rPr>
            </w:pPr>
            <w:r w:rsidRPr="00205340">
              <w:rPr>
                <w:b/>
                <w:bCs/>
              </w:rPr>
              <w:t>Input</w:t>
            </w:r>
          </w:p>
        </w:tc>
        <w:tc>
          <w:tcPr>
            <w:tcW w:w="3402" w:type="dxa"/>
            <w:vAlign w:val="center"/>
          </w:tcPr>
          <w:p w14:paraId="1C1E9ED6" w14:textId="77777777" w:rsidR="0093608E" w:rsidRPr="00205340" w:rsidRDefault="0093608E">
            <w:pPr>
              <w:pStyle w:val="TableText"/>
              <w:keepNext/>
              <w:jc w:val="center"/>
              <w:rPr>
                <w:b/>
                <w:bCs/>
              </w:rPr>
            </w:pPr>
            <w:r w:rsidRPr="00205340">
              <w:rPr>
                <w:b/>
                <w:bCs/>
              </w:rPr>
              <w:t>Value/Source</w:t>
            </w:r>
          </w:p>
        </w:tc>
        <w:tc>
          <w:tcPr>
            <w:tcW w:w="4059" w:type="dxa"/>
          </w:tcPr>
          <w:p w14:paraId="5DC03E79" w14:textId="77777777" w:rsidR="0093608E" w:rsidRPr="00205340" w:rsidRDefault="0093608E">
            <w:pPr>
              <w:pStyle w:val="TableText"/>
              <w:keepNext/>
              <w:jc w:val="center"/>
              <w:rPr>
                <w:b/>
                <w:bCs/>
              </w:rPr>
            </w:pPr>
            <w:r w:rsidRPr="00205340">
              <w:rPr>
                <w:b/>
                <w:bCs/>
              </w:rPr>
              <w:t>Comment/justification</w:t>
            </w:r>
          </w:p>
        </w:tc>
      </w:tr>
      <w:tr w:rsidR="007F0F4D" w:rsidRPr="00205340" w14:paraId="0EBA42CF" w14:textId="77777777">
        <w:tc>
          <w:tcPr>
            <w:tcW w:w="1555" w:type="dxa"/>
            <w:vAlign w:val="center"/>
          </w:tcPr>
          <w:p w14:paraId="5D1721BE" w14:textId="77777777" w:rsidR="0093608E" w:rsidRPr="00205340" w:rsidRDefault="0093608E">
            <w:pPr>
              <w:pStyle w:val="TableText"/>
              <w:keepNext/>
            </w:pPr>
            <w:r w:rsidRPr="00205340">
              <w:t>Time horizon</w:t>
            </w:r>
          </w:p>
        </w:tc>
        <w:tc>
          <w:tcPr>
            <w:tcW w:w="3402" w:type="dxa"/>
            <w:vAlign w:val="center"/>
          </w:tcPr>
          <w:p w14:paraId="5B7657CE" w14:textId="77777777" w:rsidR="0093608E" w:rsidRPr="00205340" w:rsidRDefault="0093608E">
            <w:pPr>
              <w:pStyle w:val="TableText"/>
              <w:keepNext/>
              <w:jc w:val="center"/>
            </w:pPr>
            <w:r w:rsidRPr="00205340">
              <w:t>Two years</w:t>
            </w:r>
          </w:p>
        </w:tc>
        <w:tc>
          <w:tcPr>
            <w:tcW w:w="4059" w:type="dxa"/>
            <w:vAlign w:val="center"/>
          </w:tcPr>
          <w:p w14:paraId="6613553F" w14:textId="77777777" w:rsidR="0093608E" w:rsidRPr="00205340" w:rsidRDefault="0093608E">
            <w:pPr>
              <w:pStyle w:val="TableText"/>
              <w:keepNext/>
            </w:pPr>
            <w:r w:rsidRPr="00205340">
              <w:t xml:space="preserve">PBAC precedent (paragraph 6.65, </w:t>
            </w:r>
            <w:proofErr w:type="spellStart"/>
            <w:r w:rsidRPr="00205340">
              <w:t>ravulizumab</w:t>
            </w:r>
            <w:proofErr w:type="spellEnd"/>
            <w:r w:rsidRPr="00205340">
              <w:t xml:space="preserve"> PSD, July 2021 PBAC Meeting).</w:t>
            </w:r>
          </w:p>
        </w:tc>
      </w:tr>
      <w:tr w:rsidR="007F0F4D" w:rsidRPr="00205340" w14:paraId="4BACF533" w14:textId="77777777">
        <w:tc>
          <w:tcPr>
            <w:tcW w:w="1555" w:type="dxa"/>
            <w:vAlign w:val="center"/>
          </w:tcPr>
          <w:p w14:paraId="1AA1A86A" w14:textId="77777777" w:rsidR="0093608E" w:rsidRPr="00205340" w:rsidRDefault="0093608E">
            <w:pPr>
              <w:pStyle w:val="TableText"/>
              <w:keepNext/>
            </w:pPr>
            <w:r w:rsidRPr="00205340">
              <w:t>Average weight</w:t>
            </w:r>
          </w:p>
        </w:tc>
        <w:tc>
          <w:tcPr>
            <w:tcW w:w="3402" w:type="dxa"/>
            <w:vAlign w:val="center"/>
          </w:tcPr>
          <w:p w14:paraId="46C69A3D" w14:textId="469E1C1E" w:rsidR="0093608E" w:rsidRPr="00205340" w:rsidRDefault="0093608E">
            <w:pPr>
              <w:pStyle w:val="TableText"/>
              <w:keepNext/>
              <w:jc w:val="center"/>
            </w:pPr>
            <w:r w:rsidRPr="00205340">
              <w:t xml:space="preserve">79.2 kg based on the weighted average based on the distribution of weights of HMB patients in the ABDR Annual Report. </w:t>
            </w:r>
          </w:p>
        </w:tc>
        <w:tc>
          <w:tcPr>
            <w:tcW w:w="4059" w:type="dxa"/>
            <w:vAlign w:val="center"/>
          </w:tcPr>
          <w:p w14:paraId="4C17E4AF" w14:textId="77777777" w:rsidR="0093608E" w:rsidRPr="00205340" w:rsidRDefault="0093608E">
            <w:pPr>
              <w:pStyle w:val="TableText"/>
              <w:keepNext/>
            </w:pPr>
            <w:r w:rsidRPr="00205340">
              <w:t xml:space="preserve">Given that EHLs are priced per IU, using the average weight as opposed to a distribution of body weights was appropriate. </w:t>
            </w:r>
          </w:p>
        </w:tc>
      </w:tr>
      <w:tr w:rsidR="007F0F4D" w:rsidRPr="00205340" w14:paraId="23EC2100" w14:textId="77777777">
        <w:tc>
          <w:tcPr>
            <w:tcW w:w="1555" w:type="dxa"/>
            <w:vAlign w:val="center"/>
          </w:tcPr>
          <w:p w14:paraId="45478762" w14:textId="77777777" w:rsidR="0093608E" w:rsidRPr="00205340" w:rsidRDefault="0093608E">
            <w:pPr>
              <w:pStyle w:val="TableText"/>
              <w:keepNext/>
            </w:pPr>
            <w:r w:rsidRPr="00205340">
              <w:t>Marstacimab dose</w:t>
            </w:r>
          </w:p>
        </w:tc>
        <w:tc>
          <w:tcPr>
            <w:tcW w:w="3402" w:type="dxa"/>
            <w:vAlign w:val="center"/>
          </w:tcPr>
          <w:p w14:paraId="64219CFB" w14:textId="77777777" w:rsidR="0093608E" w:rsidRPr="00205340" w:rsidRDefault="0093608E">
            <w:pPr>
              <w:pStyle w:val="TableText"/>
              <w:keepNext/>
              <w:jc w:val="center"/>
            </w:pPr>
            <w:r w:rsidRPr="00205340">
              <w:t>300 mg loading dose, followed by</w:t>
            </w:r>
          </w:p>
          <w:p w14:paraId="789035FA" w14:textId="77777777" w:rsidR="0093608E" w:rsidRPr="00205340" w:rsidRDefault="0093608E">
            <w:pPr>
              <w:pStyle w:val="TableText"/>
              <w:keepNext/>
              <w:jc w:val="center"/>
            </w:pPr>
            <w:r w:rsidRPr="00205340">
              <w:t>150 mg flat dosing (standard) or 300 mg for those who have a dose escalation once per week based on the Marstacimab PI.</w:t>
            </w:r>
          </w:p>
        </w:tc>
        <w:tc>
          <w:tcPr>
            <w:tcW w:w="4059" w:type="dxa"/>
            <w:vAlign w:val="center"/>
          </w:tcPr>
          <w:p w14:paraId="4F73AE22" w14:textId="77777777" w:rsidR="0093608E" w:rsidRPr="00205340" w:rsidRDefault="0093608E">
            <w:pPr>
              <w:pStyle w:val="TableText"/>
              <w:keepNext/>
              <w:rPr>
                <w:i/>
                <w:iCs/>
              </w:rPr>
            </w:pPr>
          </w:p>
        </w:tc>
      </w:tr>
      <w:tr w:rsidR="007F0F4D" w:rsidRPr="00205340" w14:paraId="329C1247" w14:textId="77777777">
        <w:tc>
          <w:tcPr>
            <w:tcW w:w="1555" w:type="dxa"/>
            <w:vAlign w:val="center"/>
          </w:tcPr>
          <w:p w14:paraId="34BABDE4" w14:textId="77777777" w:rsidR="0093608E" w:rsidRPr="00205340" w:rsidRDefault="0093608E">
            <w:pPr>
              <w:pStyle w:val="TableText"/>
              <w:keepNext/>
            </w:pPr>
            <w:r w:rsidRPr="00205340">
              <w:t>EHL factor prophylaxis dose</w:t>
            </w:r>
          </w:p>
        </w:tc>
        <w:tc>
          <w:tcPr>
            <w:tcW w:w="3402" w:type="dxa"/>
            <w:vAlign w:val="center"/>
          </w:tcPr>
          <w:p w14:paraId="7B1392D7" w14:textId="77777777" w:rsidR="0093608E" w:rsidRPr="00205340" w:rsidRDefault="0093608E">
            <w:pPr>
              <w:pStyle w:val="TableText"/>
              <w:keepNext/>
              <w:jc w:val="center"/>
            </w:pPr>
            <w:r w:rsidRPr="00205340">
              <w:t>2,876 IU/kg/year</w:t>
            </w:r>
          </w:p>
        </w:tc>
        <w:tc>
          <w:tcPr>
            <w:tcW w:w="4059" w:type="dxa"/>
            <w:vAlign w:val="center"/>
          </w:tcPr>
          <w:p w14:paraId="38F53918" w14:textId="77777777" w:rsidR="0093608E" w:rsidRPr="00205340" w:rsidRDefault="0093608E">
            <w:pPr>
              <w:pStyle w:val="TableText"/>
              <w:keepNext/>
            </w:pPr>
            <w:r w:rsidRPr="00205340">
              <w:t xml:space="preserve">ABDR utilisation data included with the </w:t>
            </w:r>
            <w:proofErr w:type="spellStart"/>
            <w:r w:rsidRPr="00205340">
              <w:t>ADAR.</w:t>
            </w:r>
            <w:r w:rsidRPr="00205340">
              <w:rPr>
                <w:vertAlign w:val="superscript"/>
              </w:rPr>
              <w:t>a</w:t>
            </w:r>
            <w:proofErr w:type="spellEnd"/>
          </w:p>
        </w:tc>
      </w:tr>
      <w:tr w:rsidR="007F0F4D" w:rsidRPr="00205340" w14:paraId="0CAC36A7" w14:textId="77777777">
        <w:tc>
          <w:tcPr>
            <w:tcW w:w="1555" w:type="dxa"/>
            <w:vAlign w:val="center"/>
          </w:tcPr>
          <w:p w14:paraId="28760F5A" w14:textId="77777777" w:rsidR="0093608E" w:rsidRPr="00205340" w:rsidRDefault="0093608E">
            <w:pPr>
              <w:pStyle w:val="TableText"/>
              <w:keepNext/>
            </w:pPr>
            <w:r w:rsidRPr="00205340">
              <w:t>Proportion of marstacimab patients with dose escalations</w:t>
            </w:r>
          </w:p>
        </w:tc>
        <w:tc>
          <w:tcPr>
            <w:tcW w:w="3402" w:type="dxa"/>
            <w:vAlign w:val="center"/>
          </w:tcPr>
          <w:p w14:paraId="5437B634" w14:textId="77777777" w:rsidR="0093608E" w:rsidRPr="00205340" w:rsidRDefault="0093608E">
            <w:pPr>
              <w:pStyle w:val="TableText"/>
              <w:keepNext/>
              <w:jc w:val="center"/>
            </w:pPr>
            <w:r w:rsidRPr="00205340">
              <w:t>4.7% derived from the BASIS trial.</w:t>
            </w:r>
          </w:p>
        </w:tc>
        <w:tc>
          <w:tcPr>
            <w:tcW w:w="4059" w:type="dxa"/>
            <w:vAlign w:val="center"/>
          </w:tcPr>
          <w:p w14:paraId="7855BFCE" w14:textId="12E763D1" w:rsidR="0093608E" w:rsidRPr="00205340" w:rsidRDefault="0093608E">
            <w:pPr>
              <w:pStyle w:val="TableText"/>
              <w:keepNext/>
            </w:pPr>
            <w:r w:rsidRPr="00205340">
              <w:t>As noted in the HMA C</w:t>
            </w:r>
            <w:r w:rsidR="00AB28DC" w:rsidRPr="00205340">
              <w:t>M</w:t>
            </w:r>
            <w:r w:rsidRPr="00205340">
              <w:t xml:space="preserve">A, </w:t>
            </w:r>
            <w:r w:rsidR="00480B7D" w:rsidRPr="00205340">
              <w:t>the derivation included the initial loading dose</w:t>
            </w:r>
            <w:r w:rsidR="00692453" w:rsidRPr="00205340">
              <w:t>, which the commentary did not consider to be appropriate</w:t>
            </w:r>
            <w:r w:rsidRPr="00205340">
              <w:t xml:space="preserve">. </w:t>
            </w:r>
            <w:r w:rsidR="00FA4CA5" w:rsidRPr="00205340">
              <w:t>H</w:t>
            </w:r>
            <w:r w:rsidRPr="00205340">
              <w:t xml:space="preserve">owever, </w:t>
            </w:r>
            <w:r w:rsidR="00F5311F" w:rsidRPr="00205340">
              <w:t xml:space="preserve">to ensure consistency with the ADAR’s </w:t>
            </w:r>
            <w:r w:rsidR="000F168E" w:rsidRPr="00205340">
              <w:t>HMA CMA</w:t>
            </w:r>
            <w:r w:rsidR="00655424" w:rsidRPr="00205340">
              <w:t>, 4.7% has been applied</w:t>
            </w:r>
            <w:r w:rsidR="00E33E2A" w:rsidRPr="00205340">
              <w:t>, with estimate sourced from BASIS LTE tested in sensitivity analyses</w:t>
            </w:r>
            <w:r w:rsidRPr="00205340">
              <w:t xml:space="preserve">. </w:t>
            </w:r>
          </w:p>
        </w:tc>
      </w:tr>
      <w:tr w:rsidR="007F0F4D" w:rsidRPr="00205340" w14:paraId="1194AF0E" w14:textId="77777777">
        <w:tc>
          <w:tcPr>
            <w:tcW w:w="1555" w:type="dxa"/>
            <w:vAlign w:val="center"/>
          </w:tcPr>
          <w:p w14:paraId="45B95F09" w14:textId="77777777" w:rsidR="0093608E" w:rsidRPr="00205340" w:rsidRDefault="0093608E">
            <w:pPr>
              <w:pStyle w:val="TableText"/>
              <w:keepNext/>
            </w:pPr>
            <w:r w:rsidRPr="00205340">
              <w:t>Marstacimab treatment compliance</w:t>
            </w:r>
          </w:p>
        </w:tc>
        <w:tc>
          <w:tcPr>
            <w:tcW w:w="3402" w:type="dxa"/>
            <w:vAlign w:val="center"/>
          </w:tcPr>
          <w:p w14:paraId="737FC936" w14:textId="77777777" w:rsidR="0093608E" w:rsidRPr="00205340" w:rsidRDefault="0093608E">
            <w:pPr>
              <w:pStyle w:val="TableText"/>
              <w:keepNext/>
              <w:jc w:val="center"/>
            </w:pPr>
            <w:r w:rsidRPr="00205340">
              <w:t xml:space="preserve">98% sourced from the BASIS trial. </w:t>
            </w:r>
          </w:p>
        </w:tc>
        <w:tc>
          <w:tcPr>
            <w:tcW w:w="4059" w:type="dxa"/>
            <w:vAlign w:val="center"/>
          </w:tcPr>
          <w:p w14:paraId="085720DF" w14:textId="77777777" w:rsidR="0093608E" w:rsidRPr="00205340" w:rsidRDefault="0093608E">
            <w:pPr>
              <w:pStyle w:val="TableText"/>
              <w:keepNext/>
            </w:pPr>
            <w:proofErr w:type="gramStart"/>
            <w:r w:rsidRPr="00205340">
              <w:t>Similar to</w:t>
            </w:r>
            <w:proofErr w:type="gramEnd"/>
            <w:r w:rsidRPr="00205340">
              <w:t xml:space="preserve"> above, this data was based on the pooled HMA and HMB population. .</w:t>
            </w:r>
          </w:p>
        </w:tc>
      </w:tr>
      <w:tr w:rsidR="007F0F4D" w:rsidRPr="00205340" w14:paraId="441ACFBC" w14:textId="77777777">
        <w:tc>
          <w:tcPr>
            <w:tcW w:w="1555" w:type="dxa"/>
            <w:vAlign w:val="center"/>
          </w:tcPr>
          <w:p w14:paraId="100C6DBA" w14:textId="77777777" w:rsidR="0093608E" w:rsidRPr="00205340" w:rsidRDefault="0093608E">
            <w:pPr>
              <w:pStyle w:val="TableText"/>
              <w:keepNext/>
            </w:pPr>
            <w:r w:rsidRPr="00205340">
              <w:t>Marstacimab cost</w:t>
            </w:r>
          </w:p>
        </w:tc>
        <w:tc>
          <w:tcPr>
            <w:tcW w:w="3402" w:type="dxa"/>
            <w:vAlign w:val="center"/>
          </w:tcPr>
          <w:p w14:paraId="47DA308B" w14:textId="3829B9F4" w:rsidR="0093608E" w:rsidRPr="00881ECA" w:rsidRDefault="0093608E">
            <w:pPr>
              <w:pStyle w:val="TableText"/>
              <w:keepNext/>
              <w:jc w:val="center"/>
            </w:pPr>
            <w:r w:rsidRPr="00881ECA">
              <w:t>$</w:t>
            </w:r>
            <w:r w:rsidR="007A333A" w:rsidRPr="00881ECA">
              <w:rPr>
                <w:b/>
                <w:bCs/>
              </w:rPr>
              <w:t>redacted</w:t>
            </w:r>
            <w:r w:rsidR="007A333A" w:rsidRPr="00881ECA" w:rsidDel="007A333A">
              <w:t xml:space="preserve"> </w:t>
            </w:r>
            <w:r w:rsidRPr="00881ECA">
              <w:t>per 150 mg pen.</w:t>
            </w:r>
          </w:p>
        </w:tc>
        <w:tc>
          <w:tcPr>
            <w:tcW w:w="4059" w:type="dxa"/>
            <w:vAlign w:val="center"/>
          </w:tcPr>
          <w:p w14:paraId="18851246" w14:textId="77777777" w:rsidR="0093608E" w:rsidRPr="00205340" w:rsidRDefault="0093608E">
            <w:pPr>
              <w:pStyle w:val="TableText"/>
              <w:keepNext/>
            </w:pPr>
            <w:r w:rsidRPr="00205340">
              <w:t>Proposed price.</w:t>
            </w:r>
          </w:p>
        </w:tc>
      </w:tr>
      <w:tr w:rsidR="007F0F4D" w:rsidRPr="00205340" w14:paraId="3F041EAF" w14:textId="77777777">
        <w:tc>
          <w:tcPr>
            <w:tcW w:w="1555" w:type="dxa"/>
            <w:vAlign w:val="center"/>
          </w:tcPr>
          <w:p w14:paraId="53A04400" w14:textId="77777777" w:rsidR="0093608E" w:rsidRPr="00205340" w:rsidRDefault="0093608E">
            <w:pPr>
              <w:pStyle w:val="TableText"/>
              <w:keepNext/>
            </w:pPr>
            <w:r w:rsidRPr="00205340">
              <w:t xml:space="preserve">EHL cost </w:t>
            </w:r>
          </w:p>
        </w:tc>
        <w:tc>
          <w:tcPr>
            <w:tcW w:w="3402" w:type="dxa"/>
            <w:vAlign w:val="center"/>
          </w:tcPr>
          <w:p w14:paraId="465D92A2" w14:textId="77777777" w:rsidR="0093608E" w:rsidRPr="00881ECA" w:rsidRDefault="0093608E">
            <w:pPr>
              <w:pStyle w:val="TableText"/>
              <w:keepNext/>
              <w:jc w:val="center"/>
            </w:pPr>
            <w:r w:rsidRPr="00881ECA">
              <w:t>$0.68 per IU sourced from the ADAR’s assumed price in the CUA.</w:t>
            </w:r>
          </w:p>
        </w:tc>
        <w:tc>
          <w:tcPr>
            <w:tcW w:w="4059" w:type="dxa"/>
            <w:vAlign w:val="center"/>
          </w:tcPr>
          <w:p w14:paraId="0ECF3A81" w14:textId="77777777" w:rsidR="0093608E" w:rsidRPr="00205340" w:rsidRDefault="0093608E">
            <w:pPr>
              <w:pStyle w:val="TableText"/>
              <w:keepNext/>
            </w:pPr>
            <w:r w:rsidRPr="00205340">
              <w:t>The effective price has been tested in the CIC section of the Executive Summary</w:t>
            </w:r>
          </w:p>
        </w:tc>
      </w:tr>
      <w:tr w:rsidR="007F0F4D" w:rsidRPr="00205340" w14:paraId="58179C20" w14:textId="77777777">
        <w:tc>
          <w:tcPr>
            <w:tcW w:w="1555" w:type="dxa"/>
            <w:vAlign w:val="center"/>
          </w:tcPr>
          <w:p w14:paraId="1C1A05C7" w14:textId="77777777" w:rsidR="0093608E" w:rsidRPr="00205340" w:rsidRDefault="0093608E">
            <w:pPr>
              <w:pStyle w:val="TableText"/>
              <w:keepNext/>
            </w:pPr>
            <w:r w:rsidRPr="00205340">
              <w:t>EHL dosing frequency</w:t>
            </w:r>
          </w:p>
        </w:tc>
        <w:tc>
          <w:tcPr>
            <w:tcW w:w="3402" w:type="dxa"/>
            <w:vAlign w:val="center"/>
          </w:tcPr>
          <w:p w14:paraId="2D5C73D8" w14:textId="77777777" w:rsidR="0093608E" w:rsidRPr="00205340" w:rsidRDefault="0093608E">
            <w:pPr>
              <w:pStyle w:val="TableText"/>
              <w:keepNext/>
              <w:jc w:val="center"/>
            </w:pPr>
            <w:r w:rsidRPr="00205340">
              <w:t>Once per week.</w:t>
            </w:r>
          </w:p>
        </w:tc>
        <w:tc>
          <w:tcPr>
            <w:tcW w:w="4059" w:type="dxa"/>
            <w:vAlign w:val="center"/>
          </w:tcPr>
          <w:p w14:paraId="4ED4E30F" w14:textId="044DB4DB" w:rsidR="0093608E" w:rsidRPr="00205340" w:rsidRDefault="0093608E">
            <w:pPr>
              <w:pStyle w:val="TableText"/>
              <w:keepNext/>
            </w:pPr>
            <w:r w:rsidRPr="00205340">
              <w:t>Median prescribed injections per week reported in Australian real-world utilisation study</w:t>
            </w:r>
            <w:bookmarkStart w:id="56" w:name="_Ref215664782"/>
            <w:r w:rsidR="0089752C">
              <w:rPr>
                <w:rFonts w:ascii="ZWAdobeF" w:hAnsi="ZWAdobeF" w:cs="ZWAdobeF"/>
                <w:sz w:val="2"/>
                <w:szCs w:val="2"/>
              </w:rPr>
              <w:t>13F</w:t>
            </w:r>
            <w:r w:rsidRPr="00205340">
              <w:rPr>
                <w:rStyle w:val="FootnoteReference"/>
              </w:rPr>
              <w:footnoteReference w:id="14"/>
            </w:r>
            <w:bookmarkEnd w:id="56"/>
          </w:p>
        </w:tc>
      </w:tr>
      <w:tr w:rsidR="007F0F4D" w:rsidRPr="00205340" w14:paraId="3C23CD6A" w14:textId="77777777">
        <w:tc>
          <w:tcPr>
            <w:tcW w:w="1555" w:type="dxa"/>
            <w:vAlign w:val="center"/>
          </w:tcPr>
          <w:p w14:paraId="1CCD6420" w14:textId="3BD4326D" w:rsidR="0093608E" w:rsidRPr="00205340" w:rsidRDefault="0093608E">
            <w:pPr>
              <w:pStyle w:val="TableText"/>
              <w:keepNext/>
            </w:pPr>
            <w:r w:rsidRPr="00205340">
              <w:t xml:space="preserve">EHL </w:t>
            </w:r>
            <w:r w:rsidR="00F71685" w:rsidRPr="00205340">
              <w:t>F</w:t>
            </w:r>
            <w:r w:rsidRPr="00205340">
              <w:t>actor IX administration costs</w:t>
            </w:r>
          </w:p>
        </w:tc>
        <w:tc>
          <w:tcPr>
            <w:tcW w:w="3402" w:type="dxa"/>
            <w:vAlign w:val="center"/>
          </w:tcPr>
          <w:p w14:paraId="0E86D3B4" w14:textId="77777777" w:rsidR="0093608E" w:rsidRPr="00205340" w:rsidRDefault="0093608E">
            <w:pPr>
              <w:pStyle w:val="TableText"/>
              <w:keepNext/>
              <w:jc w:val="center"/>
            </w:pPr>
            <w:r w:rsidRPr="00205340">
              <w:t>$643 (ADAR CUA, NHCDC code 20.10)</w:t>
            </w:r>
          </w:p>
        </w:tc>
        <w:tc>
          <w:tcPr>
            <w:tcW w:w="4059" w:type="dxa"/>
            <w:vAlign w:val="center"/>
          </w:tcPr>
          <w:p w14:paraId="65745D15" w14:textId="77777777" w:rsidR="0093608E" w:rsidRPr="00205340" w:rsidRDefault="0093608E">
            <w:pPr>
              <w:pStyle w:val="TableText"/>
              <w:keepNext/>
            </w:pPr>
            <w:r w:rsidRPr="00205340">
              <w:t>This has been tested in sensitivity analyses.</w:t>
            </w:r>
          </w:p>
        </w:tc>
      </w:tr>
    </w:tbl>
    <w:p w14:paraId="448C2CBB" w14:textId="77777777" w:rsidR="0093608E" w:rsidRPr="00205340" w:rsidRDefault="0093608E" w:rsidP="0093608E">
      <w:pPr>
        <w:pStyle w:val="TableFigureFooter"/>
        <w:keepNext/>
        <w:spacing w:before="0" w:after="0"/>
        <w:rPr>
          <w:i/>
          <w:iCs/>
        </w:rPr>
      </w:pPr>
      <w:r w:rsidRPr="00205340">
        <w:rPr>
          <w:i/>
          <w:iCs/>
        </w:rPr>
        <w:t>Source: Constructed during the evaluation.</w:t>
      </w:r>
    </w:p>
    <w:p w14:paraId="509CD7E0" w14:textId="77777777" w:rsidR="0093608E" w:rsidRPr="00205340" w:rsidRDefault="0093608E" w:rsidP="0093608E">
      <w:pPr>
        <w:pStyle w:val="TableFigureFooter"/>
        <w:keepNext/>
        <w:spacing w:before="0" w:after="0"/>
      </w:pPr>
      <w:r w:rsidRPr="00205340">
        <w:t>ABDR = Australian Bleeding Disorders Registry; CIC = Committee in Confidence; CMA = cost-minimisation approach; CSR = clinical study report; EHL = extended half-life; HMA = haemophilia type A; HMB = haemophilia type B; NHCDC = National Hospital Cost Data Collection; PBAC = Pharmaceutical Benefits Advisory Committee; PI = product information; PSD = Public Summary Document</w:t>
      </w:r>
    </w:p>
    <w:p w14:paraId="2C129354" w14:textId="77777777" w:rsidR="0093608E" w:rsidRPr="00205340" w:rsidRDefault="0093608E" w:rsidP="0093608E">
      <w:pPr>
        <w:pStyle w:val="TableFigureFooter"/>
        <w:spacing w:before="0" w:after="240"/>
        <w:rPr>
          <w:i/>
          <w:iCs/>
        </w:rPr>
      </w:pPr>
      <w:r w:rsidRPr="00205340">
        <w:rPr>
          <w:vertAlign w:val="superscript"/>
        </w:rPr>
        <w:t>a</w:t>
      </w:r>
      <w:r w:rsidRPr="00205340">
        <w:t xml:space="preserve"> ABDR utilisation data for severe HMB patients aged 12+</w:t>
      </w:r>
    </w:p>
    <w:p w14:paraId="3CED3C25" w14:textId="568D19B5" w:rsidR="001B0CE3" w:rsidRPr="00205340" w:rsidRDefault="0093608E" w:rsidP="001B0CE3">
      <w:r w:rsidRPr="00205340">
        <w:t>The results of the HMB CMA are presented in</w:t>
      </w:r>
      <w:r w:rsidR="00F04910" w:rsidRPr="00205340">
        <w:t xml:space="preserve"> </w:t>
      </w:r>
      <w:r w:rsidR="00F04910" w:rsidRPr="00205340">
        <w:fldChar w:fldCharType="begin" w:fldLock="1"/>
      </w:r>
      <w:r w:rsidR="00F04910" w:rsidRPr="00205340">
        <w:instrText xml:space="preserve"> REF _Ref227157093 \h </w:instrText>
      </w:r>
      <w:r w:rsidR="00205340">
        <w:instrText xml:space="preserve"> \* MERGEFORMAT </w:instrText>
      </w:r>
      <w:r w:rsidR="00F04910" w:rsidRPr="00205340">
        <w:fldChar w:fldCharType="separate"/>
      </w:r>
      <w:r w:rsidR="00F04910" w:rsidRPr="00205340">
        <w:t xml:space="preserve">Table </w:t>
      </w:r>
      <w:r w:rsidR="00F04910" w:rsidRPr="00205340">
        <w:rPr>
          <w:noProof/>
        </w:rPr>
        <w:t>17</w:t>
      </w:r>
      <w:r w:rsidR="00F04910" w:rsidRPr="00205340">
        <w:fldChar w:fldCharType="end"/>
      </w:r>
      <w:r w:rsidRPr="00205340">
        <w:t>.</w:t>
      </w:r>
    </w:p>
    <w:p w14:paraId="77434616" w14:textId="3C18FC1E" w:rsidR="00F04910" w:rsidRPr="00205340" w:rsidRDefault="00F04910" w:rsidP="00F04910">
      <w:pPr>
        <w:pStyle w:val="Caption"/>
      </w:pPr>
      <w:bookmarkStart w:id="57" w:name="_Ref227157093"/>
      <w:r w:rsidRPr="00205340">
        <w:lastRenderedPageBreak/>
        <w:t xml:space="preserve">Table </w:t>
      </w:r>
      <w:fldSimple w:instr=" SEQ Table \* ARABIC ">
        <w:r w:rsidR="002C6A9B" w:rsidRPr="00205340">
          <w:rPr>
            <w:noProof/>
          </w:rPr>
          <w:t>17</w:t>
        </w:r>
      </w:fldSimple>
      <w:bookmarkEnd w:id="57"/>
      <w:r w:rsidRPr="00205340">
        <w:t xml:space="preserve"> Results of the CMA over two years</w:t>
      </w:r>
    </w:p>
    <w:tbl>
      <w:tblPr>
        <w:tblStyle w:val="TableGrid"/>
        <w:tblW w:w="0" w:type="auto"/>
        <w:tblLook w:val="04A0" w:firstRow="1" w:lastRow="0" w:firstColumn="1" w:lastColumn="0" w:noHBand="0" w:noVBand="1"/>
      </w:tblPr>
      <w:tblGrid>
        <w:gridCol w:w="3397"/>
        <w:gridCol w:w="2809"/>
        <w:gridCol w:w="2810"/>
      </w:tblGrid>
      <w:tr w:rsidR="007F0F4D" w:rsidRPr="00205340" w14:paraId="38712EA6" w14:textId="77777777">
        <w:tc>
          <w:tcPr>
            <w:tcW w:w="3397" w:type="dxa"/>
          </w:tcPr>
          <w:p w14:paraId="1FE4A629" w14:textId="77777777" w:rsidR="0093608E" w:rsidRPr="00205340" w:rsidRDefault="0093608E">
            <w:pPr>
              <w:pStyle w:val="Caption"/>
            </w:pPr>
          </w:p>
        </w:tc>
        <w:tc>
          <w:tcPr>
            <w:tcW w:w="2809" w:type="dxa"/>
            <w:vAlign w:val="center"/>
          </w:tcPr>
          <w:p w14:paraId="21C73C2D" w14:textId="77777777" w:rsidR="0093608E" w:rsidRPr="00205340" w:rsidRDefault="0093608E">
            <w:pPr>
              <w:pStyle w:val="TableText"/>
              <w:keepNext/>
              <w:jc w:val="center"/>
            </w:pPr>
            <w:r w:rsidRPr="00205340">
              <w:rPr>
                <w:b/>
                <w:bCs/>
              </w:rPr>
              <w:t>Marstacimab</w:t>
            </w:r>
          </w:p>
        </w:tc>
        <w:tc>
          <w:tcPr>
            <w:tcW w:w="2810" w:type="dxa"/>
            <w:vAlign w:val="center"/>
          </w:tcPr>
          <w:p w14:paraId="735C568C" w14:textId="569F6174" w:rsidR="0093608E" w:rsidRPr="00205340" w:rsidRDefault="0093608E">
            <w:pPr>
              <w:pStyle w:val="TableText"/>
              <w:keepNext/>
              <w:jc w:val="center"/>
            </w:pPr>
            <w:r w:rsidRPr="00205340">
              <w:rPr>
                <w:b/>
                <w:bCs/>
              </w:rPr>
              <w:t xml:space="preserve">EHL </w:t>
            </w:r>
            <w:r w:rsidR="00F71685" w:rsidRPr="00205340">
              <w:rPr>
                <w:b/>
                <w:bCs/>
              </w:rPr>
              <w:t>F</w:t>
            </w:r>
            <w:r w:rsidRPr="00205340">
              <w:rPr>
                <w:b/>
                <w:bCs/>
              </w:rPr>
              <w:t>actor IX</w:t>
            </w:r>
          </w:p>
        </w:tc>
      </w:tr>
      <w:tr w:rsidR="007F0F4D" w:rsidRPr="00205340" w14:paraId="4D6F34D2" w14:textId="77777777">
        <w:tc>
          <w:tcPr>
            <w:tcW w:w="3397" w:type="dxa"/>
          </w:tcPr>
          <w:p w14:paraId="69175E75" w14:textId="77777777" w:rsidR="0093608E" w:rsidRPr="00205340" w:rsidRDefault="0093608E">
            <w:pPr>
              <w:pStyle w:val="TableText"/>
              <w:keepNext/>
            </w:pPr>
            <w:r w:rsidRPr="00205340">
              <w:t>Loading dose</w:t>
            </w:r>
          </w:p>
        </w:tc>
        <w:tc>
          <w:tcPr>
            <w:tcW w:w="2809" w:type="dxa"/>
            <w:vAlign w:val="center"/>
          </w:tcPr>
          <w:p w14:paraId="408FABA2" w14:textId="77777777" w:rsidR="0093608E" w:rsidRPr="00881ECA" w:rsidRDefault="0093608E">
            <w:pPr>
              <w:pStyle w:val="TableText"/>
              <w:keepNext/>
              <w:jc w:val="center"/>
            </w:pPr>
            <w:r w:rsidRPr="00881ECA">
              <w:t>300 mg</w:t>
            </w:r>
          </w:p>
        </w:tc>
        <w:tc>
          <w:tcPr>
            <w:tcW w:w="2810" w:type="dxa"/>
            <w:vMerge w:val="restart"/>
            <w:vAlign w:val="center"/>
          </w:tcPr>
          <w:p w14:paraId="62B84CBA" w14:textId="77777777" w:rsidR="0093608E" w:rsidRPr="00881ECA" w:rsidRDefault="0093608E">
            <w:pPr>
              <w:pStyle w:val="TableText"/>
              <w:keepNext/>
              <w:jc w:val="center"/>
            </w:pPr>
            <w:r w:rsidRPr="00881ECA">
              <w:t>N/A</w:t>
            </w:r>
          </w:p>
          <w:p w14:paraId="53646478" w14:textId="77777777" w:rsidR="0093608E" w:rsidRPr="00881ECA" w:rsidRDefault="0093608E">
            <w:pPr>
              <w:pStyle w:val="TableText"/>
              <w:keepNext/>
              <w:jc w:val="center"/>
            </w:pPr>
          </w:p>
        </w:tc>
      </w:tr>
      <w:tr w:rsidR="007F0F4D" w:rsidRPr="00205340" w14:paraId="4EA0AB68" w14:textId="77777777">
        <w:tc>
          <w:tcPr>
            <w:tcW w:w="3397" w:type="dxa"/>
          </w:tcPr>
          <w:p w14:paraId="3E4A4557" w14:textId="77777777" w:rsidR="0093608E" w:rsidRPr="00205340" w:rsidRDefault="0093608E">
            <w:pPr>
              <w:pStyle w:val="TableText"/>
              <w:keepNext/>
            </w:pPr>
            <w:r w:rsidRPr="00205340">
              <w:t>Cost for loading dose</w:t>
            </w:r>
          </w:p>
        </w:tc>
        <w:tc>
          <w:tcPr>
            <w:tcW w:w="2809" w:type="dxa"/>
            <w:vAlign w:val="center"/>
          </w:tcPr>
          <w:p w14:paraId="4252E768" w14:textId="6AEE5618" w:rsidR="0093608E" w:rsidRPr="00881ECA" w:rsidRDefault="0093608E">
            <w:pPr>
              <w:pStyle w:val="TableText"/>
              <w:keepNext/>
              <w:jc w:val="center"/>
            </w:pPr>
            <w:r w:rsidRPr="00881ECA">
              <w:t>$</w:t>
            </w:r>
            <w:r w:rsidR="00291272" w:rsidRPr="00881ECA">
              <w:rPr>
                <w:b/>
                <w:bCs/>
              </w:rPr>
              <w:t>redacted</w:t>
            </w:r>
          </w:p>
        </w:tc>
        <w:tc>
          <w:tcPr>
            <w:tcW w:w="2810" w:type="dxa"/>
            <w:vMerge/>
            <w:vAlign w:val="center"/>
          </w:tcPr>
          <w:p w14:paraId="01846198" w14:textId="77777777" w:rsidR="0093608E" w:rsidRPr="00881ECA" w:rsidRDefault="0093608E">
            <w:pPr>
              <w:pStyle w:val="TableText"/>
              <w:keepNext/>
              <w:jc w:val="center"/>
            </w:pPr>
          </w:p>
        </w:tc>
      </w:tr>
      <w:tr w:rsidR="007F0F4D" w:rsidRPr="00205340" w14:paraId="23BE35C7" w14:textId="77777777">
        <w:tc>
          <w:tcPr>
            <w:tcW w:w="3397" w:type="dxa"/>
          </w:tcPr>
          <w:p w14:paraId="04DC8E8D" w14:textId="77777777" w:rsidR="0093608E" w:rsidRPr="00205340" w:rsidRDefault="0093608E">
            <w:pPr>
              <w:pStyle w:val="TableText"/>
              <w:keepNext/>
            </w:pPr>
            <w:r w:rsidRPr="00205340">
              <w:t>Maintenance dose</w:t>
            </w:r>
          </w:p>
        </w:tc>
        <w:tc>
          <w:tcPr>
            <w:tcW w:w="2809" w:type="dxa"/>
            <w:vAlign w:val="center"/>
          </w:tcPr>
          <w:p w14:paraId="1C556708" w14:textId="77777777" w:rsidR="0093608E" w:rsidRPr="00881ECA" w:rsidRDefault="0093608E">
            <w:pPr>
              <w:pStyle w:val="TableText"/>
              <w:keepNext/>
              <w:jc w:val="center"/>
              <w:rPr>
                <w:vertAlign w:val="superscript"/>
              </w:rPr>
            </w:pPr>
            <w:r w:rsidRPr="00881ECA">
              <w:t xml:space="preserve">157 </w:t>
            </w:r>
            <w:proofErr w:type="spellStart"/>
            <w:r w:rsidRPr="00881ECA">
              <w:t>mg</w:t>
            </w:r>
            <w:r w:rsidRPr="00881ECA">
              <w:rPr>
                <w:vertAlign w:val="superscript"/>
              </w:rPr>
              <w:t>a</w:t>
            </w:r>
            <w:proofErr w:type="spellEnd"/>
          </w:p>
        </w:tc>
        <w:tc>
          <w:tcPr>
            <w:tcW w:w="2810" w:type="dxa"/>
            <w:vAlign w:val="center"/>
          </w:tcPr>
          <w:p w14:paraId="135E4D0A" w14:textId="7EC73125" w:rsidR="0093608E" w:rsidRPr="00881ECA" w:rsidRDefault="0093608E">
            <w:pPr>
              <w:pStyle w:val="TableText"/>
              <w:keepNext/>
              <w:jc w:val="center"/>
              <w:rPr>
                <w:vertAlign w:val="superscript"/>
              </w:rPr>
            </w:pPr>
            <w:r w:rsidRPr="00881ECA">
              <w:t xml:space="preserve">4,378 </w:t>
            </w:r>
            <w:proofErr w:type="spellStart"/>
            <w:r w:rsidR="00232F98" w:rsidRPr="00881ECA">
              <w:t>IU</w:t>
            </w:r>
            <w:r w:rsidRPr="00881ECA">
              <w:rPr>
                <w:vertAlign w:val="superscript"/>
              </w:rPr>
              <w:t>b</w:t>
            </w:r>
            <w:proofErr w:type="spellEnd"/>
          </w:p>
        </w:tc>
      </w:tr>
      <w:tr w:rsidR="007F0F4D" w:rsidRPr="00205340" w14:paraId="5AE21C28" w14:textId="77777777">
        <w:tc>
          <w:tcPr>
            <w:tcW w:w="3397" w:type="dxa"/>
          </w:tcPr>
          <w:p w14:paraId="5321CF29" w14:textId="77777777" w:rsidR="0093608E" w:rsidRPr="00205340" w:rsidRDefault="0093608E">
            <w:pPr>
              <w:pStyle w:val="TableText"/>
              <w:keepNext/>
            </w:pPr>
            <w:r w:rsidRPr="00205340">
              <w:t>Average maintenance dose cost</w:t>
            </w:r>
          </w:p>
        </w:tc>
        <w:tc>
          <w:tcPr>
            <w:tcW w:w="2809" w:type="dxa"/>
            <w:vAlign w:val="center"/>
          </w:tcPr>
          <w:p w14:paraId="531536C1" w14:textId="7CC52316" w:rsidR="0093608E" w:rsidRPr="00881ECA" w:rsidRDefault="0093608E">
            <w:pPr>
              <w:pStyle w:val="TableText"/>
              <w:keepNext/>
              <w:jc w:val="center"/>
            </w:pPr>
            <w:r w:rsidRPr="00881ECA">
              <w:t>$</w:t>
            </w:r>
            <w:r w:rsidR="00291272" w:rsidRPr="00881ECA">
              <w:rPr>
                <w:b/>
                <w:bCs/>
              </w:rPr>
              <w:t>redacted</w:t>
            </w:r>
          </w:p>
        </w:tc>
        <w:tc>
          <w:tcPr>
            <w:tcW w:w="2810" w:type="dxa"/>
            <w:vAlign w:val="center"/>
          </w:tcPr>
          <w:p w14:paraId="6FE2624D" w14:textId="77777777" w:rsidR="0093608E" w:rsidRPr="00881ECA" w:rsidRDefault="0093608E">
            <w:pPr>
              <w:pStyle w:val="TableText"/>
              <w:keepNext/>
              <w:jc w:val="center"/>
            </w:pPr>
            <w:r w:rsidRPr="00881ECA">
              <w:t>$2,977</w:t>
            </w:r>
          </w:p>
        </w:tc>
      </w:tr>
      <w:tr w:rsidR="007F0F4D" w:rsidRPr="00205340" w14:paraId="5E67EE07" w14:textId="77777777">
        <w:tc>
          <w:tcPr>
            <w:tcW w:w="3397" w:type="dxa"/>
          </w:tcPr>
          <w:p w14:paraId="2F5F11DC" w14:textId="77777777" w:rsidR="0093608E" w:rsidRPr="00205340" w:rsidRDefault="0093608E">
            <w:pPr>
              <w:pStyle w:val="TableText"/>
              <w:keepNext/>
            </w:pPr>
            <w:r w:rsidRPr="00205340">
              <w:t>Number of standard maintenance doses in Year 1</w:t>
            </w:r>
          </w:p>
        </w:tc>
        <w:tc>
          <w:tcPr>
            <w:tcW w:w="2809" w:type="dxa"/>
            <w:vAlign w:val="center"/>
          </w:tcPr>
          <w:p w14:paraId="6D3CEAE7" w14:textId="77777777" w:rsidR="0093608E" w:rsidRPr="00881ECA" w:rsidRDefault="0093608E">
            <w:pPr>
              <w:pStyle w:val="TableText"/>
              <w:keepNext/>
              <w:jc w:val="center"/>
            </w:pPr>
            <w:r w:rsidRPr="00881ECA">
              <w:t>51</w:t>
            </w:r>
          </w:p>
        </w:tc>
        <w:tc>
          <w:tcPr>
            <w:tcW w:w="2810" w:type="dxa"/>
            <w:vAlign w:val="center"/>
          </w:tcPr>
          <w:p w14:paraId="550C92C8" w14:textId="77777777" w:rsidR="0093608E" w:rsidRPr="00881ECA" w:rsidRDefault="0093608E">
            <w:pPr>
              <w:pStyle w:val="TableText"/>
              <w:keepNext/>
              <w:jc w:val="center"/>
            </w:pPr>
            <w:r w:rsidRPr="00881ECA">
              <w:t>52</w:t>
            </w:r>
          </w:p>
        </w:tc>
      </w:tr>
      <w:tr w:rsidR="007F0F4D" w:rsidRPr="00205340" w14:paraId="433B47E0" w14:textId="77777777">
        <w:tc>
          <w:tcPr>
            <w:tcW w:w="3397" w:type="dxa"/>
          </w:tcPr>
          <w:p w14:paraId="5423678C" w14:textId="77777777" w:rsidR="0093608E" w:rsidRPr="00205340" w:rsidRDefault="0093608E">
            <w:pPr>
              <w:pStyle w:val="TableText"/>
              <w:keepNext/>
            </w:pPr>
            <w:r w:rsidRPr="00205340">
              <w:t>Number of standard maintenance doses in Year 2</w:t>
            </w:r>
          </w:p>
        </w:tc>
        <w:tc>
          <w:tcPr>
            <w:tcW w:w="2809" w:type="dxa"/>
            <w:vAlign w:val="center"/>
          </w:tcPr>
          <w:p w14:paraId="6D483A00" w14:textId="77777777" w:rsidR="0093608E" w:rsidRPr="00881ECA" w:rsidRDefault="0093608E">
            <w:pPr>
              <w:pStyle w:val="TableText"/>
              <w:keepNext/>
              <w:jc w:val="center"/>
            </w:pPr>
            <w:r w:rsidRPr="00881ECA">
              <w:t>52</w:t>
            </w:r>
          </w:p>
        </w:tc>
        <w:tc>
          <w:tcPr>
            <w:tcW w:w="2810" w:type="dxa"/>
            <w:vAlign w:val="center"/>
          </w:tcPr>
          <w:p w14:paraId="06E61188" w14:textId="77777777" w:rsidR="0093608E" w:rsidRPr="00881ECA" w:rsidRDefault="0093608E">
            <w:pPr>
              <w:pStyle w:val="TableText"/>
              <w:keepNext/>
              <w:jc w:val="center"/>
            </w:pPr>
            <w:r w:rsidRPr="00881ECA">
              <w:t>52</w:t>
            </w:r>
          </w:p>
        </w:tc>
      </w:tr>
      <w:tr w:rsidR="007F0F4D" w:rsidRPr="00205340" w14:paraId="4ABA53BA" w14:textId="77777777">
        <w:tc>
          <w:tcPr>
            <w:tcW w:w="3397" w:type="dxa"/>
          </w:tcPr>
          <w:p w14:paraId="5441426D" w14:textId="77777777" w:rsidR="0093608E" w:rsidRPr="00205340" w:rsidRDefault="0093608E">
            <w:pPr>
              <w:pStyle w:val="TableText"/>
              <w:keepNext/>
            </w:pPr>
            <w:r w:rsidRPr="00205340">
              <w:t>Compliance rate</w:t>
            </w:r>
          </w:p>
        </w:tc>
        <w:tc>
          <w:tcPr>
            <w:tcW w:w="2809" w:type="dxa"/>
            <w:vAlign w:val="center"/>
          </w:tcPr>
          <w:p w14:paraId="669E3892" w14:textId="77777777" w:rsidR="0093608E" w:rsidRPr="00881ECA" w:rsidRDefault="0093608E">
            <w:pPr>
              <w:pStyle w:val="TableText"/>
              <w:keepNext/>
              <w:jc w:val="center"/>
            </w:pPr>
            <w:r w:rsidRPr="00881ECA">
              <w:t>98%</w:t>
            </w:r>
          </w:p>
        </w:tc>
        <w:tc>
          <w:tcPr>
            <w:tcW w:w="2810" w:type="dxa"/>
            <w:vAlign w:val="center"/>
          </w:tcPr>
          <w:p w14:paraId="5EED253C" w14:textId="77777777" w:rsidR="0093608E" w:rsidRPr="00881ECA" w:rsidRDefault="0093608E">
            <w:pPr>
              <w:pStyle w:val="TableText"/>
              <w:keepNext/>
              <w:jc w:val="center"/>
            </w:pPr>
            <w:r w:rsidRPr="00881ECA">
              <w:t>100%</w:t>
            </w:r>
            <w:r w:rsidRPr="00881ECA">
              <w:rPr>
                <w:vertAlign w:val="superscript"/>
              </w:rPr>
              <w:t>c</w:t>
            </w:r>
          </w:p>
        </w:tc>
      </w:tr>
      <w:tr w:rsidR="007F0F4D" w:rsidRPr="00205340" w14:paraId="187FB363" w14:textId="77777777">
        <w:tc>
          <w:tcPr>
            <w:tcW w:w="3397" w:type="dxa"/>
          </w:tcPr>
          <w:p w14:paraId="692AD3BF" w14:textId="77777777" w:rsidR="0093608E" w:rsidRPr="00205340" w:rsidRDefault="0093608E">
            <w:pPr>
              <w:pStyle w:val="TableText"/>
              <w:keepNext/>
            </w:pPr>
            <w:r w:rsidRPr="00205340">
              <w:t>Average number of standard maintenance doses in Year 1 (i.e. adjusted for compliance)</w:t>
            </w:r>
          </w:p>
        </w:tc>
        <w:tc>
          <w:tcPr>
            <w:tcW w:w="2809" w:type="dxa"/>
            <w:vAlign w:val="center"/>
          </w:tcPr>
          <w:p w14:paraId="2B0A23AD" w14:textId="77777777" w:rsidR="0093608E" w:rsidRPr="00881ECA" w:rsidRDefault="0093608E">
            <w:pPr>
              <w:pStyle w:val="TableText"/>
              <w:keepNext/>
              <w:jc w:val="center"/>
            </w:pPr>
            <w:r w:rsidRPr="00881ECA">
              <w:t>50</w:t>
            </w:r>
          </w:p>
        </w:tc>
        <w:tc>
          <w:tcPr>
            <w:tcW w:w="2810" w:type="dxa"/>
            <w:vAlign w:val="center"/>
          </w:tcPr>
          <w:p w14:paraId="3F075CCB" w14:textId="77777777" w:rsidR="0093608E" w:rsidRPr="00881ECA" w:rsidRDefault="0093608E">
            <w:pPr>
              <w:pStyle w:val="TableText"/>
              <w:keepNext/>
              <w:jc w:val="center"/>
            </w:pPr>
            <w:r w:rsidRPr="00881ECA">
              <w:t>52</w:t>
            </w:r>
          </w:p>
        </w:tc>
      </w:tr>
      <w:tr w:rsidR="007F0F4D" w:rsidRPr="00205340" w14:paraId="2DDEB4E3" w14:textId="77777777">
        <w:tc>
          <w:tcPr>
            <w:tcW w:w="3397" w:type="dxa"/>
          </w:tcPr>
          <w:p w14:paraId="7611960F" w14:textId="77777777" w:rsidR="0093608E" w:rsidRPr="00205340" w:rsidRDefault="0093608E">
            <w:pPr>
              <w:pStyle w:val="TableText"/>
              <w:keepNext/>
            </w:pPr>
            <w:r w:rsidRPr="00205340">
              <w:t>Average number of standard maintenance doses in Year 2 (i.e. adjusted for compliance)</w:t>
            </w:r>
          </w:p>
        </w:tc>
        <w:tc>
          <w:tcPr>
            <w:tcW w:w="2809" w:type="dxa"/>
            <w:vAlign w:val="center"/>
          </w:tcPr>
          <w:p w14:paraId="1BB6A707" w14:textId="77777777" w:rsidR="0093608E" w:rsidRPr="00881ECA" w:rsidRDefault="0093608E">
            <w:pPr>
              <w:pStyle w:val="TableText"/>
              <w:keepNext/>
              <w:jc w:val="center"/>
            </w:pPr>
            <w:r w:rsidRPr="00881ECA">
              <w:t>51</w:t>
            </w:r>
          </w:p>
        </w:tc>
        <w:tc>
          <w:tcPr>
            <w:tcW w:w="2810" w:type="dxa"/>
            <w:vAlign w:val="center"/>
          </w:tcPr>
          <w:p w14:paraId="49326879" w14:textId="77777777" w:rsidR="0093608E" w:rsidRPr="00881ECA" w:rsidRDefault="0093608E">
            <w:pPr>
              <w:pStyle w:val="TableText"/>
              <w:keepNext/>
              <w:jc w:val="center"/>
            </w:pPr>
            <w:r w:rsidRPr="00881ECA">
              <w:t>52</w:t>
            </w:r>
          </w:p>
        </w:tc>
      </w:tr>
      <w:tr w:rsidR="007F0F4D" w:rsidRPr="00205340" w14:paraId="0C71D1D1" w14:textId="77777777">
        <w:tc>
          <w:tcPr>
            <w:tcW w:w="3397" w:type="dxa"/>
          </w:tcPr>
          <w:p w14:paraId="53CE3484" w14:textId="77777777" w:rsidR="0093608E" w:rsidRPr="00205340" w:rsidRDefault="0093608E">
            <w:pPr>
              <w:pStyle w:val="TableText"/>
              <w:keepNext/>
            </w:pPr>
            <w:r w:rsidRPr="00205340">
              <w:t xml:space="preserve">Total maintenance doses over two years </w:t>
            </w:r>
          </w:p>
        </w:tc>
        <w:tc>
          <w:tcPr>
            <w:tcW w:w="2809" w:type="dxa"/>
            <w:vAlign w:val="center"/>
          </w:tcPr>
          <w:p w14:paraId="28C193CE" w14:textId="77777777" w:rsidR="0093608E" w:rsidRPr="00881ECA" w:rsidRDefault="0093608E">
            <w:pPr>
              <w:pStyle w:val="TableText"/>
              <w:keepNext/>
              <w:jc w:val="center"/>
            </w:pPr>
            <w:r w:rsidRPr="00881ECA">
              <w:t>101</w:t>
            </w:r>
          </w:p>
        </w:tc>
        <w:tc>
          <w:tcPr>
            <w:tcW w:w="2810" w:type="dxa"/>
            <w:vAlign w:val="center"/>
          </w:tcPr>
          <w:p w14:paraId="2550163C" w14:textId="77777777" w:rsidR="0093608E" w:rsidRPr="00881ECA" w:rsidRDefault="0093608E">
            <w:pPr>
              <w:pStyle w:val="TableText"/>
              <w:keepNext/>
              <w:jc w:val="center"/>
            </w:pPr>
            <w:r w:rsidRPr="00881ECA">
              <w:t>104</w:t>
            </w:r>
          </w:p>
        </w:tc>
      </w:tr>
      <w:tr w:rsidR="007F0F4D" w:rsidRPr="00205340" w14:paraId="120D65F5" w14:textId="77777777">
        <w:tc>
          <w:tcPr>
            <w:tcW w:w="3397" w:type="dxa"/>
          </w:tcPr>
          <w:p w14:paraId="058B067C" w14:textId="77777777" w:rsidR="0093608E" w:rsidRPr="00205340" w:rsidRDefault="0093608E">
            <w:pPr>
              <w:pStyle w:val="TableText"/>
              <w:keepNext/>
            </w:pPr>
            <w:r w:rsidRPr="00205340">
              <w:t>Cost per administration</w:t>
            </w:r>
          </w:p>
        </w:tc>
        <w:tc>
          <w:tcPr>
            <w:tcW w:w="2809" w:type="dxa"/>
            <w:vAlign w:val="center"/>
          </w:tcPr>
          <w:p w14:paraId="4184886E" w14:textId="77777777" w:rsidR="0093608E" w:rsidRPr="00881ECA" w:rsidRDefault="0093608E">
            <w:pPr>
              <w:pStyle w:val="TableText"/>
              <w:keepNext/>
              <w:jc w:val="center"/>
            </w:pPr>
            <w:r w:rsidRPr="00881ECA">
              <w:t>$0</w:t>
            </w:r>
          </w:p>
        </w:tc>
        <w:tc>
          <w:tcPr>
            <w:tcW w:w="2810" w:type="dxa"/>
            <w:vAlign w:val="center"/>
          </w:tcPr>
          <w:p w14:paraId="1472C572" w14:textId="77777777" w:rsidR="0093608E" w:rsidRPr="00881ECA" w:rsidRDefault="0093608E">
            <w:pPr>
              <w:pStyle w:val="TableText"/>
              <w:keepNext/>
              <w:jc w:val="center"/>
            </w:pPr>
            <w:r w:rsidRPr="00881ECA">
              <w:t>$643</w:t>
            </w:r>
          </w:p>
        </w:tc>
      </w:tr>
      <w:tr w:rsidR="007F0F4D" w:rsidRPr="00205340" w14:paraId="760CE03E" w14:textId="77777777">
        <w:tc>
          <w:tcPr>
            <w:tcW w:w="3397" w:type="dxa"/>
          </w:tcPr>
          <w:p w14:paraId="270D1CAE" w14:textId="77777777" w:rsidR="0093608E" w:rsidRPr="00205340" w:rsidRDefault="0093608E">
            <w:pPr>
              <w:pStyle w:val="TableText"/>
              <w:keepNext/>
            </w:pPr>
            <w:r w:rsidRPr="00205340">
              <w:t>Administration costs over two years</w:t>
            </w:r>
          </w:p>
        </w:tc>
        <w:tc>
          <w:tcPr>
            <w:tcW w:w="2809" w:type="dxa"/>
            <w:vAlign w:val="center"/>
          </w:tcPr>
          <w:p w14:paraId="3D120D49" w14:textId="77777777" w:rsidR="0093608E" w:rsidRPr="00881ECA" w:rsidRDefault="0093608E">
            <w:pPr>
              <w:pStyle w:val="TableText"/>
              <w:keepNext/>
              <w:jc w:val="center"/>
            </w:pPr>
            <w:r w:rsidRPr="00881ECA">
              <w:t>$0</w:t>
            </w:r>
          </w:p>
        </w:tc>
        <w:tc>
          <w:tcPr>
            <w:tcW w:w="2810" w:type="dxa"/>
            <w:vAlign w:val="center"/>
          </w:tcPr>
          <w:p w14:paraId="78948DB2" w14:textId="77777777" w:rsidR="0093608E" w:rsidRPr="00881ECA" w:rsidRDefault="0093608E">
            <w:pPr>
              <w:pStyle w:val="TableText"/>
              <w:keepNext/>
              <w:jc w:val="center"/>
            </w:pPr>
            <w:r w:rsidRPr="00881ECA">
              <w:t>$67,102</w:t>
            </w:r>
          </w:p>
        </w:tc>
      </w:tr>
      <w:tr w:rsidR="007F0F4D" w:rsidRPr="00205340" w14:paraId="293F9C28" w14:textId="77777777">
        <w:tc>
          <w:tcPr>
            <w:tcW w:w="3397" w:type="dxa"/>
          </w:tcPr>
          <w:p w14:paraId="6703B105" w14:textId="77777777" w:rsidR="0093608E" w:rsidRPr="00205340" w:rsidRDefault="0093608E">
            <w:pPr>
              <w:pStyle w:val="TableText"/>
              <w:keepNext/>
            </w:pPr>
            <w:r w:rsidRPr="00205340">
              <w:t>Marstacimab/factor costs over two years</w:t>
            </w:r>
          </w:p>
        </w:tc>
        <w:tc>
          <w:tcPr>
            <w:tcW w:w="2809" w:type="dxa"/>
            <w:vAlign w:val="center"/>
          </w:tcPr>
          <w:p w14:paraId="13AAE875" w14:textId="12561011" w:rsidR="0093608E" w:rsidRPr="00881ECA" w:rsidRDefault="0093608E">
            <w:pPr>
              <w:pStyle w:val="TableText"/>
              <w:keepNext/>
              <w:jc w:val="center"/>
            </w:pPr>
            <w:r w:rsidRPr="00881ECA">
              <w:t>$</w:t>
            </w:r>
            <w:r w:rsidR="00E14A90" w:rsidRPr="00881ECA">
              <w:rPr>
                <w:b/>
                <w:bCs/>
              </w:rPr>
              <w:t>redacted</w:t>
            </w:r>
          </w:p>
        </w:tc>
        <w:tc>
          <w:tcPr>
            <w:tcW w:w="2810" w:type="dxa"/>
            <w:vAlign w:val="center"/>
          </w:tcPr>
          <w:p w14:paraId="1EA4899A" w14:textId="77777777" w:rsidR="0093608E" w:rsidRPr="00881ECA" w:rsidRDefault="0093608E">
            <w:pPr>
              <w:pStyle w:val="TableText"/>
              <w:keepNext/>
              <w:jc w:val="center"/>
            </w:pPr>
            <w:r w:rsidRPr="00881ECA">
              <w:t>$310,663</w:t>
            </w:r>
          </w:p>
        </w:tc>
      </w:tr>
      <w:tr w:rsidR="007F0F4D" w:rsidRPr="00205340" w14:paraId="32261283" w14:textId="77777777">
        <w:tc>
          <w:tcPr>
            <w:tcW w:w="3397" w:type="dxa"/>
          </w:tcPr>
          <w:p w14:paraId="085681C0" w14:textId="77777777" w:rsidR="0093608E" w:rsidRPr="00205340" w:rsidRDefault="0093608E">
            <w:pPr>
              <w:pStyle w:val="TableText"/>
              <w:keepNext/>
            </w:pPr>
            <w:r w:rsidRPr="00205340">
              <w:t xml:space="preserve">Total cost in Year 1 </w:t>
            </w:r>
          </w:p>
        </w:tc>
        <w:tc>
          <w:tcPr>
            <w:tcW w:w="2809" w:type="dxa"/>
            <w:vAlign w:val="center"/>
          </w:tcPr>
          <w:p w14:paraId="79BC66B5" w14:textId="14B3FE06" w:rsidR="0093608E" w:rsidRPr="00881ECA" w:rsidRDefault="0093608E">
            <w:pPr>
              <w:pStyle w:val="TableText"/>
              <w:keepNext/>
              <w:jc w:val="center"/>
            </w:pPr>
            <w:r w:rsidRPr="00881ECA">
              <w:t>$</w:t>
            </w:r>
            <w:r w:rsidR="00E14A90" w:rsidRPr="00881ECA">
              <w:rPr>
                <w:b/>
                <w:bCs/>
              </w:rPr>
              <w:t>redacted</w:t>
            </w:r>
          </w:p>
        </w:tc>
        <w:tc>
          <w:tcPr>
            <w:tcW w:w="2810" w:type="dxa"/>
            <w:vAlign w:val="center"/>
          </w:tcPr>
          <w:p w14:paraId="4BBD244A" w14:textId="77777777" w:rsidR="0093608E" w:rsidRPr="00881ECA" w:rsidRDefault="0093608E">
            <w:pPr>
              <w:pStyle w:val="TableText"/>
              <w:keepNext/>
              <w:jc w:val="center"/>
            </w:pPr>
            <w:r w:rsidRPr="00881ECA">
              <w:t>$188,882</w:t>
            </w:r>
          </w:p>
        </w:tc>
      </w:tr>
      <w:tr w:rsidR="007F0F4D" w:rsidRPr="00205340" w14:paraId="6C82447F" w14:textId="77777777">
        <w:tc>
          <w:tcPr>
            <w:tcW w:w="3397" w:type="dxa"/>
          </w:tcPr>
          <w:p w14:paraId="79A0E714" w14:textId="77777777" w:rsidR="0093608E" w:rsidRPr="00205340" w:rsidRDefault="0093608E">
            <w:pPr>
              <w:pStyle w:val="TableText"/>
              <w:keepNext/>
            </w:pPr>
            <w:r w:rsidRPr="00205340">
              <w:t>Total cost in Year 2</w:t>
            </w:r>
          </w:p>
        </w:tc>
        <w:tc>
          <w:tcPr>
            <w:tcW w:w="2809" w:type="dxa"/>
            <w:vAlign w:val="center"/>
          </w:tcPr>
          <w:p w14:paraId="2CCDF303" w14:textId="1B4E7120" w:rsidR="0093608E" w:rsidRPr="00881ECA" w:rsidRDefault="0093608E">
            <w:pPr>
              <w:pStyle w:val="TableText"/>
              <w:keepNext/>
              <w:jc w:val="center"/>
            </w:pPr>
            <w:r w:rsidRPr="00881ECA">
              <w:t>$</w:t>
            </w:r>
            <w:r w:rsidR="00E14A90" w:rsidRPr="00881ECA">
              <w:rPr>
                <w:b/>
                <w:bCs/>
              </w:rPr>
              <w:t>redacted</w:t>
            </w:r>
          </w:p>
        </w:tc>
        <w:tc>
          <w:tcPr>
            <w:tcW w:w="2810" w:type="dxa"/>
            <w:vAlign w:val="center"/>
          </w:tcPr>
          <w:p w14:paraId="73F08098" w14:textId="77777777" w:rsidR="0093608E" w:rsidRPr="00881ECA" w:rsidRDefault="0093608E">
            <w:pPr>
              <w:pStyle w:val="TableText"/>
              <w:keepNext/>
              <w:jc w:val="center"/>
            </w:pPr>
            <w:r w:rsidRPr="00881ECA">
              <w:t>$188,882</w:t>
            </w:r>
          </w:p>
        </w:tc>
      </w:tr>
      <w:tr w:rsidR="007F0F4D" w:rsidRPr="00205340" w14:paraId="50B2AC5E" w14:textId="77777777">
        <w:tc>
          <w:tcPr>
            <w:tcW w:w="3397" w:type="dxa"/>
          </w:tcPr>
          <w:p w14:paraId="5C8AB0F3" w14:textId="77777777" w:rsidR="0093608E" w:rsidRPr="00205340" w:rsidRDefault="0093608E">
            <w:pPr>
              <w:pStyle w:val="TableText"/>
              <w:keepNext/>
            </w:pPr>
            <w:r w:rsidRPr="00205340">
              <w:t>Total cost over two years</w:t>
            </w:r>
          </w:p>
        </w:tc>
        <w:tc>
          <w:tcPr>
            <w:tcW w:w="2809" w:type="dxa"/>
            <w:vAlign w:val="center"/>
          </w:tcPr>
          <w:p w14:paraId="4FB33B02" w14:textId="6513C481" w:rsidR="0093608E" w:rsidRPr="00881ECA" w:rsidRDefault="0093608E">
            <w:pPr>
              <w:pStyle w:val="TableText"/>
              <w:keepNext/>
              <w:jc w:val="center"/>
            </w:pPr>
            <w:r w:rsidRPr="00881ECA">
              <w:t>$</w:t>
            </w:r>
            <w:r w:rsidR="00E14A90" w:rsidRPr="00881ECA">
              <w:rPr>
                <w:b/>
                <w:bCs/>
              </w:rPr>
              <w:t>redacted</w:t>
            </w:r>
          </w:p>
        </w:tc>
        <w:tc>
          <w:tcPr>
            <w:tcW w:w="2810" w:type="dxa"/>
            <w:vAlign w:val="center"/>
          </w:tcPr>
          <w:p w14:paraId="29EBA8AD" w14:textId="77777777" w:rsidR="0093608E" w:rsidRPr="00881ECA" w:rsidRDefault="0093608E">
            <w:pPr>
              <w:pStyle w:val="TableText"/>
              <w:keepNext/>
              <w:jc w:val="center"/>
            </w:pPr>
            <w:r w:rsidRPr="00881ECA">
              <w:t>$377,765</w:t>
            </w:r>
          </w:p>
        </w:tc>
      </w:tr>
    </w:tbl>
    <w:p w14:paraId="718B82D6" w14:textId="0F80610D" w:rsidR="0093608E" w:rsidRPr="00205340" w:rsidRDefault="0093608E" w:rsidP="0093608E">
      <w:pPr>
        <w:pStyle w:val="TableFigureFooter"/>
        <w:keepNext/>
        <w:spacing w:before="0"/>
        <w:contextualSpacing/>
      </w:pPr>
      <w:r w:rsidRPr="00205340">
        <w:t xml:space="preserve">Source: Constructed during the evaluation from </w:t>
      </w:r>
      <w:r w:rsidR="00D91B8E" w:rsidRPr="00205340">
        <w:t>the</w:t>
      </w:r>
      <w:r w:rsidRPr="00205340">
        <w:t xml:space="preserve"> “Economic inputs – marstacimab final” Excel workbook provided with the ADAR.</w:t>
      </w:r>
    </w:p>
    <w:p w14:paraId="10275324" w14:textId="7CD3C825" w:rsidR="0093608E" w:rsidRPr="00205340" w:rsidRDefault="0093608E" w:rsidP="0093608E">
      <w:pPr>
        <w:pStyle w:val="TableFigureFooter"/>
        <w:keepNext/>
        <w:spacing w:before="0"/>
        <w:contextualSpacing/>
      </w:pPr>
      <w:r w:rsidRPr="00205340">
        <w:t>ADAR = Applicant Developed Assessment Report; CMA = cost-minimisation approach; CSR = clinical study report;</w:t>
      </w:r>
      <w:r w:rsidR="0009552E" w:rsidRPr="00205340">
        <w:t xml:space="preserve"> EHL = extended </w:t>
      </w:r>
      <w:proofErr w:type="spellStart"/>
      <w:r w:rsidR="0009552E" w:rsidRPr="00205340">
        <w:t>half life</w:t>
      </w:r>
      <w:proofErr w:type="spellEnd"/>
      <w:r w:rsidR="0009552E" w:rsidRPr="00205340">
        <w:t>;</w:t>
      </w:r>
      <w:r w:rsidRPr="00205340">
        <w:t xml:space="preserve"> PI = product information</w:t>
      </w:r>
    </w:p>
    <w:p w14:paraId="4FAD483F" w14:textId="77777777" w:rsidR="0093608E" w:rsidRPr="00205340" w:rsidRDefault="0093608E" w:rsidP="0093608E">
      <w:pPr>
        <w:pStyle w:val="TableFigureFooter"/>
        <w:keepNext/>
        <w:spacing w:before="0"/>
        <w:contextualSpacing/>
      </w:pPr>
      <w:proofErr w:type="spellStart"/>
      <w:r w:rsidRPr="00205340">
        <w:rPr>
          <w:vertAlign w:val="superscript"/>
        </w:rPr>
        <w:t>a</w:t>
      </w:r>
      <w:proofErr w:type="spellEnd"/>
      <w:r w:rsidRPr="00205340">
        <w:rPr>
          <w:vertAlign w:val="superscript"/>
        </w:rPr>
        <w:t xml:space="preserve"> </w:t>
      </w:r>
      <w:r w:rsidRPr="00205340">
        <w:t xml:space="preserve">The ADAR assumed 4.7% of patients had a dose escalation of 300 mg and the remaining 95.2% had the standard 150 mg dose. </w:t>
      </w:r>
    </w:p>
    <w:p w14:paraId="45B96D42" w14:textId="77777777" w:rsidR="0093608E" w:rsidRPr="00205340" w:rsidRDefault="0093608E" w:rsidP="0093608E">
      <w:pPr>
        <w:pStyle w:val="TableFigureFooter"/>
        <w:spacing w:before="0"/>
        <w:contextualSpacing/>
      </w:pPr>
      <w:r w:rsidRPr="00205340">
        <w:rPr>
          <w:vertAlign w:val="superscript"/>
        </w:rPr>
        <w:t xml:space="preserve">b </w:t>
      </w:r>
      <w:r w:rsidRPr="00205340">
        <w:t>Average weight of 79 kg multiplied by real world utilisation dose of (2,876 IU/kg/year)/52 administrations per year.</w:t>
      </w:r>
    </w:p>
    <w:p w14:paraId="75A144AE" w14:textId="77777777" w:rsidR="0093608E" w:rsidRPr="00205340" w:rsidRDefault="0093608E" w:rsidP="0093608E">
      <w:pPr>
        <w:pStyle w:val="TableFigureFooter"/>
        <w:spacing w:before="0"/>
        <w:contextualSpacing/>
        <w:rPr>
          <w:i/>
          <w:iCs/>
        </w:rPr>
      </w:pPr>
      <w:r w:rsidRPr="00205340">
        <w:rPr>
          <w:vertAlign w:val="superscript"/>
        </w:rPr>
        <w:t xml:space="preserve">c </w:t>
      </w:r>
      <w:r w:rsidRPr="00205340">
        <w:t>Compliance already captured in real world utilisation data.</w:t>
      </w:r>
    </w:p>
    <w:p w14:paraId="46D4C0E5" w14:textId="14BC18E2" w:rsidR="0093608E" w:rsidRPr="00205340" w:rsidRDefault="0093608E" w:rsidP="0093608E">
      <w:r w:rsidRPr="00205340">
        <w:t xml:space="preserve">The main area of uncertainty associated with the HMB CMA relates to the dosing of EHL prophylaxis given that it is tailored to individual patients’ clinical response. </w:t>
      </w:r>
      <w:bookmarkStart w:id="58" w:name="_Hlk215566045"/>
      <w:r w:rsidRPr="00205340">
        <w:t xml:space="preserve">The Commentary has used the average dose per kg per year reported in the ABDR data provided by the ADAR for </w:t>
      </w:r>
      <w:r w:rsidR="0081299E" w:rsidRPr="00205340">
        <w:t xml:space="preserve">patients with </w:t>
      </w:r>
      <w:r w:rsidRPr="00205340">
        <w:t xml:space="preserve">severe HMB aged 12 or older undergoing prophylaxis (2,876 IU/kg/year, 55 IU/kg/week). This is assumed to include treatment compliance. A limitation of this source is that it likely includes both SHL and EHL use. However, given this data was collected in June 2024, it may be reasonable to assume </w:t>
      </w:r>
      <w:proofErr w:type="gramStart"/>
      <w:r w:rsidRPr="00205340">
        <w:t>the vast majority of</w:t>
      </w:r>
      <w:proofErr w:type="gramEnd"/>
      <w:r w:rsidRPr="00205340">
        <w:t xml:space="preserve"> these patients are using EHLs (as it is assumed in the ADAR’s CUA). It is also likely that this dose may be overestimated as it includes additional factor use for breakthrough bleeds, however this impact is also likely to be minimal.</w:t>
      </w:r>
    </w:p>
    <w:p w14:paraId="6AF8EA6E" w14:textId="319A0F56" w:rsidR="0093608E" w:rsidRPr="00205340" w:rsidRDefault="0093608E" w:rsidP="0093608E">
      <w:r w:rsidRPr="00205340">
        <w:t>An alternative dosing estimate sourced from Brennan et al. (2020)</w:t>
      </w:r>
      <w:r w:rsidR="00F80C9A" w:rsidRPr="00205340">
        <w:fldChar w:fldCharType="begin"/>
      </w:r>
      <w:r w:rsidR="00F80C9A" w:rsidRPr="00205340">
        <w:instrText xml:space="preserve"> NOTEREF _Ref215664782 \f \h </w:instrText>
      </w:r>
      <w:r w:rsidR="00205340">
        <w:instrText xml:space="preserve"> \* MERGEFORMAT </w:instrText>
      </w:r>
      <w:r w:rsidR="00F80C9A" w:rsidRPr="00205340">
        <w:fldChar w:fldCharType="separate"/>
      </w:r>
      <w:r w:rsidR="00F80C9A" w:rsidRPr="00205340">
        <w:rPr>
          <w:rStyle w:val="FootnoteReference"/>
        </w:rPr>
        <w:t>2</w:t>
      </w:r>
      <w:r w:rsidR="00F80C9A" w:rsidRPr="00205340">
        <w:fldChar w:fldCharType="end"/>
      </w:r>
      <w:r w:rsidRPr="00205340">
        <w:t xml:space="preserve"> (51.4 IU/kg/week) has been tested in sensitivity analyses</w:t>
      </w:r>
      <w:r w:rsidR="00F80C9A" w:rsidRPr="00205340">
        <w:t xml:space="preserve"> (</w:t>
      </w:r>
      <w:r w:rsidR="00F04910" w:rsidRPr="00205340">
        <w:fldChar w:fldCharType="begin" w:fldLock="1"/>
      </w:r>
      <w:r w:rsidR="00F04910" w:rsidRPr="00205340">
        <w:instrText xml:space="preserve"> REF _Ref227157125 \h </w:instrText>
      </w:r>
      <w:r w:rsidR="00205340">
        <w:instrText xml:space="preserve"> \* MERGEFORMAT </w:instrText>
      </w:r>
      <w:r w:rsidR="00F04910" w:rsidRPr="00205340">
        <w:fldChar w:fldCharType="separate"/>
      </w:r>
      <w:r w:rsidR="00F04910" w:rsidRPr="00205340">
        <w:t xml:space="preserve">Table </w:t>
      </w:r>
      <w:r w:rsidR="00F04910" w:rsidRPr="00205340">
        <w:rPr>
          <w:noProof/>
        </w:rPr>
        <w:t>18</w:t>
      </w:r>
      <w:r w:rsidR="00F04910" w:rsidRPr="00205340">
        <w:fldChar w:fldCharType="end"/>
      </w:r>
      <w:r w:rsidR="00F80C9A" w:rsidRPr="00205340">
        <w:t>)</w:t>
      </w:r>
      <w:r w:rsidRPr="00205340">
        <w:t>. This estimate is also derived from the A</w:t>
      </w:r>
      <w:r w:rsidR="00480B7D" w:rsidRPr="00205340">
        <w:t>BD</w:t>
      </w:r>
      <w:r w:rsidRPr="00205340">
        <w:t>R database and includes only EHL usage, however only 83% of the study population had severe HMB and 7% were receiving on demand therapy as opposed to prophylaxis.</w:t>
      </w:r>
    </w:p>
    <w:bookmarkEnd w:id="58"/>
    <w:p w14:paraId="2E101B21" w14:textId="77777777" w:rsidR="00FD2B8B" w:rsidRPr="00205340" w:rsidRDefault="0093608E" w:rsidP="0093608E">
      <w:proofErr w:type="gramStart"/>
      <w:r w:rsidRPr="00205340">
        <w:t>Similar to</w:t>
      </w:r>
      <w:proofErr w:type="gramEnd"/>
      <w:r w:rsidRPr="00205340">
        <w:t xml:space="preserve"> the HMA CMA, the proportion of marstacimab patients with dose escalations is also an area of uncertainty which has been tested in sensitivity analyses. </w:t>
      </w:r>
    </w:p>
    <w:p w14:paraId="6A46649C" w14:textId="7E4B27B0" w:rsidR="0093608E" w:rsidRPr="00205340" w:rsidRDefault="00D91B8E" w:rsidP="0093608E">
      <w:r w:rsidRPr="00205340">
        <w:lastRenderedPageBreak/>
        <w:t>In line</w:t>
      </w:r>
      <w:r w:rsidR="0093608E" w:rsidRPr="00205340">
        <w:t xml:space="preserve"> with the CUA, the Commentary assumed the cost of factor administration was based on a consultation with a haematologist (non-admitted code 20.10), however</w:t>
      </w:r>
      <w:r w:rsidR="00232F98" w:rsidRPr="00205340">
        <w:t xml:space="preserve"> </w:t>
      </w:r>
      <w:r w:rsidR="00CF309C" w:rsidRPr="00205340">
        <w:t xml:space="preserve">a considerable portion of this cost ($291) was noted to be direct pharmacy costs, which may not apply given that factor product has been accounted for separately. Additionally, administration </w:t>
      </w:r>
      <w:r w:rsidR="00CA0754" w:rsidRPr="00205340">
        <w:t xml:space="preserve">may </w:t>
      </w:r>
      <w:r w:rsidR="0093608E" w:rsidRPr="00205340">
        <w:t xml:space="preserve">also be conducted under the guidance of a haematology clinical nurse specialist (non-admitted code </w:t>
      </w:r>
      <w:r w:rsidR="00D17981" w:rsidRPr="00205340">
        <w:t>4</w:t>
      </w:r>
      <w:r w:rsidR="0093608E" w:rsidRPr="00205340">
        <w:t>0.48)</w:t>
      </w:r>
      <w:r w:rsidR="00232F98" w:rsidRPr="00205340">
        <w:t xml:space="preserve"> or be self-administered</w:t>
      </w:r>
      <w:r w:rsidR="0093608E" w:rsidRPr="00205340">
        <w:t>. This was tested in sensitivity analyses (</w:t>
      </w:r>
      <w:r w:rsidR="00F04910" w:rsidRPr="00205340">
        <w:fldChar w:fldCharType="begin" w:fldLock="1"/>
      </w:r>
      <w:r w:rsidR="00F04910" w:rsidRPr="00205340">
        <w:instrText xml:space="preserve"> REF _Ref227157125 \h </w:instrText>
      </w:r>
      <w:r w:rsidR="00205340">
        <w:instrText xml:space="preserve"> \* MERGEFORMAT </w:instrText>
      </w:r>
      <w:r w:rsidR="00F04910" w:rsidRPr="00205340">
        <w:fldChar w:fldCharType="separate"/>
      </w:r>
      <w:r w:rsidR="00F04910" w:rsidRPr="00205340">
        <w:t xml:space="preserve">Table </w:t>
      </w:r>
      <w:r w:rsidR="00F04910" w:rsidRPr="00205340">
        <w:rPr>
          <w:noProof/>
        </w:rPr>
        <w:t>18</w:t>
      </w:r>
      <w:r w:rsidR="00F04910" w:rsidRPr="00205340">
        <w:fldChar w:fldCharType="end"/>
      </w:r>
      <w:r w:rsidR="0093608E" w:rsidRPr="00205340">
        <w:t xml:space="preserve">). </w:t>
      </w:r>
    </w:p>
    <w:p w14:paraId="298EAF2E" w14:textId="243E75CA" w:rsidR="0093608E" w:rsidRPr="00205340" w:rsidRDefault="0093608E" w:rsidP="0093608E">
      <w:r w:rsidRPr="00205340">
        <w:t>Sensitivity analyses conducted on the HMB CMA are presented in</w:t>
      </w:r>
      <w:r w:rsidR="00F04910" w:rsidRPr="00205340">
        <w:t xml:space="preserve"> </w:t>
      </w:r>
      <w:r w:rsidR="00F04910" w:rsidRPr="00205340">
        <w:fldChar w:fldCharType="begin" w:fldLock="1"/>
      </w:r>
      <w:r w:rsidR="00F04910" w:rsidRPr="00205340">
        <w:instrText xml:space="preserve"> REF _Ref227157125 \h </w:instrText>
      </w:r>
      <w:r w:rsidR="00205340">
        <w:instrText xml:space="preserve"> \* MERGEFORMAT </w:instrText>
      </w:r>
      <w:r w:rsidR="00F04910" w:rsidRPr="00205340">
        <w:fldChar w:fldCharType="separate"/>
      </w:r>
      <w:r w:rsidR="00F04910" w:rsidRPr="00205340">
        <w:t xml:space="preserve">Table </w:t>
      </w:r>
      <w:r w:rsidR="00F04910" w:rsidRPr="00205340">
        <w:rPr>
          <w:noProof/>
        </w:rPr>
        <w:t>18</w:t>
      </w:r>
      <w:r w:rsidR="00F04910" w:rsidRPr="00205340">
        <w:fldChar w:fldCharType="end"/>
      </w:r>
      <w:r w:rsidR="00D91B8E" w:rsidRPr="00205340">
        <w:t xml:space="preserve">. </w:t>
      </w:r>
    </w:p>
    <w:p w14:paraId="223C3311" w14:textId="2C3ACE47" w:rsidR="00F04910" w:rsidRPr="00205340" w:rsidRDefault="00F04910" w:rsidP="00F04910">
      <w:pPr>
        <w:pStyle w:val="Caption"/>
      </w:pPr>
      <w:bookmarkStart w:id="59" w:name="_Ref227157125"/>
      <w:r w:rsidRPr="00205340">
        <w:t xml:space="preserve">Table </w:t>
      </w:r>
      <w:fldSimple w:instr=" SEQ Table \* ARABIC ">
        <w:r w:rsidR="002C6A9B" w:rsidRPr="00205340">
          <w:rPr>
            <w:noProof/>
          </w:rPr>
          <w:t>18</w:t>
        </w:r>
      </w:fldSimple>
      <w:bookmarkEnd w:id="59"/>
      <w:r w:rsidRPr="00205340">
        <w:t xml:space="preserve"> Sensitivity analyses conducted on the HMB CMA</w:t>
      </w:r>
    </w:p>
    <w:tbl>
      <w:tblPr>
        <w:tblStyle w:val="TableGrid"/>
        <w:tblW w:w="9016" w:type="dxa"/>
        <w:tblLook w:val="04A0" w:firstRow="1" w:lastRow="0" w:firstColumn="1" w:lastColumn="0" w:noHBand="0" w:noVBand="1"/>
      </w:tblPr>
      <w:tblGrid>
        <w:gridCol w:w="3705"/>
        <w:gridCol w:w="1219"/>
        <w:gridCol w:w="901"/>
        <w:gridCol w:w="1818"/>
        <w:gridCol w:w="1373"/>
      </w:tblGrid>
      <w:tr w:rsidR="00D94D37" w:rsidRPr="00205340" w14:paraId="75320B7D" w14:textId="661FA1E0" w:rsidTr="00454CED">
        <w:tc>
          <w:tcPr>
            <w:tcW w:w="3705" w:type="dxa"/>
            <w:vMerge w:val="restart"/>
            <w:vAlign w:val="center"/>
          </w:tcPr>
          <w:p w14:paraId="68A2810E" w14:textId="77777777" w:rsidR="00CF309C" w:rsidRPr="00205340" w:rsidRDefault="00CF309C">
            <w:pPr>
              <w:pStyle w:val="TableText"/>
              <w:keepNext/>
              <w:jc w:val="center"/>
              <w:rPr>
                <w:b/>
                <w:bCs/>
              </w:rPr>
            </w:pPr>
            <w:r w:rsidRPr="00205340">
              <w:rPr>
                <w:b/>
                <w:bCs/>
              </w:rPr>
              <w:t>Analyses</w:t>
            </w:r>
          </w:p>
        </w:tc>
        <w:tc>
          <w:tcPr>
            <w:tcW w:w="2120" w:type="dxa"/>
            <w:gridSpan w:val="2"/>
            <w:vAlign w:val="center"/>
          </w:tcPr>
          <w:p w14:paraId="3D3DF491" w14:textId="77777777" w:rsidR="00CF309C" w:rsidRPr="00205340" w:rsidRDefault="00CF309C">
            <w:pPr>
              <w:pStyle w:val="TableText"/>
              <w:keepNext/>
              <w:jc w:val="center"/>
              <w:rPr>
                <w:b/>
                <w:bCs/>
              </w:rPr>
            </w:pPr>
            <w:r w:rsidRPr="00205340">
              <w:rPr>
                <w:b/>
                <w:bCs/>
              </w:rPr>
              <w:t>Cost over two years</w:t>
            </w:r>
          </w:p>
        </w:tc>
        <w:tc>
          <w:tcPr>
            <w:tcW w:w="1818" w:type="dxa"/>
            <w:vMerge w:val="restart"/>
            <w:vAlign w:val="center"/>
          </w:tcPr>
          <w:p w14:paraId="0CDC2988" w14:textId="77777777" w:rsidR="00CF309C" w:rsidRPr="00205340" w:rsidRDefault="00CF309C">
            <w:pPr>
              <w:pStyle w:val="TableText"/>
              <w:keepNext/>
              <w:jc w:val="center"/>
              <w:rPr>
                <w:b/>
                <w:bCs/>
              </w:rPr>
            </w:pPr>
            <w:r w:rsidRPr="00205340">
              <w:rPr>
                <w:b/>
                <w:bCs/>
              </w:rPr>
              <w:t>Absolute price difference (Marstacimab – EHL cost)</w:t>
            </w:r>
          </w:p>
        </w:tc>
        <w:tc>
          <w:tcPr>
            <w:tcW w:w="1373" w:type="dxa"/>
            <w:vMerge w:val="restart"/>
          </w:tcPr>
          <w:p w14:paraId="6691F9F8" w14:textId="477F209A" w:rsidR="00CF309C" w:rsidRPr="00205340" w:rsidRDefault="00CF309C">
            <w:pPr>
              <w:pStyle w:val="TableText"/>
              <w:keepNext/>
              <w:jc w:val="center"/>
              <w:rPr>
                <w:b/>
                <w:bCs/>
              </w:rPr>
            </w:pPr>
            <w:r w:rsidRPr="00205340">
              <w:rPr>
                <w:b/>
                <w:bCs/>
              </w:rPr>
              <w:t>% Change</w:t>
            </w:r>
          </w:p>
        </w:tc>
      </w:tr>
      <w:tr w:rsidR="004D521D" w:rsidRPr="00205340" w14:paraId="42E9FE73" w14:textId="092F9901" w:rsidTr="00454CED">
        <w:tc>
          <w:tcPr>
            <w:tcW w:w="3705" w:type="dxa"/>
            <w:vMerge/>
          </w:tcPr>
          <w:p w14:paraId="1BEFA662" w14:textId="77777777" w:rsidR="00CF309C" w:rsidRPr="00205340" w:rsidRDefault="00CF309C">
            <w:pPr>
              <w:pStyle w:val="TableText"/>
              <w:keepNext/>
            </w:pPr>
          </w:p>
        </w:tc>
        <w:tc>
          <w:tcPr>
            <w:tcW w:w="1219" w:type="dxa"/>
            <w:vAlign w:val="center"/>
          </w:tcPr>
          <w:p w14:paraId="53CECDB3" w14:textId="77777777" w:rsidR="00CF309C" w:rsidRPr="00205340" w:rsidRDefault="00CF309C">
            <w:pPr>
              <w:pStyle w:val="TableText"/>
              <w:keepNext/>
              <w:jc w:val="center"/>
              <w:rPr>
                <w:b/>
                <w:bCs/>
              </w:rPr>
            </w:pPr>
            <w:r w:rsidRPr="00205340">
              <w:rPr>
                <w:b/>
                <w:bCs/>
              </w:rPr>
              <w:t>Marstacimab</w:t>
            </w:r>
          </w:p>
        </w:tc>
        <w:tc>
          <w:tcPr>
            <w:tcW w:w="901" w:type="dxa"/>
            <w:vAlign w:val="center"/>
          </w:tcPr>
          <w:p w14:paraId="3FB62C89" w14:textId="77777777" w:rsidR="00CF309C" w:rsidRPr="00205340" w:rsidRDefault="00CF309C">
            <w:pPr>
              <w:pStyle w:val="TableText"/>
              <w:keepNext/>
              <w:jc w:val="center"/>
              <w:rPr>
                <w:b/>
                <w:bCs/>
              </w:rPr>
            </w:pPr>
            <w:r w:rsidRPr="00205340">
              <w:rPr>
                <w:b/>
                <w:bCs/>
              </w:rPr>
              <w:t>EHL</w:t>
            </w:r>
          </w:p>
        </w:tc>
        <w:tc>
          <w:tcPr>
            <w:tcW w:w="1818" w:type="dxa"/>
            <w:vMerge/>
            <w:vAlign w:val="center"/>
          </w:tcPr>
          <w:p w14:paraId="4AD75BCF" w14:textId="77777777" w:rsidR="00CF309C" w:rsidRPr="00205340" w:rsidRDefault="00CF309C">
            <w:pPr>
              <w:pStyle w:val="TableText"/>
              <w:keepNext/>
              <w:jc w:val="center"/>
            </w:pPr>
          </w:p>
        </w:tc>
        <w:tc>
          <w:tcPr>
            <w:tcW w:w="1373" w:type="dxa"/>
            <w:vMerge/>
          </w:tcPr>
          <w:p w14:paraId="020D8326" w14:textId="77777777" w:rsidR="00CF309C" w:rsidRPr="00205340" w:rsidRDefault="00CF309C">
            <w:pPr>
              <w:pStyle w:val="TableText"/>
              <w:keepNext/>
              <w:jc w:val="center"/>
            </w:pPr>
          </w:p>
        </w:tc>
      </w:tr>
      <w:tr w:rsidR="004D521D" w:rsidRPr="00205340" w14:paraId="5F03E8C5" w14:textId="5B6CFCBB" w:rsidTr="000153D7">
        <w:tc>
          <w:tcPr>
            <w:tcW w:w="3705" w:type="dxa"/>
          </w:tcPr>
          <w:p w14:paraId="25D34AFC" w14:textId="77777777" w:rsidR="00CF309C" w:rsidRPr="00205340" w:rsidRDefault="00CF309C">
            <w:pPr>
              <w:pStyle w:val="TableText"/>
              <w:keepNext/>
              <w:rPr>
                <w:b/>
                <w:bCs/>
              </w:rPr>
            </w:pPr>
            <w:r w:rsidRPr="00205340">
              <w:rPr>
                <w:b/>
                <w:bCs/>
              </w:rPr>
              <w:t>Base case</w:t>
            </w:r>
          </w:p>
        </w:tc>
        <w:tc>
          <w:tcPr>
            <w:tcW w:w="1219" w:type="dxa"/>
            <w:vAlign w:val="center"/>
          </w:tcPr>
          <w:p w14:paraId="35F06AC8" w14:textId="750C4EEB" w:rsidR="00CF309C" w:rsidRPr="00881ECA" w:rsidRDefault="00CF309C">
            <w:pPr>
              <w:pStyle w:val="TableText"/>
              <w:keepNext/>
              <w:jc w:val="center"/>
            </w:pPr>
            <w:r w:rsidRPr="00881ECA">
              <w:t>$</w:t>
            </w:r>
            <w:r w:rsidR="00463F00" w:rsidRPr="00881ECA">
              <w:rPr>
                <w:b/>
                <w:bCs/>
              </w:rPr>
              <w:t>redacted</w:t>
            </w:r>
          </w:p>
        </w:tc>
        <w:tc>
          <w:tcPr>
            <w:tcW w:w="901" w:type="dxa"/>
            <w:vAlign w:val="center"/>
          </w:tcPr>
          <w:p w14:paraId="633D4E33" w14:textId="77777777" w:rsidR="00CF309C" w:rsidRPr="00881ECA" w:rsidRDefault="00CF309C">
            <w:pPr>
              <w:pStyle w:val="TableText"/>
              <w:keepNext/>
              <w:jc w:val="center"/>
            </w:pPr>
            <w:r w:rsidRPr="00881ECA">
              <w:t>$377,765</w:t>
            </w:r>
          </w:p>
        </w:tc>
        <w:tc>
          <w:tcPr>
            <w:tcW w:w="1818" w:type="dxa"/>
            <w:vAlign w:val="center"/>
          </w:tcPr>
          <w:p w14:paraId="41EDE8AC" w14:textId="73EE5D1D" w:rsidR="00CF309C" w:rsidRPr="00881ECA" w:rsidRDefault="00CF309C">
            <w:pPr>
              <w:pStyle w:val="TableText"/>
              <w:keepNext/>
              <w:jc w:val="center"/>
            </w:pPr>
            <w:r w:rsidRPr="00881ECA">
              <w:t>$</w:t>
            </w:r>
            <w:r w:rsidR="00463F00" w:rsidRPr="00881ECA">
              <w:rPr>
                <w:b/>
                <w:bCs/>
              </w:rPr>
              <w:t>redacted</w:t>
            </w:r>
          </w:p>
        </w:tc>
        <w:tc>
          <w:tcPr>
            <w:tcW w:w="1373" w:type="dxa"/>
            <w:vAlign w:val="center"/>
          </w:tcPr>
          <w:p w14:paraId="7F28670D" w14:textId="72830569" w:rsidR="00CF309C" w:rsidRPr="00205340" w:rsidRDefault="006B2A0C" w:rsidP="006B2A0C">
            <w:pPr>
              <w:pStyle w:val="TableText"/>
              <w:keepNext/>
              <w:jc w:val="center"/>
            </w:pPr>
            <w:r w:rsidRPr="00205340">
              <w:t>0%</w:t>
            </w:r>
          </w:p>
        </w:tc>
      </w:tr>
      <w:tr w:rsidR="006B2A0C" w:rsidRPr="00205340" w14:paraId="5CFEB862" w14:textId="4C065BC0" w:rsidTr="00454CED">
        <w:tc>
          <w:tcPr>
            <w:tcW w:w="9016" w:type="dxa"/>
            <w:gridSpan w:val="5"/>
            <w:vAlign w:val="center"/>
          </w:tcPr>
          <w:p w14:paraId="2AFAC2AC" w14:textId="7747998E" w:rsidR="006B2A0C" w:rsidRPr="00881ECA" w:rsidRDefault="006B2A0C">
            <w:pPr>
              <w:pStyle w:val="TableText"/>
              <w:keepNext/>
            </w:pPr>
            <w:r w:rsidRPr="00881ECA">
              <w:t>Average weight (base case: 79.2kg, HMB patients in ABDR report)</w:t>
            </w:r>
          </w:p>
        </w:tc>
      </w:tr>
      <w:tr w:rsidR="004D521D" w:rsidRPr="00205340" w14:paraId="10D1E6C2" w14:textId="710B05DE" w:rsidTr="000153D7">
        <w:tc>
          <w:tcPr>
            <w:tcW w:w="3705" w:type="dxa"/>
          </w:tcPr>
          <w:p w14:paraId="32F47E70" w14:textId="77777777" w:rsidR="00CF309C" w:rsidRPr="00205340" w:rsidRDefault="00CF309C" w:rsidP="005C116D">
            <w:pPr>
              <w:pStyle w:val="TableText"/>
              <w:keepNext/>
              <w:numPr>
                <w:ilvl w:val="0"/>
                <w:numId w:val="16"/>
              </w:numPr>
            </w:pPr>
            <w:r w:rsidRPr="00205340">
              <w:t>75 kg</w:t>
            </w:r>
          </w:p>
        </w:tc>
        <w:tc>
          <w:tcPr>
            <w:tcW w:w="1219" w:type="dxa"/>
            <w:vAlign w:val="center"/>
          </w:tcPr>
          <w:p w14:paraId="68A36BAC" w14:textId="16F4D28D" w:rsidR="00CF309C" w:rsidRPr="00881ECA" w:rsidRDefault="00CF309C">
            <w:pPr>
              <w:pStyle w:val="TableText"/>
              <w:keepNext/>
              <w:jc w:val="center"/>
            </w:pPr>
            <w:r w:rsidRPr="00881ECA">
              <w:t>$</w:t>
            </w:r>
            <w:r w:rsidR="00463F00" w:rsidRPr="00881ECA">
              <w:rPr>
                <w:b/>
                <w:bCs/>
              </w:rPr>
              <w:t>redacted</w:t>
            </w:r>
          </w:p>
        </w:tc>
        <w:tc>
          <w:tcPr>
            <w:tcW w:w="901" w:type="dxa"/>
            <w:vAlign w:val="center"/>
          </w:tcPr>
          <w:p w14:paraId="60668F48" w14:textId="77777777" w:rsidR="00CF309C" w:rsidRPr="00881ECA" w:rsidRDefault="00CF309C">
            <w:pPr>
              <w:pStyle w:val="TableText"/>
              <w:keepNext/>
              <w:jc w:val="center"/>
            </w:pPr>
            <w:r w:rsidRPr="00881ECA">
              <w:t>$361,461</w:t>
            </w:r>
          </w:p>
        </w:tc>
        <w:tc>
          <w:tcPr>
            <w:tcW w:w="1818" w:type="dxa"/>
            <w:vAlign w:val="center"/>
          </w:tcPr>
          <w:p w14:paraId="5993A947" w14:textId="1DF01BBE" w:rsidR="00CF309C" w:rsidRPr="00881ECA" w:rsidRDefault="00CF309C">
            <w:pPr>
              <w:pStyle w:val="TableText"/>
              <w:keepNext/>
              <w:jc w:val="center"/>
            </w:pPr>
            <w:r w:rsidRPr="00881ECA">
              <w:t>$</w:t>
            </w:r>
            <w:r w:rsidR="00463F00" w:rsidRPr="00881ECA">
              <w:rPr>
                <w:b/>
                <w:bCs/>
              </w:rPr>
              <w:t>redacted</w:t>
            </w:r>
          </w:p>
        </w:tc>
        <w:tc>
          <w:tcPr>
            <w:tcW w:w="1373" w:type="dxa"/>
            <w:vAlign w:val="center"/>
          </w:tcPr>
          <w:p w14:paraId="4EECF721" w14:textId="75EB230C" w:rsidR="00CF309C" w:rsidRPr="00205340" w:rsidRDefault="006B2A0C" w:rsidP="006B2A0C">
            <w:pPr>
              <w:pStyle w:val="TableText"/>
              <w:keepNext/>
              <w:jc w:val="center"/>
            </w:pPr>
            <w:r w:rsidRPr="00205340">
              <w:t>20%</w:t>
            </w:r>
          </w:p>
        </w:tc>
      </w:tr>
      <w:tr w:rsidR="006B2A0C" w:rsidRPr="00205340" w14:paraId="70EFD80E" w14:textId="73D192F6" w:rsidTr="00454CED">
        <w:tc>
          <w:tcPr>
            <w:tcW w:w="9016" w:type="dxa"/>
            <w:gridSpan w:val="5"/>
            <w:vAlign w:val="center"/>
          </w:tcPr>
          <w:p w14:paraId="49FFEFBD" w14:textId="75ED0592" w:rsidR="006B2A0C" w:rsidRPr="00881ECA" w:rsidRDefault="006B2A0C">
            <w:pPr>
              <w:pStyle w:val="TableText"/>
              <w:keepNext/>
            </w:pPr>
            <w:r w:rsidRPr="00881ECA">
              <w:t>Proportion of marstacimab patients receiving dose escalations (base case: 4.7%)</w:t>
            </w:r>
          </w:p>
        </w:tc>
      </w:tr>
      <w:tr w:rsidR="004D521D" w:rsidRPr="00205340" w14:paraId="66C239AB" w14:textId="7A9CEF9C" w:rsidTr="000153D7">
        <w:tc>
          <w:tcPr>
            <w:tcW w:w="3705" w:type="dxa"/>
          </w:tcPr>
          <w:p w14:paraId="3C4073EB" w14:textId="77777777" w:rsidR="00CF309C" w:rsidRPr="00205340" w:rsidRDefault="00CF309C" w:rsidP="005C116D">
            <w:pPr>
              <w:pStyle w:val="TableText"/>
              <w:keepNext/>
              <w:numPr>
                <w:ilvl w:val="0"/>
                <w:numId w:val="15"/>
              </w:numPr>
            </w:pPr>
            <w:r w:rsidRPr="00205340">
              <w:t>13.9% (BASIS LTE CSR)</w:t>
            </w:r>
          </w:p>
        </w:tc>
        <w:tc>
          <w:tcPr>
            <w:tcW w:w="1219" w:type="dxa"/>
            <w:vAlign w:val="center"/>
          </w:tcPr>
          <w:p w14:paraId="0FABC854" w14:textId="60EA68E8" w:rsidR="00CF309C" w:rsidRPr="00881ECA" w:rsidRDefault="00CF309C">
            <w:pPr>
              <w:pStyle w:val="TableText"/>
              <w:keepNext/>
              <w:jc w:val="center"/>
            </w:pPr>
            <w:r w:rsidRPr="00881ECA">
              <w:t>$</w:t>
            </w:r>
            <w:r w:rsidR="00463F00" w:rsidRPr="00881ECA">
              <w:rPr>
                <w:b/>
                <w:bCs/>
              </w:rPr>
              <w:t>redacted</w:t>
            </w:r>
          </w:p>
        </w:tc>
        <w:tc>
          <w:tcPr>
            <w:tcW w:w="901" w:type="dxa"/>
            <w:vAlign w:val="center"/>
          </w:tcPr>
          <w:p w14:paraId="4C30FCB5" w14:textId="77777777" w:rsidR="00CF309C" w:rsidRPr="00881ECA" w:rsidRDefault="00CF309C">
            <w:pPr>
              <w:pStyle w:val="TableText"/>
              <w:keepNext/>
              <w:jc w:val="center"/>
            </w:pPr>
            <w:r w:rsidRPr="00881ECA">
              <w:t>$377,765</w:t>
            </w:r>
          </w:p>
        </w:tc>
        <w:tc>
          <w:tcPr>
            <w:tcW w:w="1818" w:type="dxa"/>
            <w:vAlign w:val="center"/>
          </w:tcPr>
          <w:p w14:paraId="0E5B7C74" w14:textId="2B484CD8" w:rsidR="00CF309C" w:rsidRPr="00881ECA" w:rsidRDefault="00CF309C">
            <w:pPr>
              <w:pStyle w:val="TableText"/>
              <w:keepNext/>
              <w:jc w:val="center"/>
            </w:pPr>
            <w:r w:rsidRPr="00881ECA">
              <w:t>$</w:t>
            </w:r>
            <w:r w:rsidR="00463F00" w:rsidRPr="00881ECA">
              <w:rPr>
                <w:b/>
                <w:bCs/>
              </w:rPr>
              <w:t>redacted</w:t>
            </w:r>
          </w:p>
        </w:tc>
        <w:tc>
          <w:tcPr>
            <w:tcW w:w="1373" w:type="dxa"/>
            <w:vAlign w:val="center"/>
          </w:tcPr>
          <w:p w14:paraId="71A13E96" w14:textId="07311144" w:rsidR="00CF309C" w:rsidRPr="00205340" w:rsidRDefault="006B2A0C" w:rsidP="006B2A0C">
            <w:pPr>
              <w:pStyle w:val="TableText"/>
              <w:keepNext/>
              <w:jc w:val="center"/>
            </w:pPr>
            <w:r w:rsidRPr="00205340">
              <w:t>47%</w:t>
            </w:r>
          </w:p>
        </w:tc>
      </w:tr>
      <w:tr w:rsidR="006B2A0C" w:rsidRPr="00205340" w14:paraId="483F5ED5" w14:textId="51EAF7B4" w:rsidTr="00454CED">
        <w:tc>
          <w:tcPr>
            <w:tcW w:w="9016" w:type="dxa"/>
            <w:gridSpan w:val="5"/>
            <w:vAlign w:val="center"/>
          </w:tcPr>
          <w:p w14:paraId="3E2D8DEE" w14:textId="2C0DBC41" w:rsidR="006B2A0C" w:rsidRPr="00881ECA" w:rsidRDefault="006B2A0C">
            <w:pPr>
              <w:pStyle w:val="TableText"/>
              <w:keepNext/>
            </w:pPr>
            <w:r w:rsidRPr="00881ECA">
              <w:t>Marstacimab compliance (base case: 98%)</w:t>
            </w:r>
          </w:p>
        </w:tc>
      </w:tr>
      <w:tr w:rsidR="004D521D" w:rsidRPr="00205340" w14:paraId="6BE485AE" w14:textId="74AABF9F" w:rsidTr="000153D7">
        <w:tc>
          <w:tcPr>
            <w:tcW w:w="3705" w:type="dxa"/>
          </w:tcPr>
          <w:p w14:paraId="4225E4C6" w14:textId="77777777" w:rsidR="00CF309C" w:rsidRPr="00205340" w:rsidRDefault="00CF309C" w:rsidP="005C116D">
            <w:pPr>
              <w:pStyle w:val="TableText"/>
              <w:keepNext/>
              <w:numPr>
                <w:ilvl w:val="0"/>
                <w:numId w:val="17"/>
              </w:numPr>
            </w:pPr>
            <w:r w:rsidRPr="00205340">
              <w:t>100%</w:t>
            </w:r>
          </w:p>
        </w:tc>
        <w:tc>
          <w:tcPr>
            <w:tcW w:w="1219" w:type="dxa"/>
            <w:vAlign w:val="center"/>
          </w:tcPr>
          <w:p w14:paraId="42C66023" w14:textId="4ADE6C45" w:rsidR="00CF309C" w:rsidRPr="00881ECA" w:rsidRDefault="00CF309C">
            <w:pPr>
              <w:pStyle w:val="TableText"/>
              <w:keepNext/>
              <w:jc w:val="center"/>
            </w:pPr>
            <w:r w:rsidRPr="00881ECA">
              <w:t>$</w:t>
            </w:r>
            <w:r w:rsidR="00463F00" w:rsidRPr="00881ECA">
              <w:rPr>
                <w:b/>
                <w:bCs/>
              </w:rPr>
              <w:t>redacted</w:t>
            </w:r>
          </w:p>
        </w:tc>
        <w:tc>
          <w:tcPr>
            <w:tcW w:w="901" w:type="dxa"/>
            <w:vAlign w:val="center"/>
          </w:tcPr>
          <w:p w14:paraId="4F63013F" w14:textId="77777777" w:rsidR="00CF309C" w:rsidRPr="00881ECA" w:rsidRDefault="00CF309C">
            <w:pPr>
              <w:pStyle w:val="TableText"/>
              <w:keepNext/>
              <w:jc w:val="center"/>
            </w:pPr>
            <w:r w:rsidRPr="00881ECA">
              <w:t>$377,765</w:t>
            </w:r>
          </w:p>
        </w:tc>
        <w:tc>
          <w:tcPr>
            <w:tcW w:w="1818" w:type="dxa"/>
            <w:vAlign w:val="center"/>
          </w:tcPr>
          <w:p w14:paraId="2433A242" w14:textId="5DC67CEA" w:rsidR="00CF309C" w:rsidRPr="00881ECA" w:rsidRDefault="00CF309C">
            <w:pPr>
              <w:pStyle w:val="TableText"/>
              <w:keepNext/>
              <w:jc w:val="center"/>
            </w:pPr>
            <w:r w:rsidRPr="00881ECA">
              <w:t>$</w:t>
            </w:r>
            <w:r w:rsidR="00450079" w:rsidRPr="00881ECA">
              <w:rPr>
                <w:b/>
                <w:bCs/>
              </w:rPr>
              <w:t>redacted</w:t>
            </w:r>
          </w:p>
        </w:tc>
        <w:tc>
          <w:tcPr>
            <w:tcW w:w="1373" w:type="dxa"/>
            <w:vAlign w:val="center"/>
          </w:tcPr>
          <w:p w14:paraId="558620A2" w14:textId="6460C72D" w:rsidR="00CF309C" w:rsidRPr="00205340" w:rsidRDefault="006B2A0C" w:rsidP="006B2A0C">
            <w:pPr>
              <w:pStyle w:val="TableText"/>
              <w:keepNext/>
              <w:jc w:val="center"/>
            </w:pPr>
            <w:r w:rsidRPr="00205340">
              <w:t>11%</w:t>
            </w:r>
          </w:p>
        </w:tc>
      </w:tr>
      <w:tr w:rsidR="004D521D" w:rsidRPr="00205340" w14:paraId="6FE27DDF" w14:textId="159EDA05" w:rsidTr="000153D7">
        <w:tc>
          <w:tcPr>
            <w:tcW w:w="3705" w:type="dxa"/>
          </w:tcPr>
          <w:p w14:paraId="38E95DE5" w14:textId="77777777" w:rsidR="00CF309C" w:rsidRPr="00205340" w:rsidRDefault="00CF309C" w:rsidP="005C116D">
            <w:pPr>
              <w:pStyle w:val="TableText"/>
              <w:keepNext/>
              <w:numPr>
                <w:ilvl w:val="0"/>
                <w:numId w:val="17"/>
              </w:numPr>
            </w:pPr>
            <w:r w:rsidRPr="00205340">
              <w:t>95%</w:t>
            </w:r>
          </w:p>
        </w:tc>
        <w:tc>
          <w:tcPr>
            <w:tcW w:w="1219" w:type="dxa"/>
            <w:vAlign w:val="center"/>
          </w:tcPr>
          <w:p w14:paraId="6BC3F36E" w14:textId="1FF4CD23" w:rsidR="00CF309C" w:rsidRPr="00881ECA" w:rsidRDefault="00CF309C">
            <w:pPr>
              <w:pStyle w:val="TableText"/>
              <w:keepNext/>
              <w:jc w:val="center"/>
            </w:pPr>
            <w:r w:rsidRPr="00881ECA">
              <w:t>$</w:t>
            </w:r>
            <w:r w:rsidR="00450079" w:rsidRPr="00881ECA">
              <w:rPr>
                <w:b/>
                <w:bCs/>
              </w:rPr>
              <w:t>redacted</w:t>
            </w:r>
          </w:p>
        </w:tc>
        <w:tc>
          <w:tcPr>
            <w:tcW w:w="901" w:type="dxa"/>
            <w:vAlign w:val="center"/>
          </w:tcPr>
          <w:p w14:paraId="575EA99D" w14:textId="77777777" w:rsidR="00CF309C" w:rsidRPr="00881ECA" w:rsidRDefault="00CF309C">
            <w:pPr>
              <w:pStyle w:val="TableText"/>
              <w:keepNext/>
              <w:jc w:val="center"/>
            </w:pPr>
            <w:r w:rsidRPr="00881ECA">
              <w:t>$377,765</w:t>
            </w:r>
          </w:p>
        </w:tc>
        <w:tc>
          <w:tcPr>
            <w:tcW w:w="1818" w:type="dxa"/>
            <w:vAlign w:val="center"/>
          </w:tcPr>
          <w:p w14:paraId="659DC02D" w14:textId="57B59A22" w:rsidR="00CF309C" w:rsidRPr="00881ECA" w:rsidRDefault="00CF309C">
            <w:pPr>
              <w:pStyle w:val="TableText"/>
              <w:keepNext/>
              <w:jc w:val="center"/>
            </w:pPr>
            <w:r w:rsidRPr="00881ECA">
              <w:t>$</w:t>
            </w:r>
            <w:r w:rsidR="00450079" w:rsidRPr="00881ECA">
              <w:rPr>
                <w:b/>
                <w:bCs/>
              </w:rPr>
              <w:t>redacted</w:t>
            </w:r>
          </w:p>
        </w:tc>
        <w:tc>
          <w:tcPr>
            <w:tcW w:w="1373" w:type="dxa"/>
            <w:vAlign w:val="center"/>
          </w:tcPr>
          <w:p w14:paraId="0A1EAC44" w14:textId="4D134CE8" w:rsidR="00CF309C" w:rsidRPr="00205340" w:rsidRDefault="006B2A0C" w:rsidP="006B2A0C">
            <w:pPr>
              <w:pStyle w:val="TableText"/>
              <w:keepNext/>
              <w:jc w:val="center"/>
            </w:pPr>
            <w:r w:rsidRPr="00205340">
              <w:t>-17%</w:t>
            </w:r>
          </w:p>
        </w:tc>
      </w:tr>
      <w:tr w:rsidR="006B2A0C" w:rsidRPr="00205340" w14:paraId="31D149A4" w14:textId="55C353E4" w:rsidTr="00454CED">
        <w:tc>
          <w:tcPr>
            <w:tcW w:w="9016" w:type="dxa"/>
            <w:gridSpan w:val="5"/>
            <w:vAlign w:val="center"/>
          </w:tcPr>
          <w:p w14:paraId="41762B98" w14:textId="066F2241" w:rsidR="006B2A0C" w:rsidRPr="00881ECA" w:rsidRDefault="006B2A0C">
            <w:pPr>
              <w:pStyle w:val="TableText"/>
              <w:keepNext/>
            </w:pPr>
            <w:r w:rsidRPr="00881ECA">
              <w:t>EHL dose (base case: 55 IU/kg</w:t>
            </w:r>
            <w:r w:rsidR="003C5DF4" w:rsidRPr="00881ECA">
              <w:t xml:space="preserve"> every week</w:t>
            </w:r>
            <w:r w:rsidRPr="00881ECA">
              <w:t xml:space="preserve">, based on ABDR </w:t>
            </w:r>
            <w:proofErr w:type="spellStart"/>
            <w:r w:rsidRPr="00881ECA">
              <w:t>data</w:t>
            </w:r>
            <w:r w:rsidRPr="00881ECA">
              <w:rPr>
                <w:vertAlign w:val="superscript"/>
              </w:rPr>
              <w:t>a</w:t>
            </w:r>
            <w:proofErr w:type="spellEnd"/>
            <w:r w:rsidRPr="00881ECA">
              <w:t>)</w:t>
            </w:r>
          </w:p>
        </w:tc>
      </w:tr>
      <w:tr w:rsidR="004D521D" w:rsidRPr="00205340" w14:paraId="6CEB4091" w14:textId="6D7330EB" w:rsidTr="000153D7">
        <w:tc>
          <w:tcPr>
            <w:tcW w:w="3705" w:type="dxa"/>
            <w:vAlign w:val="center"/>
          </w:tcPr>
          <w:p w14:paraId="4502EA66" w14:textId="76B6873E" w:rsidR="00CF309C" w:rsidRPr="00205340" w:rsidRDefault="00CF309C" w:rsidP="005C116D">
            <w:pPr>
              <w:pStyle w:val="TableText"/>
              <w:keepNext/>
              <w:numPr>
                <w:ilvl w:val="0"/>
                <w:numId w:val="17"/>
              </w:numPr>
            </w:pPr>
            <w:r w:rsidRPr="00205340">
              <w:t>Mean annual dose in Brennan et al. (2020)</w:t>
            </w:r>
            <w:r w:rsidRPr="00205340">
              <w:fldChar w:fldCharType="begin"/>
            </w:r>
            <w:r w:rsidRPr="00205340">
              <w:instrText xml:space="preserve"> NOTEREF _Ref215664782 \f \h </w:instrText>
            </w:r>
            <w:r w:rsidR="006B2A0C" w:rsidRPr="00205340">
              <w:instrText xml:space="preserve"> \* MERGEFORMAT </w:instrText>
            </w:r>
            <w:r w:rsidRPr="00205340">
              <w:fldChar w:fldCharType="separate"/>
            </w:r>
            <w:r w:rsidRPr="00205340">
              <w:rPr>
                <w:rStyle w:val="FootnoteReference"/>
              </w:rPr>
              <w:t>2</w:t>
            </w:r>
            <w:r w:rsidRPr="00205340">
              <w:fldChar w:fldCharType="end"/>
            </w:r>
            <w:r w:rsidRPr="00205340">
              <w:t xml:space="preserve"> (51.4 IU/kg/week)</w:t>
            </w:r>
          </w:p>
        </w:tc>
        <w:tc>
          <w:tcPr>
            <w:tcW w:w="1219" w:type="dxa"/>
            <w:vAlign w:val="center"/>
          </w:tcPr>
          <w:p w14:paraId="1BE73262" w14:textId="5DAAC893" w:rsidR="00CF309C" w:rsidRPr="00881ECA" w:rsidRDefault="00CF309C">
            <w:pPr>
              <w:pStyle w:val="TableText"/>
              <w:keepNext/>
              <w:jc w:val="center"/>
            </w:pPr>
            <w:r w:rsidRPr="00881ECA">
              <w:t>$</w:t>
            </w:r>
            <w:r w:rsidR="00450079" w:rsidRPr="00881ECA">
              <w:rPr>
                <w:b/>
                <w:bCs/>
              </w:rPr>
              <w:t>redacted</w:t>
            </w:r>
          </w:p>
        </w:tc>
        <w:tc>
          <w:tcPr>
            <w:tcW w:w="901" w:type="dxa"/>
            <w:vAlign w:val="center"/>
          </w:tcPr>
          <w:p w14:paraId="0F849F96" w14:textId="77777777" w:rsidR="00CF309C" w:rsidRPr="00881ECA" w:rsidRDefault="00CF309C">
            <w:pPr>
              <w:pStyle w:val="TableText"/>
              <w:keepNext/>
              <w:jc w:val="center"/>
            </w:pPr>
            <w:r w:rsidRPr="00881ECA">
              <w:t>$355,815</w:t>
            </w:r>
          </w:p>
        </w:tc>
        <w:tc>
          <w:tcPr>
            <w:tcW w:w="1818" w:type="dxa"/>
            <w:vAlign w:val="center"/>
          </w:tcPr>
          <w:p w14:paraId="6DEB09FE" w14:textId="130BBFA1" w:rsidR="00CF309C" w:rsidRPr="00881ECA" w:rsidRDefault="00CF309C">
            <w:pPr>
              <w:pStyle w:val="TableText"/>
              <w:keepNext/>
              <w:jc w:val="center"/>
            </w:pPr>
            <w:r w:rsidRPr="00881ECA">
              <w:t>$</w:t>
            </w:r>
            <w:r w:rsidR="00450079" w:rsidRPr="00881ECA">
              <w:rPr>
                <w:b/>
                <w:bCs/>
              </w:rPr>
              <w:t>redacted</w:t>
            </w:r>
          </w:p>
        </w:tc>
        <w:tc>
          <w:tcPr>
            <w:tcW w:w="1373" w:type="dxa"/>
            <w:vAlign w:val="center"/>
          </w:tcPr>
          <w:p w14:paraId="7728AB3E" w14:textId="459FF5C7" w:rsidR="00CF309C" w:rsidRPr="00205340" w:rsidRDefault="006B2A0C" w:rsidP="006B2A0C">
            <w:pPr>
              <w:pStyle w:val="TableText"/>
              <w:keepNext/>
              <w:jc w:val="center"/>
            </w:pPr>
            <w:r w:rsidRPr="00205340">
              <w:t>26%</w:t>
            </w:r>
          </w:p>
        </w:tc>
      </w:tr>
      <w:tr w:rsidR="004D521D" w:rsidRPr="00205340" w14:paraId="34C51442" w14:textId="6E3E5DBC" w:rsidTr="000153D7">
        <w:tc>
          <w:tcPr>
            <w:tcW w:w="3705" w:type="dxa"/>
          </w:tcPr>
          <w:p w14:paraId="1818FF14" w14:textId="5428EB92" w:rsidR="00CF309C" w:rsidRPr="00205340" w:rsidRDefault="00CF309C" w:rsidP="005C116D">
            <w:pPr>
              <w:pStyle w:val="TableText"/>
              <w:keepNext/>
              <w:numPr>
                <w:ilvl w:val="0"/>
                <w:numId w:val="17"/>
              </w:numPr>
            </w:pPr>
            <w:r w:rsidRPr="00205340">
              <w:t xml:space="preserve">100 IU/kg every 10 days (upper PI </w:t>
            </w:r>
            <w:proofErr w:type="gramStart"/>
            <w:r w:rsidRPr="00205340">
              <w:t>dose)</w:t>
            </w:r>
            <w:r w:rsidRPr="00205340">
              <w:rPr>
                <w:vertAlign w:val="superscript"/>
              </w:rPr>
              <w:t>b</w:t>
            </w:r>
            <w:proofErr w:type="gramEnd"/>
          </w:p>
        </w:tc>
        <w:tc>
          <w:tcPr>
            <w:tcW w:w="1219" w:type="dxa"/>
            <w:vAlign w:val="center"/>
          </w:tcPr>
          <w:p w14:paraId="11FE543F" w14:textId="1DE6C55F" w:rsidR="00CF309C" w:rsidRPr="00881ECA" w:rsidRDefault="00CF309C">
            <w:pPr>
              <w:pStyle w:val="TableText"/>
              <w:keepNext/>
              <w:jc w:val="center"/>
            </w:pPr>
            <w:r w:rsidRPr="00881ECA">
              <w:t>$</w:t>
            </w:r>
            <w:r w:rsidR="00450079" w:rsidRPr="00881ECA">
              <w:rPr>
                <w:b/>
                <w:bCs/>
              </w:rPr>
              <w:t>redacted</w:t>
            </w:r>
          </w:p>
        </w:tc>
        <w:tc>
          <w:tcPr>
            <w:tcW w:w="901" w:type="dxa"/>
            <w:vAlign w:val="center"/>
          </w:tcPr>
          <w:p w14:paraId="64F2AE48" w14:textId="597B32AB" w:rsidR="00CF309C" w:rsidRPr="00881ECA" w:rsidRDefault="00CF309C">
            <w:pPr>
              <w:pStyle w:val="TableText"/>
              <w:keepNext/>
              <w:jc w:val="center"/>
            </w:pPr>
            <w:r w:rsidRPr="00881ECA">
              <w:t>$</w:t>
            </w:r>
            <w:r w:rsidR="00634DCF" w:rsidRPr="00881ECA">
              <w:t>440,161</w:t>
            </w:r>
          </w:p>
        </w:tc>
        <w:tc>
          <w:tcPr>
            <w:tcW w:w="1818" w:type="dxa"/>
            <w:vAlign w:val="center"/>
          </w:tcPr>
          <w:p w14:paraId="4D14DF3D" w14:textId="67BB8A7C" w:rsidR="00CF309C" w:rsidRPr="00881ECA" w:rsidRDefault="00CF309C">
            <w:pPr>
              <w:pStyle w:val="TableText"/>
              <w:keepNext/>
              <w:jc w:val="center"/>
            </w:pPr>
            <w:r w:rsidRPr="00881ECA">
              <w:t>$</w:t>
            </w:r>
            <w:r w:rsidR="00450079" w:rsidRPr="00881ECA">
              <w:rPr>
                <w:b/>
                <w:bCs/>
              </w:rPr>
              <w:t>redacted</w:t>
            </w:r>
          </w:p>
        </w:tc>
        <w:tc>
          <w:tcPr>
            <w:tcW w:w="1373" w:type="dxa"/>
            <w:vAlign w:val="center"/>
          </w:tcPr>
          <w:p w14:paraId="699EEB02" w14:textId="5BD474DE" w:rsidR="00CF309C" w:rsidRPr="00205340" w:rsidRDefault="00422063" w:rsidP="006B2A0C">
            <w:pPr>
              <w:pStyle w:val="TableText"/>
              <w:keepNext/>
              <w:jc w:val="center"/>
            </w:pPr>
            <w:r w:rsidRPr="00205340">
              <w:t>-75</w:t>
            </w:r>
            <w:r w:rsidR="006B2A0C" w:rsidRPr="00205340">
              <w:t>%</w:t>
            </w:r>
          </w:p>
        </w:tc>
      </w:tr>
      <w:tr w:rsidR="004D521D" w:rsidRPr="00205340" w14:paraId="41230CF6" w14:textId="10AA935B" w:rsidTr="000153D7">
        <w:tc>
          <w:tcPr>
            <w:tcW w:w="3705" w:type="dxa"/>
          </w:tcPr>
          <w:p w14:paraId="07A6ED70" w14:textId="40E219F4" w:rsidR="00CF309C" w:rsidRPr="00205340" w:rsidRDefault="00CF309C" w:rsidP="005C116D">
            <w:pPr>
              <w:pStyle w:val="TableText"/>
              <w:keepNext/>
              <w:numPr>
                <w:ilvl w:val="0"/>
                <w:numId w:val="17"/>
              </w:numPr>
            </w:pPr>
            <w:r w:rsidRPr="00205340">
              <w:t xml:space="preserve">50 IU/kg every 7 days (lower PI </w:t>
            </w:r>
            <w:proofErr w:type="gramStart"/>
            <w:r w:rsidRPr="00205340">
              <w:t>dose)</w:t>
            </w:r>
            <w:r w:rsidRPr="00205340">
              <w:rPr>
                <w:vertAlign w:val="superscript"/>
              </w:rPr>
              <w:t>b</w:t>
            </w:r>
            <w:proofErr w:type="gramEnd"/>
          </w:p>
        </w:tc>
        <w:tc>
          <w:tcPr>
            <w:tcW w:w="1219" w:type="dxa"/>
            <w:vAlign w:val="center"/>
          </w:tcPr>
          <w:p w14:paraId="29EFA3C7" w14:textId="451DFDA5" w:rsidR="00CF309C" w:rsidRPr="00881ECA" w:rsidRDefault="00CF309C">
            <w:pPr>
              <w:pStyle w:val="TableText"/>
              <w:keepNext/>
              <w:jc w:val="center"/>
            </w:pPr>
            <w:r w:rsidRPr="00881ECA">
              <w:t>$</w:t>
            </w:r>
            <w:r w:rsidR="00450079" w:rsidRPr="00881ECA">
              <w:rPr>
                <w:b/>
                <w:bCs/>
              </w:rPr>
              <w:t>redacted</w:t>
            </w:r>
          </w:p>
        </w:tc>
        <w:tc>
          <w:tcPr>
            <w:tcW w:w="901" w:type="dxa"/>
            <w:vAlign w:val="center"/>
          </w:tcPr>
          <w:p w14:paraId="696AC4B5" w14:textId="77777777" w:rsidR="00CF309C" w:rsidRPr="00881ECA" w:rsidRDefault="00CF309C">
            <w:pPr>
              <w:pStyle w:val="TableText"/>
              <w:keepNext/>
              <w:jc w:val="center"/>
            </w:pPr>
            <w:r w:rsidRPr="00881ECA">
              <w:t>$347,951</w:t>
            </w:r>
          </w:p>
        </w:tc>
        <w:tc>
          <w:tcPr>
            <w:tcW w:w="1818" w:type="dxa"/>
            <w:vAlign w:val="center"/>
          </w:tcPr>
          <w:p w14:paraId="40095588" w14:textId="7A9AEA4C" w:rsidR="00CF309C" w:rsidRPr="00881ECA" w:rsidRDefault="00CF309C">
            <w:pPr>
              <w:pStyle w:val="TableText"/>
              <w:keepNext/>
              <w:jc w:val="center"/>
            </w:pPr>
            <w:r w:rsidRPr="00881ECA">
              <w:t>$</w:t>
            </w:r>
            <w:r w:rsidR="00450079" w:rsidRPr="00881ECA">
              <w:rPr>
                <w:b/>
                <w:bCs/>
              </w:rPr>
              <w:t>redacted</w:t>
            </w:r>
          </w:p>
        </w:tc>
        <w:tc>
          <w:tcPr>
            <w:tcW w:w="1373" w:type="dxa"/>
            <w:vAlign w:val="center"/>
          </w:tcPr>
          <w:p w14:paraId="7AE3C58C" w14:textId="230AAD2B" w:rsidR="00CF309C" w:rsidRPr="00205340" w:rsidRDefault="006B2A0C" w:rsidP="006B2A0C">
            <w:pPr>
              <w:pStyle w:val="TableText"/>
              <w:keepNext/>
              <w:jc w:val="center"/>
            </w:pPr>
            <w:r w:rsidRPr="00205340">
              <w:t>36%</w:t>
            </w:r>
          </w:p>
        </w:tc>
      </w:tr>
      <w:tr w:rsidR="006B2A0C" w:rsidRPr="00205340" w14:paraId="5424DBA4" w14:textId="0F1E949B" w:rsidTr="00454CED">
        <w:tc>
          <w:tcPr>
            <w:tcW w:w="9016" w:type="dxa"/>
            <w:gridSpan w:val="5"/>
            <w:vAlign w:val="center"/>
          </w:tcPr>
          <w:p w14:paraId="2337C4D1" w14:textId="3B6A8186" w:rsidR="006B2A0C" w:rsidRPr="00881ECA" w:rsidRDefault="006B2A0C">
            <w:pPr>
              <w:pStyle w:val="TableText"/>
              <w:keepNext/>
            </w:pPr>
            <w:r w:rsidRPr="00881ECA">
              <w:t xml:space="preserve">EHL </w:t>
            </w:r>
            <w:r w:rsidR="00F71685" w:rsidRPr="00881ECA">
              <w:t>F</w:t>
            </w:r>
            <w:r w:rsidRPr="00881ECA">
              <w:t>actor IX administration cost (base case: $643, NHCDC code 20.10)</w:t>
            </w:r>
          </w:p>
        </w:tc>
      </w:tr>
      <w:tr w:rsidR="004D521D" w:rsidRPr="00205340" w14:paraId="742BFAA0" w14:textId="2D865CD8" w:rsidTr="000153D7">
        <w:tc>
          <w:tcPr>
            <w:tcW w:w="3705" w:type="dxa"/>
          </w:tcPr>
          <w:p w14:paraId="250B178B" w14:textId="211FBDDF" w:rsidR="00CF309C" w:rsidRPr="00205340" w:rsidRDefault="00CF309C" w:rsidP="005C116D">
            <w:pPr>
              <w:pStyle w:val="TableText"/>
              <w:keepNext/>
              <w:numPr>
                <w:ilvl w:val="0"/>
                <w:numId w:val="17"/>
              </w:numPr>
            </w:pPr>
            <w:r w:rsidRPr="00205340">
              <w:t>$352 ($291 of pharmacy costs removed)</w:t>
            </w:r>
          </w:p>
        </w:tc>
        <w:tc>
          <w:tcPr>
            <w:tcW w:w="1219" w:type="dxa"/>
            <w:vAlign w:val="center"/>
          </w:tcPr>
          <w:p w14:paraId="3592F7BA" w14:textId="1D51994D" w:rsidR="00CF309C" w:rsidRPr="00881ECA" w:rsidRDefault="00CF309C">
            <w:pPr>
              <w:pStyle w:val="TableText"/>
              <w:keepNext/>
              <w:jc w:val="center"/>
            </w:pPr>
            <w:r w:rsidRPr="00881ECA">
              <w:t>$</w:t>
            </w:r>
            <w:r w:rsidR="00450079" w:rsidRPr="00881ECA">
              <w:rPr>
                <w:b/>
                <w:bCs/>
              </w:rPr>
              <w:t>redacted</w:t>
            </w:r>
          </w:p>
        </w:tc>
        <w:tc>
          <w:tcPr>
            <w:tcW w:w="901" w:type="dxa"/>
            <w:vAlign w:val="center"/>
          </w:tcPr>
          <w:p w14:paraId="6236784E" w14:textId="77777777" w:rsidR="00CF309C" w:rsidRPr="00881ECA" w:rsidRDefault="00CF309C">
            <w:pPr>
              <w:pStyle w:val="TableText"/>
              <w:keepNext/>
              <w:jc w:val="center"/>
            </w:pPr>
            <w:r w:rsidRPr="00881ECA">
              <w:t>$347,397</w:t>
            </w:r>
          </w:p>
        </w:tc>
        <w:tc>
          <w:tcPr>
            <w:tcW w:w="1818" w:type="dxa"/>
            <w:vAlign w:val="center"/>
          </w:tcPr>
          <w:p w14:paraId="5EB22B17" w14:textId="7988F9DA" w:rsidR="00CF309C" w:rsidRPr="00881ECA" w:rsidRDefault="00CF309C">
            <w:pPr>
              <w:pStyle w:val="TableText"/>
              <w:keepNext/>
              <w:jc w:val="center"/>
            </w:pPr>
            <w:r w:rsidRPr="00881ECA">
              <w:t>$</w:t>
            </w:r>
            <w:r w:rsidR="00450079" w:rsidRPr="00881ECA">
              <w:rPr>
                <w:b/>
                <w:bCs/>
              </w:rPr>
              <w:t>redacted</w:t>
            </w:r>
          </w:p>
        </w:tc>
        <w:tc>
          <w:tcPr>
            <w:tcW w:w="1373" w:type="dxa"/>
            <w:vAlign w:val="center"/>
          </w:tcPr>
          <w:p w14:paraId="16A498EC" w14:textId="2688296F" w:rsidR="00CF309C" w:rsidRPr="00205340" w:rsidRDefault="006B2A0C" w:rsidP="006B2A0C">
            <w:pPr>
              <w:pStyle w:val="TableText"/>
              <w:keepNext/>
              <w:jc w:val="center"/>
            </w:pPr>
            <w:r w:rsidRPr="00205340">
              <w:t>36%</w:t>
            </w:r>
          </w:p>
        </w:tc>
      </w:tr>
      <w:tr w:rsidR="004D521D" w:rsidRPr="00205340" w14:paraId="7B034104" w14:textId="438B5007" w:rsidTr="000153D7">
        <w:tc>
          <w:tcPr>
            <w:tcW w:w="3705" w:type="dxa"/>
          </w:tcPr>
          <w:p w14:paraId="563AD432" w14:textId="3D0A7E48" w:rsidR="00CF309C" w:rsidRPr="00205340" w:rsidRDefault="00CF309C" w:rsidP="005C116D">
            <w:pPr>
              <w:pStyle w:val="TableText"/>
              <w:keepNext/>
              <w:numPr>
                <w:ilvl w:val="0"/>
                <w:numId w:val="17"/>
              </w:numPr>
            </w:pPr>
            <w:r w:rsidRPr="00205340">
              <w:t xml:space="preserve">$452 (code </w:t>
            </w:r>
            <w:r w:rsidR="00D17981" w:rsidRPr="00205340">
              <w:t>4</w:t>
            </w:r>
            <w:r w:rsidRPr="00205340">
              <w:t xml:space="preserve">0.48, haematology clinical nurse specialist consult) </w:t>
            </w:r>
          </w:p>
        </w:tc>
        <w:tc>
          <w:tcPr>
            <w:tcW w:w="1219" w:type="dxa"/>
            <w:vAlign w:val="center"/>
          </w:tcPr>
          <w:p w14:paraId="29EB569C" w14:textId="08D0A327" w:rsidR="00CF309C" w:rsidRPr="00881ECA" w:rsidRDefault="00CF309C">
            <w:pPr>
              <w:pStyle w:val="TableText"/>
              <w:keepNext/>
              <w:jc w:val="center"/>
            </w:pPr>
            <w:r w:rsidRPr="00881ECA">
              <w:t>$</w:t>
            </w:r>
            <w:r w:rsidR="001651BD" w:rsidRPr="00881ECA">
              <w:rPr>
                <w:b/>
                <w:bCs/>
              </w:rPr>
              <w:t>redacted</w:t>
            </w:r>
          </w:p>
        </w:tc>
        <w:tc>
          <w:tcPr>
            <w:tcW w:w="901" w:type="dxa"/>
            <w:vAlign w:val="center"/>
          </w:tcPr>
          <w:p w14:paraId="44666D59" w14:textId="77777777" w:rsidR="00CF309C" w:rsidRPr="00881ECA" w:rsidRDefault="00CF309C">
            <w:pPr>
              <w:pStyle w:val="TableText"/>
              <w:keepNext/>
              <w:jc w:val="center"/>
            </w:pPr>
            <w:r w:rsidRPr="00881ECA">
              <w:t>$357,833</w:t>
            </w:r>
          </w:p>
        </w:tc>
        <w:tc>
          <w:tcPr>
            <w:tcW w:w="1818" w:type="dxa"/>
            <w:vAlign w:val="center"/>
          </w:tcPr>
          <w:p w14:paraId="287DBE88" w14:textId="719B8019" w:rsidR="00CF309C" w:rsidRPr="00881ECA" w:rsidRDefault="00CF309C">
            <w:pPr>
              <w:pStyle w:val="TableText"/>
              <w:keepNext/>
              <w:jc w:val="center"/>
            </w:pPr>
            <w:r w:rsidRPr="00881ECA">
              <w:t>$</w:t>
            </w:r>
            <w:r w:rsidR="00E46A46" w:rsidRPr="00881ECA">
              <w:rPr>
                <w:b/>
                <w:bCs/>
              </w:rPr>
              <w:t>redacted</w:t>
            </w:r>
          </w:p>
        </w:tc>
        <w:tc>
          <w:tcPr>
            <w:tcW w:w="1373" w:type="dxa"/>
            <w:vAlign w:val="center"/>
          </w:tcPr>
          <w:p w14:paraId="528A0285" w14:textId="151CE4DF" w:rsidR="00CF309C" w:rsidRPr="00205340" w:rsidRDefault="006B2A0C" w:rsidP="006B2A0C">
            <w:pPr>
              <w:pStyle w:val="TableText"/>
              <w:keepNext/>
              <w:jc w:val="center"/>
            </w:pPr>
            <w:r w:rsidRPr="00205340">
              <w:t>24%</w:t>
            </w:r>
          </w:p>
        </w:tc>
      </w:tr>
      <w:tr w:rsidR="004D521D" w:rsidRPr="00205340" w14:paraId="77BC3E55" w14:textId="77777777" w:rsidTr="000153D7">
        <w:tc>
          <w:tcPr>
            <w:tcW w:w="3705" w:type="dxa"/>
          </w:tcPr>
          <w:p w14:paraId="0F39A6A9" w14:textId="1899349A" w:rsidR="006B2A0C" w:rsidRPr="00205340" w:rsidRDefault="006B2A0C" w:rsidP="005C116D">
            <w:pPr>
              <w:pStyle w:val="TableText"/>
              <w:keepNext/>
              <w:numPr>
                <w:ilvl w:val="0"/>
                <w:numId w:val="17"/>
              </w:numPr>
            </w:pPr>
            <w:r w:rsidRPr="00205340">
              <w:t>$0 (self-administered)</w:t>
            </w:r>
          </w:p>
        </w:tc>
        <w:tc>
          <w:tcPr>
            <w:tcW w:w="1219" w:type="dxa"/>
            <w:vAlign w:val="center"/>
          </w:tcPr>
          <w:p w14:paraId="31BB5EC3" w14:textId="20DDEB23" w:rsidR="006B2A0C" w:rsidRPr="00881ECA" w:rsidRDefault="006B2A0C" w:rsidP="006B2A0C">
            <w:pPr>
              <w:pStyle w:val="TableText"/>
              <w:keepNext/>
              <w:jc w:val="center"/>
            </w:pPr>
            <w:r w:rsidRPr="00881ECA">
              <w:t>$</w:t>
            </w:r>
            <w:r w:rsidR="00E46A46" w:rsidRPr="00881ECA">
              <w:rPr>
                <w:b/>
                <w:bCs/>
              </w:rPr>
              <w:t>redacted</w:t>
            </w:r>
          </w:p>
        </w:tc>
        <w:tc>
          <w:tcPr>
            <w:tcW w:w="901" w:type="dxa"/>
            <w:vAlign w:val="center"/>
          </w:tcPr>
          <w:p w14:paraId="7C2F2F9C" w14:textId="6B8904E1" w:rsidR="006B2A0C" w:rsidRPr="00881ECA" w:rsidRDefault="006B2A0C" w:rsidP="006B2A0C">
            <w:pPr>
              <w:pStyle w:val="TableText"/>
              <w:keepNext/>
              <w:jc w:val="center"/>
            </w:pPr>
            <w:r w:rsidRPr="00881ECA">
              <w:t>$310,663</w:t>
            </w:r>
          </w:p>
        </w:tc>
        <w:tc>
          <w:tcPr>
            <w:tcW w:w="1818" w:type="dxa"/>
            <w:vAlign w:val="center"/>
          </w:tcPr>
          <w:p w14:paraId="39426C88" w14:textId="69F56F4B" w:rsidR="006B2A0C" w:rsidRPr="00881ECA" w:rsidRDefault="006B2A0C" w:rsidP="006B2A0C">
            <w:pPr>
              <w:pStyle w:val="TableText"/>
              <w:keepNext/>
              <w:jc w:val="center"/>
            </w:pPr>
            <w:r w:rsidRPr="00881ECA">
              <w:t>$</w:t>
            </w:r>
            <w:r w:rsidR="00E46A46" w:rsidRPr="00881ECA">
              <w:rPr>
                <w:b/>
                <w:bCs/>
              </w:rPr>
              <w:t>redacted</w:t>
            </w:r>
          </w:p>
        </w:tc>
        <w:tc>
          <w:tcPr>
            <w:tcW w:w="1373" w:type="dxa"/>
            <w:vAlign w:val="center"/>
          </w:tcPr>
          <w:p w14:paraId="444A76CC" w14:textId="7B999CC7" w:rsidR="006B2A0C" w:rsidRPr="00205340" w:rsidRDefault="006B2A0C" w:rsidP="006B2A0C">
            <w:pPr>
              <w:pStyle w:val="TableText"/>
              <w:keepNext/>
              <w:jc w:val="center"/>
            </w:pPr>
            <w:r w:rsidRPr="00205340">
              <w:t>80%</w:t>
            </w:r>
          </w:p>
        </w:tc>
      </w:tr>
    </w:tbl>
    <w:p w14:paraId="46E23FF2" w14:textId="77777777" w:rsidR="0093608E" w:rsidRPr="00205340" w:rsidRDefault="0093608E" w:rsidP="000153D7">
      <w:pPr>
        <w:pStyle w:val="TableFigureFooter"/>
        <w:keepNext/>
        <w:spacing w:before="0" w:after="0"/>
        <w:contextualSpacing/>
      </w:pPr>
      <w:r w:rsidRPr="00205340">
        <w:t>Source: Constructed during the evaluation from the “Economic inputs – marstacimab final” Excel workbook provided with the ADAR.</w:t>
      </w:r>
    </w:p>
    <w:p w14:paraId="70BC0CBD" w14:textId="7BE18FCA" w:rsidR="0093608E" w:rsidRPr="00205340" w:rsidRDefault="0093608E" w:rsidP="000153D7">
      <w:pPr>
        <w:pStyle w:val="TableFigureFooter"/>
        <w:keepNext/>
        <w:spacing w:before="0" w:after="0"/>
        <w:contextualSpacing/>
      </w:pPr>
      <w:r w:rsidRPr="00205340">
        <w:t xml:space="preserve">ABDR = Australian Bleeding Disorders Registry; ADAR = Applicant Developed Assessment Report; CMA = cost-minimisation approach; </w:t>
      </w:r>
      <w:r w:rsidR="0009552E" w:rsidRPr="00205340">
        <w:t xml:space="preserve">EHL = extended </w:t>
      </w:r>
      <w:proofErr w:type="spellStart"/>
      <w:r w:rsidR="0009552E" w:rsidRPr="00205340">
        <w:t>half life</w:t>
      </w:r>
      <w:proofErr w:type="spellEnd"/>
      <w:r w:rsidR="0009552E" w:rsidRPr="00205340">
        <w:t xml:space="preserve">; </w:t>
      </w:r>
      <w:r w:rsidRPr="00205340">
        <w:t>HMB = haemophilia type B; IU = international units; LTE = long-term extension; PI = product information</w:t>
      </w:r>
    </w:p>
    <w:p w14:paraId="7EA90510" w14:textId="77777777" w:rsidR="00CF309C" w:rsidRPr="00205340" w:rsidRDefault="00CF309C" w:rsidP="000153D7">
      <w:pPr>
        <w:pStyle w:val="TableFigureFooter"/>
        <w:keepNext/>
        <w:spacing w:after="0"/>
        <w:contextualSpacing/>
        <w:rPr>
          <w:color w:val="000000" w:themeColor="text1"/>
        </w:rPr>
      </w:pPr>
      <w:r w:rsidRPr="00205340">
        <w:rPr>
          <w:color w:val="000000" w:themeColor="text1"/>
          <w:vertAlign w:val="superscript"/>
        </w:rPr>
        <w:t xml:space="preserve">a </w:t>
      </w:r>
      <w:r w:rsidRPr="00205340">
        <w:rPr>
          <w:color w:val="000000" w:themeColor="text1"/>
        </w:rPr>
        <w:t>Mean annual dose reported in ADBR data for HMB prophylaxis patients presented in the ADAR, note this may include SHL use.</w:t>
      </w:r>
    </w:p>
    <w:p w14:paraId="1721514C" w14:textId="199DDBDC" w:rsidR="00CF309C" w:rsidRPr="00205340" w:rsidRDefault="00CF309C" w:rsidP="000153D7">
      <w:pPr>
        <w:pStyle w:val="TableFigureFooter"/>
        <w:keepNext/>
        <w:spacing w:after="0"/>
        <w:contextualSpacing/>
        <w:rPr>
          <w:color w:val="000000" w:themeColor="text1"/>
        </w:rPr>
      </w:pPr>
      <w:r w:rsidRPr="00205340">
        <w:rPr>
          <w:color w:val="000000" w:themeColor="text1"/>
          <w:vertAlign w:val="superscript"/>
        </w:rPr>
        <w:t xml:space="preserve">b </w:t>
      </w:r>
      <w:proofErr w:type="gramStart"/>
      <w:r w:rsidRPr="00205340">
        <w:rPr>
          <w:color w:val="000000" w:themeColor="text1"/>
        </w:rPr>
        <w:t>The</w:t>
      </w:r>
      <w:proofErr w:type="gramEnd"/>
      <w:r w:rsidRPr="00205340">
        <w:rPr>
          <w:color w:val="000000" w:themeColor="text1"/>
        </w:rPr>
        <w:t xml:space="preserve"> </w:t>
      </w:r>
      <w:proofErr w:type="spellStart"/>
      <w:r w:rsidRPr="00205340">
        <w:rPr>
          <w:color w:val="000000" w:themeColor="text1"/>
        </w:rPr>
        <w:t>eftrenonacog</w:t>
      </w:r>
      <w:proofErr w:type="spellEnd"/>
      <w:r w:rsidRPr="00205340">
        <w:rPr>
          <w:color w:val="000000" w:themeColor="text1"/>
        </w:rPr>
        <w:t xml:space="preserve"> alfa PI recommended dosing of 50 IU/kg once weekly or 100 IU/kg once every 10 days.</w:t>
      </w:r>
    </w:p>
    <w:p w14:paraId="7941A917" w14:textId="77777777" w:rsidR="0093608E" w:rsidRPr="00205340" w:rsidRDefault="0093608E" w:rsidP="0093608E">
      <w:pPr>
        <w:pStyle w:val="Heading3"/>
      </w:pPr>
      <w:r w:rsidRPr="00205340">
        <w:t>HMA and HMB CUA</w:t>
      </w:r>
    </w:p>
    <w:p w14:paraId="209E6400" w14:textId="569B656C" w:rsidR="00D74E30" w:rsidRPr="00205340" w:rsidRDefault="0093608E" w:rsidP="0093608E">
      <w:pPr>
        <w:rPr>
          <w:rFonts w:cstheme="minorHAnsi"/>
        </w:rPr>
      </w:pPr>
      <w:r w:rsidRPr="00205340">
        <w:rPr>
          <w:rFonts w:cstheme="minorHAnsi"/>
        </w:rPr>
        <w:t>As mentioned above, the ADAR presented a CUA for a pooled HMA and HMB population based on the BASIS trial. The Commentary considered that this was not appropriate as PASC had advised that two separate economic evaluation needed to be presented for the HMA and HMB populations</w:t>
      </w:r>
      <w:r w:rsidR="00B203B5" w:rsidRPr="00205340">
        <w:rPr>
          <w:rFonts w:cstheme="minorHAnsi"/>
        </w:rPr>
        <w:t xml:space="preserve"> given that each population has different comparators</w:t>
      </w:r>
      <w:r w:rsidRPr="00205340">
        <w:rPr>
          <w:rFonts w:cstheme="minorHAnsi"/>
        </w:rPr>
        <w:t xml:space="preserve">. </w:t>
      </w:r>
    </w:p>
    <w:p w14:paraId="2B26AFA5" w14:textId="77777777" w:rsidR="0083154B" w:rsidRPr="00205340" w:rsidRDefault="0093608E" w:rsidP="0093608E">
      <w:pPr>
        <w:rPr>
          <w:rFonts w:cstheme="minorHAnsi"/>
        </w:rPr>
      </w:pPr>
      <w:r w:rsidRPr="00205340">
        <w:rPr>
          <w:rFonts w:cstheme="minorHAnsi"/>
        </w:rPr>
        <w:t>Also as described above</w:t>
      </w:r>
      <w:r w:rsidR="006B2A0C" w:rsidRPr="00205340">
        <w:rPr>
          <w:rFonts w:cstheme="minorHAnsi"/>
        </w:rPr>
        <w:t>,</w:t>
      </w:r>
      <w:r w:rsidR="00D74E30" w:rsidRPr="00205340">
        <w:rPr>
          <w:rFonts w:cstheme="minorHAnsi"/>
        </w:rPr>
        <w:t xml:space="preserve"> PASC considered that a CUA for the HMB population was only warranted if</w:t>
      </w:r>
      <w:r w:rsidR="006B2A0C" w:rsidRPr="00205340">
        <w:rPr>
          <w:rFonts w:cstheme="minorHAnsi"/>
        </w:rPr>
        <w:t xml:space="preserve"> superiority for marstacimab against EHL prophylaxis was demonstrated</w:t>
      </w:r>
      <w:r w:rsidR="00D74E30" w:rsidRPr="00205340">
        <w:rPr>
          <w:rFonts w:cstheme="minorHAnsi"/>
        </w:rPr>
        <w:t xml:space="preserve">. However, the </w:t>
      </w:r>
      <w:r w:rsidR="00D74E30" w:rsidRPr="00205340">
        <w:rPr>
          <w:rFonts w:cstheme="minorHAnsi"/>
        </w:rPr>
        <w:lastRenderedPageBreak/>
        <w:t xml:space="preserve">Commentary considered that this was not demonstrated and hence the most appropriate economic evaluation for this population would be a CMA (as conducted during the evaluation above). </w:t>
      </w:r>
    </w:p>
    <w:p w14:paraId="1DB47B0B" w14:textId="43FE2D51" w:rsidR="00D74E30" w:rsidRPr="00205340" w:rsidRDefault="00D74E30" w:rsidP="0093608E">
      <w:pPr>
        <w:rPr>
          <w:rFonts w:cstheme="minorHAnsi"/>
        </w:rPr>
      </w:pPr>
      <w:r w:rsidRPr="00205340">
        <w:rPr>
          <w:rFonts w:cstheme="minorHAnsi"/>
        </w:rPr>
        <w:t xml:space="preserve">For the HMA population, the Commentary </w:t>
      </w:r>
      <w:r w:rsidR="00762E83" w:rsidRPr="00205340">
        <w:rPr>
          <w:rFonts w:cstheme="minorHAnsi"/>
        </w:rPr>
        <w:t xml:space="preserve">noted PASC advice that CMA against emicizumab (presented above) would be the most appropriate economic evaluation. </w:t>
      </w:r>
    </w:p>
    <w:p w14:paraId="253AE7A1" w14:textId="0B397AC3" w:rsidR="0093608E" w:rsidRPr="00205340" w:rsidRDefault="0093608E" w:rsidP="0093608E">
      <w:pPr>
        <w:rPr>
          <w:rFonts w:cstheme="minorHAnsi"/>
        </w:rPr>
      </w:pPr>
      <w:r w:rsidRPr="00205340">
        <w:rPr>
          <w:rFonts w:cstheme="minorHAnsi"/>
        </w:rPr>
        <w:t xml:space="preserve">Given that the BASIS trial predominantly </w:t>
      </w:r>
      <w:r w:rsidR="005A48D3" w:rsidRPr="00205340">
        <w:rPr>
          <w:rFonts w:cstheme="minorHAnsi"/>
        </w:rPr>
        <w:t xml:space="preserve">included </w:t>
      </w:r>
      <w:r w:rsidR="007A4556" w:rsidRPr="00205340">
        <w:rPr>
          <w:rFonts w:cstheme="minorHAnsi"/>
        </w:rPr>
        <w:t xml:space="preserve">patients with </w:t>
      </w:r>
      <w:r w:rsidRPr="00205340">
        <w:rPr>
          <w:rFonts w:cstheme="minorHAnsi"/>
        </w:rPr>
        <w:t>HMA</w:t>
      </w:r>
      <w:r w:rsidR="00D74E30" w:rsidRPr="00205340">
        <w:rPr>
          <w:rFonts w:cstheme="minorHAnsi"/>
        </w:rPr>
        <w:t xml:space="preserve"> </w:t>
      </w:r>
      <w:r w:rsidR="00841DE4" w:rsidRPr="00205340">
        <w:rPr>
          <w:rFonts w:cstheme="minorHAnsi"/>
        </w:rPr>
        <w:t>(79% HMA versus 21% HMB)</w:t>
      </w:r>
      <w:r w:rsidRPr="00205340">
        <w:rPr>
          <w:rFonts w:cstheme="minorHAnsi"/>
        </w:rPr>
        <w:t xml:space="preserve">, the use of pooled data from the BASIS trial infers that the treatment effect of marstacimab vs FVIII replacement in HMA applies to the effect of marstacimab treatment vs FIX replacement in HMB. The Commentary considered that, based on Section </w:t>
      </w:r>
      <w:r w:rsidRPr="00205340">
        <w:rPr>
          <w:rFonts w:cstheme="minorHAnsi"/>
        </w:rPr>
        <w:fldChar w:fldCharType="begin" w:fldLock="1"/>
      </w:r>
      <w:r w:rsidRPr="00205340">
        <w:rPr>
          <w:rFonts w:cstheme="minorHAnsi"/>
        </w:rPr>
        <w:instrText xml:space="preserve"> REF _Ref215675657 \h </w:instrText>
      </w:r>
      <w:r w:rsidR="00205340">
        <w:rPr>
          <w:rFonts w:cstheme="minorHAnsi"/>
        </w:rPr>
        <w:instrText xml:space="preserve"> \* MERGEFORMAT </w:instrText>
      </w:r>
      <w:r w:rsidRPr="00205340">
        <w:rPr>
          <w:rFonts w:cstheme="minorHAnsi"/>
        </w:rPr>
      </w:r>
      <w:r w:rsidRPr="00205340">
        <w:rPr>
          <w:rFonts w:cstheme="minorHAnsi"/>
        </w:rPr>
        <w:fldChar w:fldCharType="separate"/>
      </w:r>
      <w:r w:rsidR="00F80C9A" w:rsidRPr="00205340">
        <w:t>1</w:t>
      </w:r>
      <w:r w:rsidR="00326A50" w:rsidRPr="00205340">
        <w:t>2</w:t>
      </w:r>
      <w:r w:rsidR="00F80C9A" w:rsidRPr="00205340">
        <w:t>.</w:t>
      </w:r>
      <w:r w:rsidR="00F80C9A" w:rsidRPr="00205340">
        <w:tab/>
        <w:t>Overall conclusion for clinical claims</w:t>
      </w:r>
      <w:r w:rsidRPr="00205340">
        <w:rPr>
          <w:rFonts w:cstheme="minorHAnsi"/>
        </w:rPr>
        <w:fldChar w:fldCharType="end"/>
      </w:r>
      <w:r w:rsidRPr="00205340">
        <w:rPr>
          <w:rFonts w:cstheme="minorHAnsi"/>
        </w:rPr>
        <w:t xml:space="preserve">, this was not supported. </w:t>
      </w:r>
    </w:p>
    <w:p w14:paraId="5FD4E1F4" w14:textId="31665771" w:rsidR="0093608E" w:rsidRPr="00205340" w:rsidRDefault="0093608E" w:rsidP="0093608E">
      <w:pPr>
        <w:rPr>
          <w:rFonts w:cstheme="minorHAnsi"/>
        </w:rPr>
      </w:pPr>
      <w:r w:rsidRPr="00205340">
        <w:rPr>
          <w:rFonts w:cstheme="minorHAnsi"/>
        </w:rPr>
        <w:t>The Commentary considered that the following evaluation of the CUA should be interpreted in the context of these concerns</w:t>
      </w:r>
      <w:r w:rsidR="00D91B8E" w:rsidRPr="00205340">
        <w:rPr>
          <w:rFonts w:cstheme="minorHAnsi"/>
        </w:rPr>
        <w:t xml:space="preserve">. </w:t>
      </w:r>
    </w:p>
    <w:p w14:paraId="04ED3F03" w14:textId="37273D0B" w:rsidR="0093608E" w:rsidRPr="00205340" w:rsidRDefault="0093608E" w:rsidP="0093608E">
      <w:r w:rsidRPr="00205340">
        <w:t>They key components of the CUA are presented</w:t>
      </w:r>
      <w:r w:rsidR="00F04910" w:rsidRPr="00205340">
        <w:t xml:space="preserve"> </w:t>
      </w:r>
      <w:r w:rsidR="00F04910" w:rsidRPr="00205340">
        <w:fldChar w:fldCharType="begin" w:fldLock="1"/>
      </w:r>
      <w:r w:rsidR="00F04910" w:rsidRPr="00205340">
        <w:instrText xml:space="preserve"> REF _Ref227157188 \h </w:instrText>
      </w:r>
      <w:r w:rsidR="00205340">
        <w:instrText xml:space="preserve"> \* MERGEFORMAT </w:instrText>
      </w:r>
      <w:r w:rsidR="00F04910" w:rsidRPr="00205340">
        <w:fldChar w:fldCharType="separate"/>
      </w:r>
      <w:r w:rsidR="00F04910" w:rsidRPr="00205340">
        <w:t xml:space="preserve">Table </w:t>
      </w:r>
      <w:r w:rsidR="00F04910" w:rsidRPr="00205340">
        <w:rPr>
          <w:noProof/>
        </w:rPr>
        <w:t>19</w:t>
      </w:r>
      <w:r w:rsidR="00F04910" w:rsidRPr="00205340">
        <w:fldChar w:fldCharType="end"/>
      </w:r>
      <w:r w:rsidRPr="00205340">
        <w:t>.</w:t>
      </w:r>
    </w:p>
    <w:p w14:paraId="10986C04" w14:textId="74FD4EFA" w:rsidR="00F04910" w:rsidRPr="00205340" w:rsidRDefault="00F04910" w:rsidP="00F04910">
      <w:pPr>
        <w:pStyle w:val="Caption"/>
      </w:pPr>
      <w:bookmarkStart w:id="60" w:name="_Ref227157188"/>
      <w:r w:rsidRPr="00205340">
        <w:t xml:space="preserve">Table </w:t>
      </w:r>
      <w:fldSimple w:instr=" SEQ Table \* ARABIC ">
        <w:r w:rsidR="002C6A9B" w:rsidRPr="00205340">
          <w:rPr>
            <w:noProof/>
          </w:rPr>
          <w:t>19</w:t>
        </w:r>
      </w:fldSimple>
      <w:bookmarkEnd w:id="60"/>
      <w:r w:rsidRPr="00205340">
        <w:t xml:space="preserve"> Summary of the economic evaluation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the economic evaluation "/>
        <w:tblDescription w:val="This table describes the key constructs of the economic evaluation that is provided in the assessment report."/>
      </w:tblPr>
      <w:tblGrid>
        <w:gridCol w:w="1413"/>
        <w:gridCol w:w="7654"/>
      </w:tblGrid>
      <w:tr w:rsidR="0093608E" w:rsidRPr="00205340" w14:paraId="66FC30FA" w14:textId="77777777">
        <w:trPr>
          <w:cantSplit/>
          <w:tblHeader/>
        </w:trPr>
        <w:tc>
          <w:tcPr>
            <w:tcW w:w="1413" w:type="dxa"/>
          </w:tcPr>
          <w:p w14:paraId="68513D1D" w14:textId="77777777" w:rsidR="0093608E" w:rsidRPr="00205340" w:rsidRDefault="0093608E">
            <w:pPr>
              <w:pStyle w:val="TableHeading"/>
              <w:keepNext w:val="0"/>
              <w:rPr>
                <w:szCs w:val="20"/>
              </w:rPr>
            </w:pPr>
            <w:r w:rsidRPr="00205340">
              <w:rPr>
                <w:szCs w:val="20"/>
              </w:rPr>
              <w:t>Component</w:t>
            </w:r>
          </w:p>
        </w:tc>
        <w:tc>
          <w:tcPr>
            <w:tcW w:w="7654" w:type="dxa"/>
          </w:tcPr>
          <w:p w14:paraId="0FA278AD" w14:textId="77777777" w:rsidR="0093608E" w:rsidRPr="00205340" w:rsidRDefault="0093608E">
            <w:pPr>
              <w:pStyle w:val="TableHeading"/>
              <w:keepNext w:val="0"/>
              <w:rPr>
                <w:szCs w:val="20"/>
              </w:rPr>
            </w:pPr>
            <w:r w:rsidRPr="00205340">
              <w:rPr>
                <w:szCs w:val="20"/>
              </w:rPr>
              <w:t>Description</w:t>
            </w:r>
          </w:p>
        </w:tc>
      </w:tr>
      <w:tr w:rsidR="0093608E" w:rsidRPr="00205340" w14:paraId="724D796C" w14:textId="77777777">
        <w:trPr>
          <w:cantSplit/>
        </w:trPr>
        <w:tc>
          <w:tcPr>
            <w:tcW w:w="1413" w:type="dxa"/>
          </w:tcPr>
          <w:p w14:paraId="73EFE67F" w14:textId="77777777" w:rsidR="0093608E" w:rsidRPr="00205340" w:rsidRDefault="0093608E">
            <w:pPr>
              <w:pStyle w:val="TableText"/>
              <w:rPr>
                <w:szCs w:val="20"/>
              </w:rPr>
            </w:pPr>
            <w:r w:rsidRPr="00205340">
              <w:rPr>
                <w:szCs w:val="20"/>
              </w:rPr>
              <w:t>Perspective</w:t>
            </w:r>
          </w:p>
        </w:tc>
        <w:tc>
          <w:tcPr>
            <w:tcW w:w="7654" w:type="dxa"/>
          </w:tcPr>
          <w:p w14:paraId="556A83C1" w14:textId="77777777" w:rsidR="0093608E" w:rsidRPr="00205340" w:rsidRDefault="0093608E">
            <w:pPr>
              <w:pStyle w:val="TableText"/>
              <w:rPr>
                <w:szCs w:val="20"/>
              </w:rPr>
            </w:pPr>
            <w:r w:rsidRPr="00205340">
              <w:rPr>
                <w:szCs w:val="20"/>
              </w:rPr>
              <w:t>Health care system perspective</w:t>
            </w:r>
          </w:p>
        </w:tc>
      </w:tr>
      <w:tr w:rsidR="0093608E" w:rsidRPr="00205340" w14:paraId="3DAFE1E7" w14:textId="77777777">
        <w:trPr>
          <w:cantSplit/>
          <w:tblHeader/>
        </w:trPr>
        <w:tc>
          <w:tcPr>
            <w:tcW w:w="1413" w:type="dxa"/>
          </w:tcPr>
          <w:p w14:paraId="21381D2C" w14:textId="77777777" w:rsidR="0093608E" w:rsidRPr="00205340" w:rsidRDefault="0093608E">
            <w:pPr>
              <w:pStyle w:val="TableText"/>
              <w:rPr>
                <w:szCs w:val="20"/>
              </w:rPr>
            </w:pPr>
            <w:r w:rsidRPr="00205340">
              <w:rPr>
                <w:szCs w:val="20"/>
              </w:rPr>
              <w:t>Population</w:t>
            </w:r>
          </w:p>
        </w:tc>
        <w:tc>
          <w:tcPr>
            <w:tcW w:w="7654" w:type="dxa"/>
          </w:tcPr>
          <w:p w14:paraId="00C3DB0F" w14:textId="77777777" w:rsidR="0093608E" w:rsidRPr="00205340" w:rsidRDefault="0093608E">
            <w:pPr>
              <w:pStyle w:val="TableText"/>
              <w:rPr>
                <w:rFonts w:cstheme="minorHAnsi"/>
              </w:rPr>
            </w:pPr>
            <w:r w:rsidRPr="00205340">
              <w:rPr>
                <w:rFonts w:cstheme="minorHAnsi"/>
              </w:rPr>
              <w:t>Australian adolescents and adults aged 12 years and older with severe HMA or HMB without inhibitors.</w:t>
            </w:r>
          </w:p>
          <w:p w14:paraId="74B77928" w14:textId="77777777" w:rsidR="0093608E" w:rsidRPr="00205340" w:rsidRDefault="0093608E">
            <w:pPr>
              <w:pStyle w:val="TableText"/>
              <w:rPr>
                <w:szCs w:val="20"/>
              </w:rPr>
            </w:pPr>
            <w:r w:rsidRPr="00205340">
              <w:rPr>
                <w:szCs w:val="20"/>
              </w:rPr>
              <w:t xml:space="preserve">The Commentary noted that this was not appropriate as PASC had advised that separate economic evaluations should be presented for the HMA and HMB cohorts. </w:t>
            </w:r>
          </w:p>
        </w:tc>
      </w:tr>
      <w:tr w:rsidR="0093608E" w:rsidRPr="00205340" w14:paraId="4A56DC83" w14:textId="77777777">
        <w:trPr>
          <w:cantSplit/>
        </w:trPr>
        <w:tc>
          <w:tcPr>
            <w:tcW w:w="1413" w:type="dxa"/>
          </w:tcPr>
          <w:p w14:paraId="1F7A2F5D" w14:textId="77777777" w:rsidR="0093608E" w:rsidRPr="00205340" w:rsidRDefault="0093608E">
            <w:pPr>
              <w:pStyle w:val="TableText"/>
              <w:rPr>
                <w:szCs w:val="20"/>
              </w:rPr>
            </w:pPr>
            <w:r w:rsidRPr="00205340">
              <w:rPr>
                <w:szCs w:val="20"/>
              </w:rPr>
              <w:t>Comparator</w:t>
            </w:r>
          </w:p>
        </w:tc>
        <w:tc>
          <w:tcPr>
            <w:tcW w:w="7654" w:type="dxa"/>
          </w:tcPr>
          <w:p w14:paraId="2D77D176" w14:textId="7FF7B81C" w:rsidR="0093608E" w:rsidRPr="00205340" w:rsidRDefault="0093608E">
            <w:pPr>
              <w:pStyle w:val="TableText"/>
              <w:rPr>
                <w:szCs w:val="20"/>
              </w:rPr>
            </w:pPr>
            <w:r w:rsidRPr="00205340">
              <w:rPr>
                <w:szCs w:val="20"/>
              </w:rPr>
              <w:t xml:space="preserve">HMA population: EHL </w:t>
            </w:r>
            <w:r w:rsidR="006014A1" w:rsidRPr="00205340">
              <w:rPr>
                <w:szCs w:val="20"/>
              </w:rPr>
              <w:t>F</w:t>
            </w:r>
            <w:r w:rsidRPr="00205340">
              <w:rPr>
                <w:szCs w:val="20"/>
              </w:rPr>
              <w:t>actor VIII prophylaxis</w:t>
            </w:r>
          </w:p>
          <w:p w14:paraId="68AB6B10" w14:textId="5D5F007B" w:rsidR="0093608E" w:rsidRPr="00205340" w:rsidRDefault="0093608E">
            <w:pPr>
              <w:pStyle w:val="TableText"/>
              <w:rPr>
                <w:szCs w:val="20"/>
              </w:rPr>
            </w:pPr>
            <w:r w:rsidRPr="00205340">
              <w:rPr>
                <w:szCs w:val="20"/>
              </w:rPr>
              <w:t xml:space="preserve">HMB population: EHL </w:t>
            </w:r>
            <w:r w:rsidR="006014A1" w:rsidRPr="00205340">
              <w:rPr>
                <w:szCs w:val="20"/>
              </w:rPr>
              <w:t>F</w:t>
            </w:r>
            <w:r w:rsidRPr="00205340">
              <w:rPr>
                <w:szCs w:val="20"/>
              </w:rPr>
              <w:t>actor IX prophylaxis</w:t>
            </w:r>
          </w:p>
          <w:p w14:paraId="133744CB" w14:textId="091D5D29" w:rsidR="0093608E" w:rsidRPr="00205340" w:rsidRDefault="0093608E">
            <w:pPr>
              <w:pStyle w:val="TableText"/>
              <w:rPr>
                <w:szCs w:val="20"/>
              </w:rPr>
            </w:pPr>
          </w:p>
        </w:tc>
      </w:tr>
      <w:tr w:rsidR="0093608E" w:rsidRPr="00205340" w14:paraId="7BD5BCDB" w14:textId="77777777">
        <w:trPr>
          <w:cantSplit/>
        </w:trPr>
        <w:tc>
          <w:tcPr>
            <w:tcW w:w="1413" w:type="dxa"/>
          </w:tcPr>
          <w:p w14:paraId="01567359" w14:textId="77777777" w:rsidR="0093608E" w:rsidRPr="00205340" w:rsidRDefault="0093608E">
            <w:pPr>
              <w:pStyle w:val="TableText"/>
              <w:rPr>
                <w:szCs w:val="20"/>
              </w:rPr>
            </w:pPr>
            <w:r w:rsidRPr="00205340">
              <w:rPr>
                <w:szCs w:val="20"/>
              </w:rPr>
              <w:t>Type(s) of analysis</w:t>
            </w:r>
          </w:p>
        </w:tc>
        <w:tc>
          <w:tcPr>
            <w:tcW w:w="7654" w:type="dxa"/>
          </w:tcPr>
          <w:p w14:paraId="6C93C411" w14:textId="77777777" w:rsidR="0093608E" w:rsidRPr="00205340" w:rsidRDefault="0093608E">
            <w:pPr>
              <w:pStyle w:val="TableText"/>
              <w:rPr>
                <w:szCs w:val="20"/>
              </w:rPr>
            </w:pPr>
            <w:r w:rsidRPr="00205340">
              <w:rPr>
                <w:szCs w:val="20"/>
              </w:rPr>
              <w:t>Cost-utility analysis</w:t>
            </w:r>
          </w:p>
        </w:tc>
      </w:tr>
      <w:tr w:rsidR="0093608E" w:rsidRPr="00205340" w14:paraId="16F49F00" w14:textId="77777777">
        <w:trPr>
          <w:cantSplit/>
        </w:trPr>
        <w:tc>
          <w:tcPr>
            <w:tcW w:w="1413" w:type="dxa"/>
          </w:tcPr>
          <w:p w14:paraId="51BB0C87" w14:textId="77777777" w:rsidR="0093608E" w:rsidRPr="00205340" w:rsidRDefault="0093608E">
            <w:pPr>
              <w:pStyle w:val="TableText"/>
              <w:rPr>
                <w:szCs w:val="20"/>
              </w:rPr>
            </w:pPr>
            <w:r w:rsidRPr="00205340">
              <w:rPr>
                <w:szCs w:val="20"/>
              </w:rPr>
              <w:t>Outcomes</w:t>
            </w:r>
          </w:p>
        </w:tc>
        <w:tc>
          <w:tcPr>
            <w:tcW w:w="7654" w:type="dxa"/>
          </w:tcPr>
          <w:p w14:paraId="0FDC7156" w14:textId="77777777" w:rsidR="0093608E" w:rsidRPr="00205340" w:rsidRDefault="0093608E">
            <w:pPr>
              <w:pStyle w:val="TableText"/>
              <w:rPr>
                <w:szCs w:val="20"/>
              </w:rPr>
            </w:pPr>
            <w:r w:rsidRPr="00205340">
              <w:rPr>
                <w:szCs w:val="20"/>
              </w:rPr>
              <w:t>Quality-adjusted life years</w:t>
            </w:r>
          </w:p>
        </w:tc>
      </w:tr>
      <w:tr w:rsidR="0093608E" w:rsidRPr="00205340" w14:paraId="29BC716C" w14:textId="77777777">
        <w:trPr>
          <w:cantSplit/>
        </w:trPr>
        <w:tc>
          <w:tcPr>
            <w:tcW w:w="1413" w:type="dxa"/>
          </w:tcPr>
          <w:p w14:paraId="418483AA" w14:textId="77777777" w:rsidR="0093608E" w:rsidRPr="00205340" w:rsidRDefault="0093608E">
            <w:pPr>
              <w:pStyle w:val="TableText"/>
              <w:rPr>
                <w:szCs w:val="20"/>
              </w:rPr>
            </w:pPr>
            <w:r w:rsidRPr="00205340">
              <w:rPr>
                <w:szCs w:val="20"/>
              </w:rPr>
              <w:t>Time horizon</w:t>
            </w:r>
          </w:p>
        </w:tc>
        <w:tc>
          <w:tcPr>
            <w:tcW w:w="7654" w:type="dxa"/>
          </w:tcPr>
          <w:p w14:paraId="4EA3F910" w14:textId="77777777" w:rsidR="0093608E" w:rsidRPr="00205340" w:rsidRDefault="0093608E">
            <w:pPr>
              <w:pStyle w:val="TableText"/>
              <w:rPr>
                <w:szCs w:val="20"/>
              </w:rPr>
            </w:pPr>
            <w:r w:rsidRPr="00205340">
              <w:rPr>
                <w:szCs w:val="20"/>
              </w:rPr>
              <w:t xml:space="preserve">Lifetime (66 years as patients enter the model at 33 years). </w:t>
            </w:r>
          </w:p>
          <w:p w14:paraId="13BBE13C" w14:textId="468BB47A" w:rsidR="0093608E" w:rsidRPr="00205340" w:rsidRDefault="00881B44">
            <w:pPr>
              <w:pStyle w:val="TableText"/>
              <w:rPr>
                <w:szCs w:val="20"/>
              </w:rPr>
            </w:pPr>
            <w:r w:rsidRPr="00205340">
              <w:rPr>
                <w:szCs w:val="20"/>
              </w:rPr>
              <w:t xml:space="preserve">The Commentary noted that this assumption reflects the </w:t>
            </w:r>
            <w:r w:rsidR="004B2DD8" w:rsidRPr="00205340">
              <w:rPr>
                <w:szCs w:val="20"/>
              </w:rPr>
              <w:t>mean age</w:t>
            </w:r>
            <w:r w:rsidR="00806F42" w:rsidRPr="00205340">
              <w:rPr>
                <w:szCs w:val="20"/>
              </w:rPr>
              <w:t xml:space="preserve"> of the </w:t>
            </w:r>
            <w:r w:rsidRPr="00205340">
              <w:rPr>
                <w:szCs w:val="20"/>
              </w:rPr>
              <w:t xml:space="preserve">population </w:t>
            </w:r>
            <w:r w:rsidR="003F7332" w:rsidRPr="00205340">
              <w:rPr>
                <w:szCs w:val="20"/>
              </w:rPr>
              <w:t>in the key trial</w:t>
            </w:r>
            <w:r w:rsidRPr="00205340">
              <w:rPr>
                <w:szCs w:val="20"/>
              </w:rPr>
              <w:t>. The</w:t>
            </w:r>
            <w:r w:rsidR="00B95ED7" w:rsidRPr="00205340">
              <w:rPr>
                <w:szCs w:val="20"/>
              </w:rPr>
              <w:t xml:space="preserve"> Commentary noted that the</w:t>
            </w:r>
            <w:r w:rsidRPr="00205340">
              <w:rPr>
                <w:szCs w:val="20"/>
              </w:rPr>
              <w:t xml:space="preserve"> limited subgroup analysis from the trial does suggest that there may be a difference in treatment effect in younger patients, however the data from the trial used in the model are not available by subgroup (as these are based on post-hoc analyses of trial data), and so </w:t>
            </w:r>
            <w:r w:rsidR="00314EE1" w:rsidRPr="00205340">
              <w:rPr>
                <w:szCs w:val="20"/>
              </w:rPr>
              <w:t>the Commentary could not</w:t>
            </w:r>
            <w:r w:rsidRPr="00205340">
              <w:rPr>
                <w:szCs w:val="20"/>
              </w:rPr>
              <w:t xml:space="preserve"> test the impact of this assumption.</w:t>
            </w:r>
          </w:p>
        </w:tc>
      </w:tr>
      <w:tr w:rsidR="0093608E" w:rsidRPr="00205340" w14:paraId="13393B7D" w14:textId="77777777">
        <w:trPr>
          <w:cantSplit/>
        </w:trPr>
        <w:tc>
          <w:tcPr>
            <w:tcW w:w="1413" w:type="dxa"/>
          </w:tcPr>
          <w:p w14:paraId="3D57FFAC" w14:textId="77777777" w:rsidR="0093608E" w:rsidRPr="00205340" w:rsidRDefault="0093608E">
            <w:pPr>
              <w:pStyle w:val="TableText"/>
              <w:rPr>
                <w:szCs w:val="20"/>
              </w:rPr>
            </w:pPr>
            <w:r w:rsidRPr="00205340">
              <w:rPr>
                <w:szCs w:val="20"/>
              </w:rPr>
              <w:t>Computational method</w:t>
            </w:r>
          </w:p>
        </w:tc>
        <w:tc>
          <w:tcPr>
            <w:tcW w:w="7654" w:type="dxa"/>
          </w:tcPr>
          <w:p w14:paraId="73F82F3D" w14:textId="77777777" w:rsidR="0093608E" w:rsidRPr="00205340" w:rsidRDefault="0093608E">
            <w:pPr>
              <w:pStyle w:val="TableText"/>
              <w:rPr>
                <w:szCs w:val="20"/>
              </w:rPr>
            </w:pPr>
            <w:r w:rsidRPr="00205340">
              <w:rPr>
                <w:szCs w:val="20"/>
              </w:rPr>
              <w:t>Decision tree followed by Markov cohort model</w:t>
            </w:r>
          </w:p>
        </w:tc>
      </w:tr>
      <w:tr w:rsidR="0093608E" w:rsidRPr="00205340" w14:paraId="59A6691A" w14:textId="77777777">
        <w:trPr>
          <w:cantSplit/>
        </w:trPr>
        <w:tc>
          <w:tcPr>
            <w:tcW w:w="1413" w:type="dxa"/>
          </w:tcPr>
          <w:p w14:paraId="15ABD57F" w14:textId="77777777" w:rsidR="0093608E" w:rsidRPr="00205340" w:rsidRDefault="0093608E">
            <w:pPr>
              <w:pStyle w:val="TableText"/>
              <w:rPr>
                <w:szCs w:val="20"/>
              </w:rPr>
            </w:pPr>
            <w:r w:rsidRPr="00205340">
              <w:rPr>
                <w:szCs w:val="20"/>
              </w:rPr>
              <w:t>Health states</w:t>
            </w:r>
          </w:p>
        </w:tc>
        <w:tc>
          <w:tcPr>
            <w:tcW w:w="7654" w:type="dxa"/>
          </w:tcPr>
          <w:p w14:paraId="7C2A2D9E" w14:textId="77777777" w:rsidR="0093608E" w:rsidRPr="00205340" w:rsidRDefault="0093608E">
            <w:pPr>
              <w:pStyle w:val="TableText"/>
              <w:rPr>
                <w:szCs w:val="20"/>
              </w:rPr>
            </w:pPr>
            <w:r w:rsidRPr="00205340">
              <w:rPr>
                <w:szCs w:val="20"/>
              </w:rPr>
              <w:t>Decision tree outcomes:</w:t>
            </w:r>
          </w:p>
          <w:p w14:paraId="79250759" w14:textId="77777777" w:rsidR="0093608E" w:rsidRPr="00205340" w:rsidRDefault="0093608E" w:rsidP="005C116D">
            <w:pPr>
              <w:pStyle w:val="TableText"/>
              <w:numPr>
                <w:ilvl w:val="0"/>
                <w:numId w:val="17"/>
              </w:numPr>
              <w:rPr>
                <w:szCs w:val="20"/>
              </w:rPr>
            </w:pPr>
            <w:r w:rsidRPr="00205340">
              <w:rPr>
                <w:szCs w:val="20"/>
              </w:rPr>
              <w:t>&lt;5 6-month bleeding rate group</w:t>
            </w:r>
          </w:p>
          <w:p w14:paraId="1C97D267" w14:textId="77777777" w:rsidR="0093608E" w:rsidRPr="00205340" w:rsidRDefault="0093608E" w:rsidP="005C116D">
            <w:pPr>
              <w:pStyle w:val="TableText"/>
              <w:numPr>
                <w:ilvl w:val="0"/>
                <w:numId w:val="17"/>
              </w:numPr>
              <w:rPr>
                <w:szCs w:val="20"/>
              </w:rPr>
            </w:pPr>
            <w:r w:rsidRPr="00205340">
              <w:rPr>
                <w:szCs w:val="20"/>
              </w:rPr>
              <w:t>≥5 6-month bleeding rate group</w:t>
            </w:r>
          </w:p>
          <w:p w14:paraId="076F70A5" w14:textId="77777777" w:rsidR="0093608E" w:rsidRPr="00205340" w:rsidRDefault="0093608E">
            <w:pPr>
              <w:pStyle w:val="TableText"/>
              <w:rPr>
                <w:szCs w:val="20"/>
              </w:rPr>
            </w:pPr>
            <w:r w:rsidRPr="00205340">
              <w:rPr>
                <w:szCs w:val="20"/>
              </w:rPr>
              <w:t>Markov cohort model health states:</w:t>
            </w:r>
          </w:p>
          <w:p w14:paraId="59411865" w14:textId="77777777" w:rsidR="0093608E" w:rsidRPr="00205340" w:rsidRDefault="0093608E" w:rsidP="005C116D">
            <w:pPr>
              <w:pStyle w:val="TableText"/>
              <w:numPr>
                <w:ilvl w:val="0"/>
                <w:numId w:val="22"/>
              </w:numPr>
              <w:rPr>
                <w:szCs w:val="20"/>
              </w:rPr>
            </w:pPr>
            <w:r w:rsidRPr="00205340">
              <w:rPr>
                <w:szCs w:val="20"/>
              </w:rPr>
              <w:t>Experiencing target joint bleed</w:t>
            </w:r>
          </w:p>
          <w:p w14:paraId="3151CC36" w14:textId="77777777" w:rsidR="0093608E" w:rsidRPr="00205340" w:rsidRDefault="0093608E" w:rsidP="005C116D">
            <w:pPr>
              <w:pStyle w:val="TableText"/>
              <w:numPr>
                <w:ilvl w:val="0"/>
                <w:numId w:val="17"/>
              </w:numPr>
              <w:rPr>
                <w:szCs w:val="20"/>
              </w:rPr>
            </w:pPr>
            <w:r w:rsidRPr="00205340">
              <w:rPr>
                <w:szCs w:val="20"/>
              </w:rPr>
              <w:t>Chronic haemophilic arthropathy</w:t>
            </w:r>
          </w:p>
          <w:p w14:paraId="2A13EE36" w14:textId="77777777" w:rsidR="0093608E" w:rsidRPr="00205340" w:rsidRDefault="0093608E" w:rsidP="005C116D">
            <w:pPr>
              <w:pStyle w:val="TableText"/>
              <w:numPr>
                <w:ilvl w:val="0"/>
                <w:numId w:val="17"/>
              </w:numPr>
              <w:rPr>
                <w:szCs w:val="20"/>
              </w:rPr>
            </w:pPr>
            <w:r w:rsidRPr="00205340">
              <w:rPr>
                <w:szCs w:val="20"/>
              </w:rPr>
              <w:t>Dead</w:t>
            </w:r>
          </w:p>
        </w:tc>
      </w:tr>
      <w:tr w:rsidR="0093608E" w:rsidRPr="00205340" w14:paraId="213E8D59" w14:textId="77777777">
        <w:trPr>
          <w:cantSplit/>
        </w:trPr>
        <w:tc>
          <w:tcPr>
            <w:tcW w:w="1413" w:type="dxa"/>
          </w:tcPr>
          <w:p w14:paraId="601B0254" w14:textId="77777777" w:rsidR="0093608E" w:rsidRPr="00205340" w:rsidRDefault="0093608E">
            <w:pPr>
              <w:pStyle w:val="TableText"/>
              <w:rPr>
                <w:szCs w:val="20"/>
              </w:rPr>
            </w:pPr>
            <w:r w:rsidRPr="00205340">
              <w:rPr>
                <w:szCs w:val="20"/>
              </w:rPr>
              <w:t>Cycle length</w:t>
            </w:r>
          </w:p>
        </w:tc>
        <w:tc>
          <w:tcPr>
            <w:tcW w:w="7654" w:type="dxa"/>
          </w:tcPr>
          <w:p w14:paraId="07354256" w14:textId="77777777" w:rsidR="0093608E" w:rsidRPr="00205340" w:rsidRDefault="0093608E">
            <w:pPr>
              <w:pStyle w:val="TableText"/>
              <w:rPr>
                <w:szCs w:val="20"/>
              </w:rPr>
            </w:pPr>
            <w:r w:rsidRPr="00205340">
              <w:rPr>
                <w:szCs w:val="20"/>
              </w:rPr>
              <w:t>Six months</w:t>
            </w:r>
          </w:p>
        </w:tc>
      </w:tr>
      <w:tr w:rsidR="0093608E" w:rsidRPr="00205340" w14:paraId="65A91161" w14:textId="77777777">
        <w:trPr>
          <w:cantSplit/>
        </w:trPr>
        <w:tc>
          <w:tcPr>
            <w:tcW w:w="1413" w:type="dxa"/>
          </w:tcPr>
          <w:p w14:paraId="77C15A55" w14:textId="77777777" w:rsidR="0093608E" w:rsidRPr="00205340" w:rsidRDefault="0093608E">
            <w:pPr>
              <w:pStyle w:val="TableText"/>
              <w:rPr>
                <w:szCs w:val="20"/>
              </w:rPr>
            </w:pPr>
            <w:r w:rsidRPr="00205340">
              <w:rPr>
                <w:szCs w:val="20"/>
              </w:rPr>
              <w:lastRenderedPageBreak/>
              <w:t>Outcome and transition probabilities</w:t>
            </w:r>
          </w:p>
        </w:tc>
        <w:tc>
          <w:tcPr>
            <w:tcW w:w="7654" w:type="dxa"/>
          </w:tcPr>
          <w:p w14:paraId="4FB36843" w14:textId="77777777" w:rsidR="0093608E" w:rsidRPr="00205340" w:rsidRDefault="0093608E">
            <w:pPr>
              <w:pStyle w:val="TableText"/>
            </w:pPr>
            <w:r w:rsidRPr="00205340">
              <w:t>Decision tree:</w:t>
            </w:r>
          </w:p>
          <w:p w14:paraId="30B3B612" w14:textId="3DEEBDEE" w:rsidR="0093608E" w:rsidRPr="00205340" w:rsidRDefault="0093608E">
            <w:pPr>
              <w:pStyle w:val="TableText"/>
              <w:rPr>
                <w:szCs w:val="20"/>
              </w:rPr>
            </w:pPr>
            <w:r w:rsidRPr="00205340">
              <w:rPr>
                <w:szCs w:val="20"/>
              </w:rPr>
              <w:t>Patients were assigned to each 6-month bleeding rate group based on the distribution observed in the BASIS trial and the BASIS LTE.</w:t>
            </w:r>
            <w:r w:rsidR="00480B7D" w:rsidRPr="00205340">
              <w:rPr>
                <w:szCs w:val="20"/>
              </w:rPr>
              <w:t xml:space="preserve"> The Commentary noted</w:t>
            </w:r>
            <w:r w:rsidRPr="00205340">
              <w:rPr>
                <w:szCs w:val="20"/>
              </w:rPr>
              <w:t xml:space="preserve"> </w:t>
            </w:r>
            <w:r w:rsidR="00480B7D" w:rsidRPr="00205340">
              <w:rPr>
                <w:szCs w:val="20"/>
              </w:rPr>
              <w:t>o</w:t>
            </w:r>
            <w:r w:rsidRPr="00205340">
              <w:rPr>
                <w:szCs w:val="20"/>
              </w:rPr>
              <w:t xml:space="preserve">nce patients are assigned to their bleeding rate group at model entry, they can no longer switch back. </w:t>
            </w:r>
            <w:r w:rsidR="00480B7D" w:rsidRPr="00205340">
              <w:rPr>
                <w:szCs w:val="20"/>
              </w:rPr>
              <w:t>The Commentary considered t</w:t>
            </w:r>
            <w:r w:rsidRPr="00205340">
              <w:rPr>
                <w:szCs w:val="20"/>
              </w:rPr>
              <w:t>his assumption was not justified and was not reasonable.</w:t>
            </w:r>
          </w:p>
          <w:tbl>
            <w:tblPr>
              <w:tblStyle w:val="TableGrid"/>
              <w:tblW w:w="0" w:type="auto"/>
              <w:tblLook w:val="04A0" w:firstRow="1" w:lastRow="0" w:firstColumn="1" w:lastColumn="0" w:noHBand="0" w:noVBand="1"/>
            </w:tblPr>
            <w:tblGrid>
              <w:gridCol w:w="1991"/>
              <w:gridCol w:w="2423"/>
              <w:gridCol w:w="2424"/>
            </w:tblGrid>
            <w:tr w:rsidR="007F0F4D" w:rsidRPr="00205340" w14:paraId="04FC4EE9" w14:textId="77777777">
              <w:tc>
                <w:tcPr>
                  <w:tcW w:w="1991" w:type="dxa"/>
                  <w:vAlign w:val="center"/>
                </w:tcPr>
                <w:p w14:paraId="795CA14F" w14:textId="77777777" w:rsidR="0093608E" w:rsidRPr="00205340" w:rsidRDefault="0093608E">
                  <w:pPr>
                    <w:pStyle w:val="TableText"/>
                    <w:jc w:val="center"/>
                    <w:rPr>
                      <w:b/>
                      <w:bCs/>
                      <w:szCs w:val="20"/>
                    </w:rPr>
                  </w:pPr>
                </w:p>
              </w:tc>
              <w:tc>
                <w:tcPr>
                  <w:tcW w:w="2423" w:type="dxa"/>
                  <w:vAlign w:val="center"/>
                </w:tcPr>
                <w:p w14:paraId="71A54C8E" w14:textId="77777777" w:rsidR="0093608E" w:rsidRPr="00205340" w:rsidRDefault="0093608E">
                  <w:pPr>
                    <w:pStyle w:val="TableText"/>
                    <w:jc w:val="center"/>
                    <w:rPr>
                      <w:b/>
                      <w:bCs/>
                      <w:szCs w:val="20"/>
                    </w:rPr>
                  </w:pPr>
                  <w:r w:rsidRPr="00205340">
                    <w:rPr>
                      <w:b/>
                      <w:bCs/>
                      <w:szCs w:val="20"/>
                    </w:rPr>
                    <w:t>&lt;5 6-month bleeding rate group</w:t>
                  </w:r>
                </w:p>
              </w:tc>
              <w:tc>
                <w:tcPr>
                  <w:tcW w:w="2424" w:type="dxa"/>
                  <w:vAlign w:val="center"/>
                </w:tcPr>
                <w:p w14:paraId="6D76E356" w14:textId="77777777" w:rsidR="0093608E" w:rsidRPr="00205340" w:rsidRDefault="0093608E">
                  <w:pPr>
                    <w:pStyle w:val="TableText"/>
                    <w:jc w:val="center"/>
                    <w:rPr>
                      <w:b/>
                      <w:bCs/>
                      <w:szCs w:val="20"/>
                    </w:rPr>
                  </w:pPr>
                  <w:r w:rsidRPr="00205340">
                    <w:rPr>
                      <w:b/>
                      <w:bCs/>
                      <w:szCs w:val="20"/>
                    </w:rPr>
                    <w:t>≥5 6-month bleeding rate group</w:t>
                  </w:r>
                </w:p>
              </w:tc>
            </w:tr>
            <w:tr w:rsidR="007F0F4D" w:rsidRPr="00205340" w14:paraId="7888C538" w14:textId="77777777">
              <w:tc>
                <w:tcPr>
                  <w:tcW w:w="1991" w:type="dxa"/>
                  <w:vAlign w:val="center"/>
                </w:tcPr>
                <w:p w14:paraId="5E6BED13" w14:textId="77777777" w:rsidR="0093608E" w:rsidRPr="00205340" w:rsidRDefault="0093608E">
                  <w:pPr>
                    <w:pStyle w:val="TableText"/>
                    <w:jc w:val="center"/>
                    <w:rPr>
                      <w:b/>
                      <w:bCs/>
                      <w:szCs w:val="20"/>
                    </w:rPr>
                  </w:pPr>
                  <w:r w:rsidRPr="00205340">
                    <w:rPr>
                      <w:b/>
                      <w:bCs/>
                      <w:szCs w:val="20"/>
                    </w:rPr>
                    <w:t>Factor prophylaxis</w:t>
                  </w:r>
                </w:p>
              </w:tc>
              <w:tc>
                <w:tcPr>
                  <w:tcW w:w="2423" w:type="dxa"/>
                  <w:vAlign w:val="center"/>
                </w:tcPr>
                <w:p w14:paraId="6D72E716" w14:textId="77777777" w:rsidR="0093608E" w:rsidRPr="00205340" w:rsidRDefault="0093608E">
                  <w:pPr>
                    <w:pStyle w:val="TableText"/>
                    <w:jc w:val="center"/>
                    <w:rPr>
                      <w:b/>
                      <w:bCs/>
                      <w:szCs w:val="20"/>
                    </w:rPr>
                  </w:pPr>
                  <w:r w:rsidRPr="00205340">
                    <w:rPr>
                      <w:szCs w:val="20"/>
                    </w:rPr>
                    <w:t>75.9%</w:t>
                  </w:r>
                </w:p>
              </w:tc>
              <w:tc>
                <w:tcPr>
                  <w:tcW w:w="2424" w:type="dxa"/>
                  <w:vAlign w:val="center"/>
                </w:tcPr>
                <w:p w14:paraId="6C183A7D" w14:textId="77777777" w:rsidR="0093608E" w:rsidRPr="00205340" w:rsidRDefault="0093608E">
                  <w:pPr>
                    <w:pStyle w:val="TableText"/>
                    <w:jc w:val="center"/>
                    <w:rPr>
                      <w:b/>
                      <w:bCs/>
                      <w:szCs w:val="20"/>
                    </w:rPr>
                  </w:pPr>
                  <w:r w:rsidRPr="00205340">
                    <w:rPr>
                      <w:szCs w:val="20"/>
                    </w:rPr>
                    <w:t>24.1%</w:t>
                  </w:r>
                </w:p>
              </w:tc>
            </w:tr>
            <w:tr w:rsidR="007F0F4D" w:rsidRPr="00205340" w14:paraId="5812D7A3" w14:textId="77777777">
              <w:tc>
                <w:tcPr>
                  <w:tcW w:w="1991" w:type="dxa"/>
                  <w:vAlign w:val="center"/>
                </w:tcPr>
                <w:p w14:paraId="3202E045" w14:textId="77777777" w:rsidR="0093608E" w:rsidRPr="00205340" w:rsidRDefault="0093608E">
                  <w:pPr>
                    <w:pStyle w:val="TableText"/>
                    <w:jc w:val="center"/>
                    <w:rPr>
                      <w:b/>
                      <w:bCs/>
                      <w:szCs w:val="20"/>
                    </w:rPr>
                  </w:pPr>
                  <w:r w:rsidRPr="00205340">
                    <w:rPr>
                      <w:b/>
                      <w:bCs/>
                      <w:szCs w:val="20"/>
                    </w:rPr>
                    <w:t>Marstacimab</w:t>
                  </w:r>
                </w:p>
              </w:tc>
              <w:tc>
                <w:tcPr>
                  <w:tcW w:w="2423" w:type="dxa"/>
                  <w:vAlign w:val="center"/>
                </w:tcPr>
                <w:p w14:paraId="33627256" w14:textId="77777777" w:rsidR="0093608E" w:rsidRPr="00205340" w:rsidRDefault="0093608E">
                  <w:pPr>
                    <w:pStyle w:val="TableText"/>
                    <w:jc w:val="center"/>
                    <w:rPr>
                      <w:szCs w:val="20"/>
                    </w:rPr>
                  </w:pPr>
                  <w:r w:rsidRPr="00205340">
                    <w:rPr>
                      <w:szCs w:val="20"/>
                    </w:rPr>
                    <w:t>89.5%</w:t>
                  </w:r>
                </w:p>
              </w:tc>
              <w:tc>
                <w:tcPr>
                  <w:tcW w:w="2424" w:type="dxa"/>
                  <w:vAlign w:val="center"/>
                </w:tcPr>
                <w:p w14:paraId="62C91AB7" w14:textId="77777777" w:rsidR="0093608E" w:rsidRPr="00205340" w:rsidRDefault="0093608E">
                  <w:pPr>
                    <w:pStyle w:val="TableText"/>
                    <w:jc w:val="center"/>
                    <w:rPr>
                      <w:szCs w:val="20"/>
                    </w:rPr>
                  </w:pPr>
                  <w:r w:rsidRPr="00205340">
                    <w:rPr>
                      <w:szCs w:val="20"/>
                    </w:rPr>
                    <w:t>10.5%</w:t>
                  </w:r>
                </w:p>
              </w:tc>
            </w:tr>
          </w:tbl>
          <w:p w14:paraId="65E77D67" w14:textId="77777777" w:rsidR="0093608E" w:rsidRPr="00205340" w:rsidRDefault="0093608E">
            <w:pPr>
              <w:pStyle w:val="TableText"/>
              <w:rPr>
                <w:szCs w:val="20"/>
              </w:rPr>
            </w:pPr>
          </w:p>
          <w:p w14:paraId="7CC2B58D" w14:textId="77777777" w:rsidR="0093608E" w:rsidRPr="00205340" w:rsidRDefault="0093608E">
            <w:pPr>
              <w:pStyle w:val="TableText"/>
              <w:rPr>
                <w:szCs w:val="20"/>
              </w:rPr>
            </w:pPr>
            <w:r w:rsidRPr="00205340">
              <w:rPr>
                <w:szCs w:val="20"/>
              </w:rPr>
              <w:t>Markov model:</w:t>
            </w:r>
          </w:p>
          <w:p w14:paraId="54BBD9F5" w14:textId="6E2EFF2D" w:rsidR="0093608E" w:rsidRPr="00205340" w:rsidRDefault="0093608E">
            <w:pPr>
              <w:pStyle w:val="TableText"/>
              <w:rPr>
                <w:szCs w:val="20"/>
              </w:rPr>
            </w:pPr>
            <w:r w:rsidRPr="00205340">
              <w:rPr>
                <w:szCs w:val="20"/>
              </w:rPr>
              <w:t xml:space="preserve">Within each bleeding rate group, patients could experience a target joint bleed each cycle where the probabilities were based off the BASIS </w:t>
            </w:r>
            <w:proofErr w:type="gramStart"/>
            <w:r w:rsidRPr="00205340">
              <w:rPr>
                <w:szCs w:val="20"/>
              </w:rPr>
              <w:t>trial</w:t>
            </w:r>
            <w:r w:rsidR="00272AFE" w:rsidRPr="00205340">
              <w:rPr>
                <w:szCs w:val="20"/>
              </w:rPr>
              <w:t>,</w:t>
            </w:r>
            <w:r w:rsidRPr="00205340">
              <w:rPr>
                <w:szCs w:val="20"/>
              </w:rPr>
              <w:t xml:space="preserve"> and</w:t>
            </w:r>
            <w:proofErr w:type="gramEnd"/>
            <w:r w:rsidRPr="00205340">
              <w:rPr>
                <w:szCs w:val="20"/>
              </w:rPr>
              <w:t xml:space="preserve"> were treatment arm and bleeding rate group specific. The </w:t>
            </w:r>
            <w:r w:rsidR="00480B7D" w:rsidRPr="00205340">
              <w:rPr>
                <w:szCs w:val="20"/>
              </w:rPr>
              <w:t>ADAR</w:t>
            </w:r>
            <w:r w:rsidRPr="00205340">
              <w:rPr>
                <w:szCs w:val="20"/>
              </w:rPr>
              <w:t xml:space="preserve"> ha</w:t>
            </w:r>
            <w:r w:rsidR="00480B7D" w:rsidRPr="00205340">
              <w:rPr>
                <w:szCs w:val="20"/>
              </w:rPr>
              <w:t>d</w:t>
            </w:r>
            <w:r w:rsidRPr="00205340">
              <w:rPr>
                <w:szCs w:val="20"/>
              </w:rPr>
              <w:t xml:space="preserve"> assumed an ongoing treatment benefit in terms of a reduction in target joint bleeds associated with marstacimab treatment for the duration of the model.</w:t>
            </w:r>
            <w:r w:rsidR="00480B7D" w:rsidRPr="00205340">
              <w:rPr>
                <w:szCs w:val="20"/>
              </w:rPr>
              <w:t xml:space="preserve"> The Commentary considered t</w:t>
            </w:r>
            <w:r w:rsidRPr="00205340">
              <w:rPr>
                <w:szCs w:val="20"/>
              </w:rPr>
              <w:t xml:space="preserve">his was not well justified and </w:t>
            </w:r>
            <w:r w:rsidR="00480B7D" w:rsidRPr="00205340">
              <w:rPr>
                <w:szCs w:val="20"/>
              </w:rPr>
              <w:t>wa</w:t>
            </w:r>
            <w:r w:rsidRPr="00205340">
              <w:rPr>
                <w:szCs w:val="20"/>
              </w:rPr>
              <w:t xml:space="preserve">s highly uncertain. </w:t>
            </w:r>
          </w:p>
          <w:tbl>
            <w:tblPr>
              <w:tblStyle w:val="TableGrid"/>
              <w:tblW w:w="0" w:type="auto"/>
              <w:tblLook w:val="04A0" w:firstRow="1" w:lastRow="0" w:firstColumn="1" w:lastColumn="0" w:noHBand="0" w:noVBand="1"/>
            </w:tblPr>
            <w:tblGrid>
              <w:gridCol w:w="1991"/>
              <w:gridCol w:w="2423"/>
              <w:gridCol w:w="2424"/>
            </w:tblGrid>
            <w:tr w:rsidR="007F0F4D" w:rsidRPr="00205340" w14:paraId="3B8B9478" w14:textId="77777777">
              <w:tc>
                <w:tcPr>
                  <w:tcW w:w="1991" w:type="dxa"/>
                  <w:vAlign w:val="center"/>
                </w:tcPr>
                <w:p w14:paraId="45A57008" w14:textId="77777777" w:rsidR="0093608E" w:rsidRPr="00205340" w:rsidRDefault="0093608E">
                  <w:pPr>
                    <w:pStyle w:val="TableText"/>
                    <w:jc w:val="center"/>
                    <w:rPr>
                      <w:b/>
                      <w:bCs/>
                      <w:szCs w:val="20"/>
                    </w:rPr>
                  </w:pPr>
                </w:p>
              </w:tc>
              <w:tc>
                <w:tcPr>
                  <w:tcW w:w="2423" w:type="dxa"/>
                  <w:vAlign w:val="center"/>
                </w:tcPr>
                <w:p w14:paraId="76C7CF8D" w14:textId="77777777" w:rsidR="0093608E" w:rsidRPr="00205340" w:rsidRDefault="0093608E">
                  <w:pPr>
                    <w:pStyle w:val="TableText"/>
                    <w:jc w:val="center"/>
                    <w:rPr>
                      <w:b/>
                      <w:bCs/>
                      <w:szCs w:val="20"/>
                    </w:rPr>
                  </w:pPr>
                  <w:r w:rsidRPr="00205340">
                    <w:rPr>
                      <w:b/>
                      <w:bCs/>
                      <w:szCs w:val="20"/>
                    </w:rPr>
                    <w:t>&lt;5 6-month bleeding rate group</w:t>
                  </w:r>
                </w:p>
              </w:tc>
              <w:tc>
                <w:tcPr>
                  <w:tcW w:w="2424" w:type="dxa"/>
                  <w:vAlign w:val="center"/>
                </w:tcPr>
                <w:p w14:paraId="6A723C98" w14:textId="77777777" w:rsidR="0093608E" w:rsidRPr="00205340" w:rsidRDefault="0093608E">
                  <w:pPr>
                    <w:pStyle w:val="TableText"/>
                    <w:jc w:val="center"/>
                    <w:rPr>
                      <w:b/>
                      <w:bCs/>
                      <w:szCs w:val="20"/>
                    </w:rPr>
                  </w:pPr>
                  <w:r w:rsidRPr="00205340">
                    <w:rPr>
                      <w:b/>
                      <w:bCs/>
                      <w:szCs w:val="20"/>
                    </w:rPr>
                    <w:t>≥5 6-month bleeding rate group</w:t>
                  </w:r>
                </w:p>
              </w:tc>
            </w:tr>
            <w:tr w:rsidR="007F0F4D" w:rsidRPr="00205340" w14:paraId="05E6C4E9" w14:textId="77777777">
              <w:tc>
                <w:tcPr>
                  <w:tcW w:w="1991" w:type="dxa"/>
                  <w:vAlign w:val="center"/>
                </w:tcPr>
                <w:p w14:paraId="74CBA618" w14:textId="77777777" w:rsidR="0093608E" w:rsidRPr="00205340" w:rsidRDefault="0093608E">
                  <w:pPr>
                    <w:pStyle w:val="TableText"/>
                    <w:jc w:val="center"/>
                    <w:rPr>
                      <w:b/>
                      <w:bCs/>
                      <w:szCs w:val="20"/>
                    </w:rPr>
                  </w:pPr>
                  <w:r w:rsidRPr="00205340">
                    <w:rPr>
                      <w:b/>
                      <w:bCs/>
                      <w:szCs w:val="20"/>
                    </w:rPr>
                    <w:t>Factor prophylaxis</w:t>
                  </w:r>
                </w:p>
              </w:tc>
              <w:tc>
                <w:tcPr>
                  <w:tcW w:w="2423" w:type="dxa"/>
                  <w:vAlign w:val="center"/>
                </w:tcPr>
                <w:p w14:paraId="43AFD324" w14:textId="77777777" w:rsidR="0093608E" w:rsidRPr="00205340" w:rsidRDefault="0093608E">
                  <w:pPr>
                    <w:pStyle w:val="TableText"/>
                    <w:jc w:val="center"/>
                    <w:rPr>
                      <w:b/>
                      <w:bCs/>
                      <w:szCs w:val="20"/>
                    </w:rPr>
                  </w:pPr>
                  <w:r w:rsidRPr="00205340">
                    <w:t>3.2%</w:t>
                  </w:r>
                </w:p>
              </w:tc>
              <w:tc>
                <w:tcPr>
                  <w:tcW w:w="2424" w:type="dxa"/>
                  <w:vAlign w:val="center"/>
                </w:tcPr>
                <w:p w14:paraId="4B43DF9F" w14:textId="77777777" w:rsidR="0093608E" w:rsidRPr="00205340" w:rsidRDefault="0093608E">
                  <w:pPr>
                    <w:pStyle w:val="TableText"/>
                    <w:jc w:val="center"/>
                    <w:rPr>
                      <w:b/>
                      <w:bCs/>
                      <w:szCs w:val="20"/>
                    </w:rPr>
                  </w:pPr>
                  <w:r w:rsidRPr="00205340">
                    <w:t>55.0%</w:t>
                  </w:r>
                </w:p>
              </w:tc>
            </w:tr>
            <w:tr w:rsidR="007F0F4D" w:rsidRPr="00205340" w14:paraId="173C7AE4" w14:textId="77777777">
              <w:tc>
                <w:tcPr>
                  <w:tcW w:w="1991" w:type="dxa"/>
                  <w:vAlign w:val="center"/>
                </w:tcPr>
                <w:p w14:paraId="011CD293" w14:textId="77777777" w:rsidR="0093608E" w:rsidRPr="00205340" w:rsidRDefault="0093608E">
                  <w:pPr>
                    <w:pStyle w:val="TableText"/>
                    <w:jc w:val="center"/>
                    <w:rPr>
                      <w:b/>
                      <w:bCs/>
                      <w:szCs w:val="20"/>
                    </w:rPr>
                  </w:pPr>
                  <w:r w:rsidRPr="00205340">
                    <w:rPr>
                      <w:b/>
                      <w:bCs/>
                      <w:szCs w:val="20"/>
                    </w:rPr>
                    <w:t>Marstacimab cycle 1</w:t>
                  </w:r>
                </w:p>
              </w:tc>
              <w:tc>
                <w:tcPr>
                  <w:tcW w:w="2423" w:type="dxa"/>
                  <w:vAlign w:val="center"/>
                </w:tcPr>
                <w:p w14:paraId="49C70028" w14:textId="77777777" w:rsidR="0093608E" w:rsidRPr="00205340" w:rsidRDefault="0093608E">
                  <w:pPr>
                    <w:pStyle w:val="TableText"/>
                    <w:jc w:val="center"/>
                    <w:rPr>
                      <w:szCs w:val="20"/>
                    </w:rPr>
                  </w:pPr>
                  <w:r w:rsidRPr="00205340">
                    <w:t>2.9%</w:t>
                  </w:r>
                </w:p>
              </w:tc>
              <w:tc>
                <w:tcPr>
                  <w:tcW w:w="2424" w:type="dxa"/>
                  <w:vAlign w:val="center"/>
                </w:tcPr>
                <w:p w14:paraId="725DE58E" w14:textId="77777777" w:rsidR="0093608E" w:rsidRPr="00205340" w:rsidRDefault="0093608E">
                  <w:pPr>
                    <w:pStyle w:val="TableText"/>
                    <w:jc w:val="center"/>
                    <w:rPr>
                      <w:szCs w:val="20"/>
                    </w:rPr>
                  </w:pPr>
                  <w:r w:rsidRPr="00205340">
                    <w:t>71.4%</w:t>
                  </w:r>
                </w:p>
              </w:tc>
            </w:tr>
            <w:tr w:rsidR="007F0F4D" w:rsidRPr="00205340" w14:paraId="18701026" w14:textId="77777777">
              <w:tc>
                <w:tcPr>
                  <w:tcW w:w="1991" w:type="dxa"/>
                  <w:vAlign w:val="center"/>
                </w:tcPr>
                <w:p w14:paraId="06432B83" w14:textId="77777777" w:rsidR="0093608E" w:rsidRPr="00205340" w:rsidRDefault="0093608E">
                  <w:pPr>
                    <w:pStyle w:val="TableText"/>
                    <w:jc w:val="center"/>
                    <w:rPr>
                      <w:b/>
                      <w:bCs/>
                      <w:szCs w:val="20"/>
                    </w:rPr>
                  </w:pPr>
                  <w:r w:rsidRPr="00205340">
                    <w:rPr>
                      <w:b/>
                      <w:bCs/>
                      <w:szCs w:val="20"/>
                    </w:rPr>
                    <w:t>Marstacimab cycle 2</w:t>
                  </w:r>
                </w:p>
              </w:tc>
              <w:tc>
                <w:tcPr>
                  <w:tcW w:w="2423" w:type="dxa"/>
                  <w:vAlign w:val="center"/>
                </w:tcPr>
                <w:p w14:paraId="59E8FA49" w14:textId="77777777" w:rsidR="0093608E" w:rsidRPr="00205340" w:rsidRDefault="0093608E">
                  <w:pPr>
                    <w:pStyle w:val="TableText"/>
                    <w:jc w:val="center"/>
                    <w:rPr>
                      <w:szCs w:val="20"/>
                    </w:rPr>
                  </w:pPr>
                  <w:r w:rsidRPr="00205340">
                    <w:t>2.0%</w:t>
                  </w:r>
                </w:p>
              </w:tc>
              <w:tc>
                <w:tcPr>
                  <w:tcW w:w="2424" w:type="dxa"/>
                  <w:vAlign w:val="center"/>
                </w:tcPr>
                <w:p w14:paraId="59D6971D" w14:textId="77777777" w:rsidR="0093608E" w:rsidRPr="00205340" w:rsidRDefault="0093608E">
                  <w:pPr>
                    <w:pStyle w:val="TableText"/>
                    <w:jc w:val="center"/>
                    <w:rPr>
                      <w:szCs w:val="20"/>
                    </w:rPr>
                  </w:pPr>
                  <w:r w:rsidRPr="00205340">
                    <w:t>58.3%</w:t>
                  </w:r>
                </w:p>
              </w:tc>
            </w:tr>
            <w:tr w:rsidR="007F0F4D" w:rsidRPr="00205340" w14:paraId="7A6FFAB9" w14:textId="77777777">
              <w:tc>
                <w:tcPr>
                  <w:tcW w:w="1991" w:type="dxa"/>
                  <w:vAlign w:val="center"/>
                </w:tcPr>
                <w:p w14:paraId="1E2848C4" w14:textId="77777777" w:rsidR="0093608E" w:rsidRPr="00205340" w:rsidRDefault="0093608E">
                  <w:pPr>
                    <w:pStyle w:val="TableText"/>
                    <w:jc w:val="center"/>
                    <w:rPr>
                      <w:b/>
                      <w:bCs/>
                      <w:szCs w:val="20"/>
                    </w:rPr>
                  </w:pPr>
                  <w:r w:rsidRPr="00205340">
                    <w:rPr>
                      <w:b/>
                      <w:bCs/>
                      <w:szCs w:val="20"/>
                    </w:rPr>
                    <w:t>Marstacimab cycle 3</w:t>
                  </w:r>
                </w:p>
              </w:tc>
              <w:tc>
                <w:tcPr>
                  <w:tcW w:w="2423" w:type="dxa"/>
                  <w:vAlign w:val="center"/>
                </w:tcPr>
                <w:p w14:paraId="0A7C3B35" w14:textId="77777777" w:rsidR="0093608E" w:rsidRPr="00205340" w:rsidRDefault="0093608E">
                  <w:pPr>
                    <w:pStyle w:val="TableText"/>
                    <w:jc w:val="center"/>
                    <w:rPr>
                      <w:szCs w:val="20"/>
                    </w:rPr>
                  </w:pPr>
                  <w:r w:rsidRPr="00205340">
                    <w:t>4.1%</w:t>
                  </w:r>
                </w:p>
              </w:tc>
              <w:tc>
                <w:tcPr>
                  <w:tcW w:w="2424" w:type="dxa"/>
                  <w:vAlign w:val="center"/>
                </w:tcPr>
                <w:p w14:paraId="5AF815FA" w14:textId="77777777" w:rsidR="0093608E" w:rsidRPr="00205340" w:rsidRDefault="0093608E">
                  <w:pPr>
                    <w:pStyle w:val="TableText"/>
                    <w:jc w:val="center"/>
                    <w:rPr>
                      <w:szCs w:val="20"/>
                    </w:rPr>
                  </w:pPr>
                  <w:r w:rsidRPr="00205340">
                    <w:t>44.4%</w:t>
                  </w:r>
                </w:p>
              </w:tc>
            </w:tr>
            <w:tr w:rsidR="007F0F4D" w:rsidRPr="00205340" w14:paraId="11DFCE36" w14:textId="77777777">
              <w:tc>
                <w:tcPr>
                  <w:tcW w:w="1991" w:type="dxa"/>
                  <w:vAlign w:val="center"/>
                </w:tcPr>
                <w:p w14:paraId="34F2826B" w14:textId="77777777" w:rsidR="0093608E" w:rsidRPr="00205340" w:rsidRDefault="0093608E">
                  <w:pPr>
                    <w:pStyle w:val="TableText"/>
                    <w:jc w:val="center"/>
                    <w:rPr>
                      <w:b/>
                      <w:bCs/>
                      <w:szCs w:val="20"/>
                    </w:rPr>
                  </w:pPr>
                  <w:r w:rsidRPr="00205340">
                    <w:rPr>
                      <w:b/>
                      <w:bCs/>
                      <w:szCs w:val="20"/>
                    </w:rPr>
                    <w:t>Marstacimab cycle 4</w:t>
                  </w:r>
                </w:p>
              </w:tc>
              <w:tc>
                <w:tcPr>
                  <w:tcW w:w="2423" w:type="dxa"/>
                  <w:vAlign w:val="center"/>
                </w:tcPr>
                <w:p w14:paraId="56821C69" w14:textId="77777777" w:rsidR="0093608E" w:rsidRPr="00205340" w:rsidRDefault="0093608E">
                  <w:pPr>
                    <w:pStyle w:val="TableText"/>
                    <w:jc w:val="center"/>
                    <w:rPr>
                      <w:szCs w:val="20"/>
                    </w:rPr>
                  </w:pPr>
                  <w:r w:rsidRPr="00205340">
                    <w:t>2.2%</w:t>
                  </w:r>
                </w:p>
              </w:tc>
              <w:tc>
                <w:tcPr>
                  <w:tcW w:w="2424" w:type="dxa"/>
                  <w:vAlign w:val="center"/>
                </w:tcPr>
                <w:p w14:paraId="5888C44E" w14:textId="77777777" w:rsidR="0093608E" w:rsidRPr="00205340" w:rsidRDefault="0093608E">
                  <w:pPr>
                    <w:pStyle w:val="TableText"/>
                    <w:jc w:val="center"/>
                    <w:rPr>
                      <w:szCs w:val="20"/>
                    </w:rPr>
                  </w:pPr>
                  <w:r w:rsidRPr="00205340">
                    <w:t>18.2%</w:t>
                  </w:r>
                </w:p>
              </w:tc>
            </w:tr>
            <w:tr w:rsidR="007F0F4D" w:rsidRPr="00205340" w14:paraId="5C16B567" w14:textId="77777777">
              <w:tc>
                <w:tcPr>
                  <w:tcW w:w="1991" w:type="dxa"/>
                  <w:vAlign w:val="center"/>
                </w:tcPr>
                <w:p w14:paraId="51F6BA58" w14:textId="77777777" w:rsidR="0093608E" w:rsidRPr="00205340" w:rsidRDefault="0093608E">
                  <w:pPr>
                    <w:pStyle w:val="TableText"/>
                    <w:jc w:val="center"/>
                    <w:rPr>
                      <w:b/>
                      <w:bCs/>
                      <w:szCs w:val="20"/>
                    </w:rPr>
                  </w:pPr>
                  <w:r w:rsidRPr="00205340">
                    <w:rPr>
                      <w:b/>
                      <w:bCs/>
                      <w:szCs w:val="20"/>
                    </w:rPr>
                    <w:t>Marstacimab cycle 5+</w:t>
                  </w:r>
                </w:p>
              </w:tc>
              <w:tc>
                <w:tcPr>
                  <w:tcW w:w="2423" w:type="dxa"/>
                  <w:vAlign w:val="center"/>
                </w:tcPr>
                <w:p w14:paraId="01579BD0" w14:textId="77777777" w:rsidR="0093608E" w:rsidRPr="00205340" w:rsidRDefault="0093608E">
                  <w:pPr>
                    <w:pStyle w:val="TableText"/>
                    <w:jc w:val="center"/>
                    <w:rPr>
                      <w:szCs w:val="20"/>
                    </w:rPr>
                  </w:pPr>
                  <w:r w:rsidRPr="00205340">
                    <w:t>2.8%</w:t>
                  </w:r>
                </w:p>
              </w:tc>
              <w:tc>
                <w:tcPr>
                  <w:tcW w:w="2424" w:type="dxa"/>
                  <w:vAlign w:val="center"/>
                </w:tcPr>
                <w:p w14:paraId="190125E0" w14:textId="77777777" w:rsidR="0093608E" w:rsidRPr="00205340" w:rsidRDefault="0093608E">
                  <w:pPr>
                    <w:pStyle w:val="TableText"/>
                    <w:jc w:val="center"/>
                    <w:rPr>
                      <w:szCs w:val="20"/>
                    </w:rPr>
                  </w:pPr>
                  <w:r w:rsidRPr="00205340">
                    <w:t>9.1%</w:t>
                  </w:r>
                </w:p>
              </w:tc>
            </w:tr>
          </w:tbl>
          <w:p w14:paraId="6E3A0A24" w14:textId="341FF4B9" w:rsidR="0093608E" w:rsidRPr="00205340" w:rsidRDefault="0093608E">
            <w:pPr>
              <w:pStyle w:val="TableText"/>
              <w:rPr>
                <w:szCs w:val="20"/>
              </w:rPr>
            </w:pPr>
            <w:r w:rsidRPr="00205340">
              <w:rPr>
                <w:szCs w:val="20"/>
              </w:rPr>
              <w:t>Among patients who are experiencing target joint bleeds, 20% were assumed to develop chronic haemophilic arthropathy derived from Zhang et al. (2025).</w:t>
            </w:r>
            <w:bookmarkStart w:id="61" w:name="_Ref215489186"/>
            <w:r w:rsidR="0089752C">
              <w:rPr>
                <w:rFonts w:ascii="ZWAdobeF" w:hAnsi="ZWAdobeF" w:cs="ZWAdobeF"/>
                <w:sz w:val="2"/>
                <w:szCs w:val="2"/>
              </w:rPr>
              <w:t>14F</w:t>
            </w:r>
            <w:r w:rsidRPr="00205340">
              <w:rPr>
                <w:rStyle w:val="FootnoteReference"/>
                <w:szCs w:val="20"/>
              </w:rPr>
              <w:footnoteReference w:id="15"/>
            </w:r>
            <w:bookmarkEnd w:id="61"/>
            <w:r w:rsidRPr="00205340">
              <w:rPr>
                <w:szCs w:val="20"/>
              </w:rPr>
              <w:t xml:space="preserve"> The Commentary noted the ADAR had applied the probability of developing chronic haemophilic arthropathy per target joint in Zhang et al. (2025)</w:t>
            </w:r>
            <w:r w:rsidRPr="00205340">
              <w:rPr>
                <w:szCs w:val="20"/>
              </w:rPr>
              <w:fldChar w:fldCharType="begin"/>
            </w:r>
            <w:r w:rsidRPr="00205340">
              <w:rPr>
                <w:szCs w:val="20"/>
              </w:rPr>
              <w:instrText xml:space="preserve"> NOTEREF _Ref215489186 \f \h </w:instrText>
            </w:r>
            <w:r w:rsidR="00205340">
              <w:rPr>
                <w:szCs w:val="20"/>
              </w:rPr>
              <w:instrText xml:space="preserve"> \* MERGEFORMAT </w:instrText>
            </w:r>
            <w:r w:rsidRPr="00205340">
              <w:rPr>
                <w:szCs w:val="20"/>
              </w:rPr>
            </w:r>
            <w:r w:rsidRPr="00205340">
              <w:rPr>
                <w:szCs w:val="20"/>
              </w:rPr>
              <w:fldChar w:fldCharType="separate"/>
            </w:r>
            <w:r w:rsidR="00F80C9A" w:rsidRPr="00205340">
              <w:rPr>
                <w:rStyle w:val="FootnoteReference"/>
              </w:rPr>
              <w:t>3</w:t>
            </w:r>
            <w:r w:rsidRPr="00205340">
              <w:rPr>
                <w:szCs w:val="20"/>
              </w:rPr>
              <w:fldChar w:fldCharType="end"/>
            </w:r>
            <w:r w:rsidRPr="00205340">
              <w:rPr>
                <w:szCs w:val="20"/>
              </w:rPr>
              <w:t xml:space="preserve"> to the proportion of patients experiencing any target joint bleed based on the BASIS data. The Commentary considered this approach was not appropriate because the risk of arthropathy was based on a single joint. By applying a per-joint risk to the proportion of patients with any target joint bleed, the model overestimated the probability of developing arthropathy.</w:t>
            </w:r>
          </w:p>
          <w:p w14:paraId="43A407CE" w14:textId="77777777" w:rsidR="0093608E" w:rsidRPr="00205340" w:rsidRDefault="0093608E">
            <w:pPr>
              <w:pStyle w:val="TableText"/>
              <w:rPr>
                <w:szCs w:val="20"/>
              </w:rPr>
            </w:pPr>
          </w:p>
          <w:p w14:paraId="06CC4614" w14:textId="48FC3BC4" w:rsidR="0093608E" w:rsidRPr="00205340" w:rsidRDefault="0093608E">
            <w:pPr>
              <w:pStyle w:val="TableText"/>
              <w:rPr>
                <w:szCs w:val="20"/>
              </w:rPr>
            </w:pPr>
            <w:r w:rsidRPr="00205340">
              <w:rPr>
                <w:szCs w:val="20"/>
              </w:rPr>
              <w:t>An SMR of 2.4 was applied to patients in all health states to inform mortality sourced from Hassan et al. (2021).</w:t>
            </w:r>
            <w:bookmarkStart w:id="62" w:name="_Ref215488993"/>
            <w:r w:rsidR="0089752C">
              <w:rPr>
                <w:rFonts w:ascii="ZWAdobeF" w:hAnsi="ZWAdobeF" w:cs="ZWAdobeF"/>
                <w:sz w:val="2"/>
                <w:szCs w:val="2"/>
              </w:rPr>
              <w:t>15F</w:t>
            </w:r>
            <w:r w:rsidRPr="00205340">
              <w:rPr>
                <w:rStyle w:val="FootnoteReference"/>
                <w:szCs w:val="20"/>
              </w:rPr>
              <w:footnoteReference w:id="16"/>
            </w:r>
            <w:bookmarkEnd w:id="62"/>
          </w:p>
        </w:tc>
      </w:tr>
      <w:tr w:rsidR="0093608E" w:rsidRPr="00205340" w14:paraId="348D15BF" w14:textId="77777777">
        <w:trPr>
          <w:cantSplit/>
        </w:trPr>
        <w:tc>
          <w:tcPr>
            <w:tcW w:w="1413" w:type="dxa"/>
          </w:tcPr>
          <w:p w14:paraId="220CA536" w14:textId="77777777" w:rsidR="0093608E" w:rsidRPr="00205340" w:rsidRDefault="0093608E">
            <w:pPr>
              <w:pStyle w:val="TableText"/>
              <w:rPr>
                <w:szCs w:val="20"/>
              </w:rPr>
            </w:pPr>
            <w:r w:rsidRPr="00205340">
              <w:rPr>
                <w:szCs w:val="20"/>
              </w:rPr>
              <w:t>Discount rate</w:t>
            </w:r>
          </w:p>
        </w:tc>
        <w:tc>
          <w:tcPr>
            <w:tcW w:w="7654" w:type="dxa"/>
          </w:tcPr>
          <w:p w14:paraId="5A2ABC77" w14:textId="77777777" w:rsidR="0093608E" w:rsidRPr="00205340" w:rsidRDefault="0093608E">
            <w:pPr>
              <w:pStyle w:val="TableText"/>
              <w:rPr>
                <w:szCs w:val="20"/>
              </w:rPr>
            </w:pPr>
            <w:r w:rsidRPr="00205340">
              <w:rPr>
                <w:szCs w:val="20"/>
              </w:rPr>
              <w:t>5% for costs and outcomes.</w:t>
            </w:r>
          </w:p>
        </w:tc>
      </w:tr>
      <w:tr w:rsidR="0093608E" w:rsidRPr="00205340" w14:paraId="5F09BB23" w14:textId="77777777">
        <w:trPr>
          <w:cantSplit/>
        </w:trPr>
        <w:tc>
          <w:tcPr>
            <w:tcW w:w="1413" w:type="dxa"/>
          </w:tcPr>
          <w:p w14:paraId="2388052C" w14:textId="77777777" w:rsidR="0093608E" w:rsidRPr="00205340" w:rsidRDefault="0093608E">
            <w:pPr>
              <w:pStyle w:val="TableText"/>
              <w:rPr>
                <w:szCs w:val="20"/>
              </w:rPr>
            </w:pPr>
            <w:r w:rsidRPr="00205340">
              <w:rPr>
                <w:szCs w:val="20"/>
              </w:rPr>
              <w:t>Software</w:t>
            </w:r>
          </w:p>
        </w:tc>
        <w:tc>
          <w:tcPr>
            <w:tcW w:w="7654" w:type="dxa"/>
          </w:tcPr>
          <w:p w14:paraId="343B3915" w14:textId="77777777" w:rsidR="0093608E" w:rsidRPr="00205340" w:rsidRDefault="0093608E">
            <w:pPr>
              <w:pStyle w:val="TableText"/>
              <w:rPr>
                <w:szCs w:val="20"/>
              </w:rPr>
            </w:pPr>
            <w:proofErr w:type="spellStart"/>
            <w:r w:rsidRPr="00205340">
              <w:rPr>
                <w:szCs w:val="20"/>
              </w:rPr>
              <w:t>TreeAge</w:t>
            </w:r>
            <w:proofErr w:type="spellEnd"/>
            <w:r w:rsidRPr="00205340">
              <w:rPr>
                <w:szCs w:val="20"/>
              </w:rPr>
              <w:t xml:space="preserve"> Pro and Excel</w:t>
            </w:r>
          </w:p>
        </w:tc>
      </w:tr>
    </w:tbl>
    <w:p w14:paraId="135D05C2" w14:textId="77777777" w:rsidR="0093608E" w:rsidRPr="00205340" w:rsidRDefault="0093608E" w:rsidP="0093608E">
      <w:pPr>
        <w:pStyle w:val="TableFigureFooter"/>
        <w:spacing w:before="0"/>
        <w:contextualSpacing/>
        <w:rPr>
          <w:color w:val="258221"/>
        </w:rPr>
      </w:pPr>
      <w:r w:rsidRPr="00205340">
        <w:t>Source: Constructed during the evaluation</w:t>
      </w:r>
      <w:r w:rsidRPr="00205340">
        <w:rPr>
          <w:color w:val="258221"/>
        </w:rPr>
        <w:t>.</w:t>
      </w:r>
    </w:p>
    <w:p w14:paraId="72B2A75C" w14:textId="77777777" w:rsidR="0093608E" w:rsidRPr="00205340" w:rsidRDefault="0093608E" w:rsidP="0093608E">
      <w:pPr>
        <w:pStyle w:val="TableFigureFooter"/>
        <w:spacing w:before="0"/>
        <w:contextualSpacing/>
      </w:pPr>
      <w:r w:rsidRPr="00205340">
        <w:t xml:space="preserve">ADAR = Applicant Developed Assessment Report; EHL = extended half-life; HMA – haemophilia type A; HMB = haemophilia type B; LTE = long-term extension; PASC = PICO Advisory Committee; SMR = standardised mortality ratio. </w:t>
      </w:r>
    </w:p>
    <w:p w14:paraId="4ACB63FD" w14:textId="6E226AAA" w:rsidR="0093608E" w:rsidRPr="00205340" w:rsidRDefault="0093608E" w:rsidP="0093608E">
      <w:pPr>
        <w:pStyle w:val="Instructionaltext-afterfiguretable"/>
        <w:rPr>
          <w:color w:val="auto"/>
        </w:rPr>
      </w:pPr>
      <w:r w:rsidRPr="00205340">
        <w:rPr>
          <w:color w:val="auto"/>
        </w:rPr>
        <w:t xml:space="preserve">The economic evaluation adopted a hybrid decision-tree and Markov cohort model structure. When patients enter the model, they are assigned to either a &lt;5 or ≥5 6-month bleeding rate groups. The ADAR had justified this approach by stating that the greatest treatment benefit of </w:t>
      </w:r>
      <w:r w:rsidRPr="00205340">
        <w:rPr>
          <w:color w:val="auto"/>
        </w:rPr>
        <w:lastRenderedPageBreak/>
        <w:t>marstacimab was observed in patients who had bleeding rates of ≥5 during the 6-month OP of BASIS (i.e. when they were on factor prophylaxis). The Commentary considered that this justification was not appropriate given that the probabilities of being assigned to each of these outcomes across the two treatment arms were not based on the distribution observed during the OP phase but were treatment-arm specific. The Commentary noted that</w:t>
      </w:r>
      <w:r w:rsidR="00AD2432" w:rsidRPr="00205340">
        <w:rPr>
          <w:color w:val="auto"/>
        </w:rPr>
        <w:t xml:space="preserve"> in the ADAR’s model</w:t>
      </w:r>
      <w:r w:rsidRPr="00205340">
        <w:rPr>
          <w:color w:val="auto"/>
        </w:rPr>
        <w:t xml:space="preserve"> a greater proportion of patients were assigned to the &lt;5 6-month bleeding rate group in the marstacimab arm compared to the factor prophylaxis arm and as patients do not transition between bleeding rate groups, this assumes an ongoing treatment effect associated with marstacimab.</w:t>
      </w:r>
    </w:p>
    <w:p w14:paraId="77C7CC94" w14:textId="5D683F54" w:rsidR="0093608E" w:rsidRPr="00205340" w:rsidRDefault="0093608E" w:rsidP="005C116D">
      <w:pPr>
        <w:pStyle w:val="Instructionaltext-afterfiguretable"/>
        <w:spacing w:before="120"/>
        <w:rPr>
          <w:color w:val="auto"/>
        </w:rPr>
      </w:pPr>
      <w:r w:rsidRPr="00205340">
        <w:rPr>
          <w:color w:val="auto"/>
        </w:rPr>
        <w:t>Once separated by bleed rate, patients enter the Markov model which has three health states: no arthropathy, chronic haemophilic arthropathy and dead</w:t>
      </w:r>
      <w:r w:rsidRPr="00205340">
        <w:t xml:space="preserve">. </w:t>
      </w:r>
      <w:r w:rsidRPr="00205340">
        <w:rPr>
          <w:color w:val="auto"/>
        </w:rPr>
        <w:t xml:space="preserve">All patients enter the model in the no arthropathy health state, and within each six-month cycle have a treatment-specific probability of experiencing a target joint bleed. The probability of target joint bleeds on factor prophylaxis was based on the six-month observation period of BASIS. The Commentary noted that despite the short observation period, the assumption of patients experiencing </w:t>
      </w:r>
      <w:proofErr w:type="gramStart"/>
      <w:r w:rsidRPr="00205340">
        <w:rPr>
          <w:color w:val="auto"/>
        </w:rPr>
        <w:t>steady-state</w:t>
      </w:r>
      <w:proofErr w:type="gramEnd"/>
      <w:r w:rsidRPr="00205340">
        <w:rPr>
          <w:color w:val="auto"/>
        </w:rPr>
        <w:t xml:space="preserve"> in the OP of BASIS was reasonable</w:t>
      </w:r>
      <w:r w:rsidR="00841DE4" w:rsidRPr="00205340">
        <w:rPr>
          <w:color w:val="auto"/>
        </w:rPr>
        <w:t xml:space="preserve"> (i.e., patients were considered to have stable disease during the OP of BASIS)</w:t>
      </w:r>
      <w:r w:rsidRPr="00205340">
        <w:rPr>
          <w:color w:val="auto"/>
        </w:rPr>
        <w:t xml:space="preserve">. For the marstacimab arm, the probabilities for the first two years of treatment were time-dependent and were derived from the BASIS trial. Beyond this time the ADAR assumed that an ongoing treatment effect associated with marstacimab was maintained until the end of the time horizon (66 years versus </w:t>
      </w:r>
      <w:r w:rsidR="00DF1B75" w:rsidRPr="00205340">
        <w:rPr>
          <w:color w:val="auto"/>
        </w:rPr>
        <w:t>two years of data from</w:t>
      </w:r>
      <w:r w:rsidRPr="00205340">
        <w:rPr>
          <w:color w:val="auto"/>
        </w:rPr>
        <w:t xml:space="preserve"> BASIS and BASIS LTE</w:t>
      </w:r>
      <w:r w:rsidR="00DF1B75" w:rsidRPr="00205340">
        <w:rPr>
          <w:color w:val="auto"/>
        </w:rPr>
        <w:t xml:space="preserve"> used in the model</w:t>
      </w:r>
      <w:r w:rsidRPr="00205340">
        <w:rPr>
          <w:color w:val="auto"/>
        </w:rPr>
        <w:t>). The Commentary considered that the assumption of long-term treatment effect maintenance was not well justified, and the model structure did not allow for a waning of the treatment effect to be explored. Given this limitation a shorter time horizon was explored in sensitivity analyses (see</w:t>
      </w:r>
      <w:r w:rsidR="00F04910" w:rsidRPr="00205340">
        <w:rPr>
          <w:color w:val="auto"/>
        </w:rPr>
        <w:t xml:space="preserve"> </w:t>
      </w:r>
      <w:r w:rsidR="00F04910" w:rsidRPr="00205340">
        <w:rPr>
          <w:color w:val="auto"/>
        </w:rPr>
        <w:fldChar w:fldCharType="begin" w:fldLock="1"/>
      </w:r>
      <w:r w:rsidR="00F04910" w:rsidRPr="00205340">
        <w:rPr>
          <w:color w:val="auto"/>
        </w:rPr>
        <w:instrText xml:space="preserve"> REF _Ref227157322 \h </w:instrText>
      </w:r>
      <w:r w:rsidR="00205340">
        <w:rPr>
          <w:color w:val="auto"/>
        </w:rPr>
        <w:instrText xml:space="preserve"> \* MERGEFORMAT </w:instrText>
      </w:r>
      <w:r w:rsidR="00F04910" w:rsidRPr="00205340">
        <w:rPr>
          <w:color w:val="auto"/>
        </w:rPr>
      </w:r>
      <w:r w:rsidR="00F04910" w:rsidRPr="00205340">
        <w:rPr>
          <w:color w:val="auto"/>
        </w:rPr>
        <w:fldChar w:fldCharType="separate"/>
      </w:r>
      <w:r w:rsidR="00F04910" w:rsidRPr="00205340">
        <w:rPr>
          <w:color w:val="auto"/>
        </w:rPr>
        <w:t xml:space="preserve">Table </w:t>
      </w:r>
      <w:r w:rsidR="00F04910" w:rsidRPr="00205340">
        <w:rPr>
          <w:noProof/>
          <w:color w:val="auto"/>
        </w:rPr>
        <w:t>22</w:t>
      </w:r>
      <w:r w:rsidR="00F04910" w:rsidRPr="00205340">
        <w:rPr>
          <w:color w:val="auto"/>
        </w:rPr>
        <w:fldChar w:fldCharType="end"/>
      </w:r>
      <w:r w:rsidRPr="00205340">
        <w:rPr>
          <w:color w:val="auto"/>
        </w:rPr>
        <w:t xml:space="preserve">). </w:t>
      </w:r>
    </w:p>
    <w:p w14:paraId="47004AA4" w14:textId="49C7B068" w:rsidR="0093608E" w:rsidRPr="00205340" w:rsidRDefault="0093608E" w:rsidP="005C116D">
      <w:pPr>
        <w:pStyle w:val="Instructionaltext-afterfiguretable"/>
        <w:spacing w:before="120"/>
        <w:rPr>
          <w:color w:val="auto"/>
        </w:rPr>
      </w:pPr>
      <w:r w:rsidRPr="00205340">
        <w:rPr>
          <w:color w:val="auto"/>
        </w:rPr>
        <w:t>In either model arm, upon experiencing a target joint bleed, this could resolve, or patients could progress to the chronic haemophilic arthropathy. Patients were assumed to remain in this health state until death. The Commentary considered that this was inconsistent with existing literature as other economic model</w:t>
      </w:r>
      <w:r w:rsidR="001644AB" w:rsidRPr="00205340">
        <w:rPr>
          <w:color w:val="auto"/>
        </w:rPr>
        <w:t>s</w:t>
      </w:r>
      <w:r w:rsidRPr="00205340">
        <w:rPr>
          <w:color w:val="auto"/>
        </w:rPr>
        <w:t xml:space="preserve"> include temporary cures for this health state through joint replacement surgeries.</w:t>
      </w:r>
      <w:r w:rsidR="0089752C">
        <w:rPr>
          <w:rFonts w:ascii="ZWAdobeF" w:hAnsi="ZWAdobeF" w:cs="ZWAdobeF"/>
          <w:color w:val="auto"/>
          <w:sz w:val="2"/>
          <w:szCs w:val="2"/>
        </w:rPr>
        <w:t>16F</w:t>
      </w:r>
      <w:r w:rsidR="00841DE4" w:rsidRPr="00205340">
        <w:rPr>
          <w:rStyle w:val="FootnoteReference"/>
          <w:color w:val="auto"/>
        </w:rPr>
        <w:footnoteReference w:id="17"/>
      </w:r>
      <w:r w:rsidR="00841DE4" w:rsidRPr="00205340">
        <w:rPr>
          <w:color w:val="auto"/>
          <w:vertAlign w:val="superscript"/>
        </w:rPr>
        <w:t>,</w:t>
      </w:r>
      <w:r w:rsidR="0089752C">
        <w:rPr>
          <w:rFonts w:ascii="ZWAdobeF" w:hAnsi="ZWAdobeF" w:cs="ZWAdobeF"/>
          <w:color w:val="auto"/>
          <w:sz w:val="2"/>
          <w:szCs w:val="2"/>
        </w:rPr>
        <w:t>17F</w:t>
      </w:r>
      <w:r w:rsidR="00841DE4" w:rsidRPr="00205340">
        <w:rPr>
          <w:rStyle w:val="FootnoteReference"/>
          <w:color w:val="auto"/>
        </w:rPr>
        <w:footnoteReference w:id="18"/>
      </w:r>
      <w:r w:rsidRPr="00205340">
        <w:rPr>
          <w:color w:val="auto"/>
        </w:rPr>
        <w:t xml:space="preserve"> </w:t>
      </w:r>
    </w:p>
    <w:p w14:paraId="713C5F99" w14:textId="035267BD" w:rsidR="0093608E" w:rsidRPr="00205340" w:rsidRDefault="0093608E" w:rsidP="005C116D">
      <w:pPr>
        <w:pStyle w:val="Instructionaltext-afterfiguretable"/>
        <w:spacing w:before="120"/>
        <w:rPr>
          <w:color w:val="auto"/>
        </w:rPr>
      </w:pPr>
      <w:r w:rsidRPr="00205340">
        <w:rPr>
          <w:color w:val="auto"/>
        </w:rPr>
        <w:t>In all health states patients were assumed to be at-risk of death, with a standardised mortality ratio of 2.4 (for severe haemophilia patients reported in Hassan et al. (2021)</w:t>
      </w:r>
      <w:r w:rsidRPr="00205340">
        <w:rPr>
          <w:color w:val="auto"/>
        </w:rPr>
        <w:fldChar w:fldCharType="begin"/>
      </w:r>
      <w:r w:rsidRPr="00205340">
        <w:rPr>
          <w:color w:val="auto"/>
        </w:rPr>
        <w:instrText xml:space="preserve"> NOTEREF _Ref215488993 \f \h </w:instrText>
      </w:r>
      <w:r w:rsidR="00205340">
        <w:rPr>
          <w:color w:val="auto"/>
        </w:rPr>
        <w:instrText xml:space="preserve"> \* MERGEFORMAT </w:instrText>
      </w:r>
      <w:r w:rsidRPr="00205340">
        <w:rPr>
          <w:color w:val="auto"/>
        </w:rPr>
      </w:r>
      <w:r w:rsidRPr="00205340">
        <w:rPr>
          <w:color w:val="auto"/>
        </w:rPr>
        <w:fldChar w:fldCharType="separate"/>
      </w:r>
      <w:r w:rsidR="00F80C9A" w:rsidRPr="00205340">
        <w:rPr>
          <w:rStyle w:val="FootnoteReference"/>
          <w:color w:val="auto"/>
        </w:rPr>
        <w:t>4</w:t>
      </w:r>
      <w:r w:rsidRPr="00205340">
        <w:rPr>
          <w:color w:val="auto"/>
        </w:rPr>
        <w:fldChar w:fldCharType="end"/>
      </w:r>
      <w:r w:rsidRPr="00205340">
        <w:rPr>
          <w:color w:val="auto"/>
        </w:rPr>
        <w:t>) applied to Australian life tables. The Commentary considered that this was reasonable.</w:t>
      </w:r>
    </w:p>
    <w:p w14:paraId="342C719C" w14:textId="6901B6CD" w:rsidR="0093608E" w:rsidRPr="00205340" w:rsidRDefault="0093608E" w:rsidP="005C116D">
      <w:pPr>
        <w:pStyle w:val="Instructionaltext-afterfiguretable"/>
        <w:spacing w:before="120"/>
        <w:rPr>
          <w:color w:val="auto"/>
        </w:rPr>
      </w:pPr>
      <w:r w:rsidRPr="00205340">
        <w:rPr>
          <w:color w:val="auto"/>
        </w:rPr>
        <w:t xml:space="preserve">The Commentary noted that the number of </w:t>
      </w:r>
      <w:r w:rsidR="00841DE4" w:rsidRPr="00205340">
        <w:rPr>
          <w:color w:val="auto"/>
        </w:rPr>
        <w:t xml:space="preserve">treated </w:t>
      </w:r>
      <w:r w:rsidRPr="00205340">
        <w:rPr>
          <w:color w:val="auto"/>
        </w:rPr>
        <w:t xml:space="preserve">bleeds or the relative difference in the annual </w:t>
      </w:r>
      <w:r w:rsidR="00841DE4" w:rsidRPr="00205340">
        <w:rPr>
          <w:color w:val="auto"/>
        </w:rPr>
        <w:t xml:space="preserve">treated </w:t>
      </w:r>
      <w:r w:rsidRPr="00205340">
        <w:rPr>
          <w:color w:val="auto"/>
        </w:rPr>
        <w:t xml:space="preserve">bleeding rate, which was the primary efficacy endpoint in of the BASIS trial was not directly modelled to determine the effectiveness of treatment. Only the proportion of patients experiencing target joint bleeds which appeared to be a post-hoc analysis and not statistically significant was used to model the treatment effectiveness of marstacimab. This structural approach resulted in the proportion of patients with target joint bleeds being independently modelled from the incidence of bleeds. This was not justified in the ADAR, and the Commentary considered that this was inappropriate as it did not allow the impact of variations in baseline bleed rates to be explored. Given the applicability concerns of the BASIS trial in terms of </w:t>
      </w:r>
      <w:r w:rsidRPr="00205340">
        <w:rPr>
          <w:color w:val="auto"/>
        </w:rPr>
        <w:lastRenderedPageBreak/>
        <w:t>annualised bleed rates expected in practice, the Commentary considered that this was not reasonable.</w:t>
      </w:r>
    </w:p>
    <w:p w14:paraId="280F3F6C" w14:textId="77777777" w:rsidR="0093608E" w:rsidRPr="00205340" w:rsidRDefault="0093608E" w:rsidP="005C116D">
      <w:pPr>
        <w:pStyle w:val="Instructionaltext-afterfiguretable"/>
        <w:spacing w:before="120"/>
        <w:rPr>
          <w:color w:val="auto"/>
        </w:rPr>
      </w:pPr>
      <w:bookmarkStart w:id="63" w:name="_Hlk217295873"/>
      <w:r w:rsidRPr="00205340">
        <w:rPr>
          <w:color w:val="auto"/>
        </w:rPr>
        <w:t xml:space="preserve">Treatment-specific inputs from the BASIS trial were assumed to apply to the modelled population without adjustment, including the proportion of patients with &lt;5 or ≥5 bleeds per six-months and the six-month probabilities of target joint bleeds. The Commentary noted </w:t>
      </w:r>
      <w:proofErr w:type="gramStart"/>
      <w:r w:rsidRPr="00205340">
        <w:rPr>
          <w:color w:val="auto"/>
        </w:rPr>
        <w:t>a number of</w:t>
      </w:r>
      <w:proofErr w:type="gramEnd"/>
      <w:r w:rsidRPr="00205340">
        <w:rPr>
          <w:color w:val="auto"/>
        </w:rPr>
        <w:t xml:space="preserve"> concerns regarding the applicability of the BASIS trial data to the proposed setting:</w:t>
      </w:r>
    </w:p>
    <w:p w14:paraId="6C00CC3A" w14:textId="0B62788F" w:rsidR="0093608E" w:rsidRPr="00205340" w:rsidRDefault="0093608E" w:rsidP="005C116D">
      <w:pPr>
        <w:pStyle w:val="Instructionaltext-afterfiguretable"/>
        <w:numPr>
          <w:ilvl w:val="0"/>
          <w:numId w:val="18"/>
        </w:numPr>
        <w:spacing w:before="0"/>
        <w:ind w:left="714" w:hanging="357"/>
        <w:rPr>
          <w:color w:val="auto"/>
        </w:rPr>
      </w:pPr>
      <w:r w:rsidRPr="00205340">
        <w:rPr>
          <w:color w:val="auto"/>
        </w:rPr>
        <w:t xml:space="preserve">Bleed rates on factor prophylaxis in BASIS were higher than </w:t>
      </w:r>
      <w:r w:rsidR="0068095F" w:rsidRPr="00205340">
        <w:rPr>
          <w:color w:val="auto"/>
        </w:rPr>
        <w:t xml:space="preserve">that would be </w:t>
      </w:r>
      <w:r w:rsidRPr="00205340">
        <w:rPr>
          <w:color w:val="auto"/>
        </w:rPr>
        <w:t xml:space="preserve">expected in the proposed setting. The Commentary considered this was likely due to </w:t>
      </w:r>
      <w:proofErr w:type="spellStart"/>
      <w:r w:rsidRPr="00205340">
        <w:rPr>
          <w:color w:val="auto"/>
        </w:rPr>
        <w:t>i</w:t>
      </w:r>
      <w:proofErr w:type="spellEnd"/>
      <w:r w:rsidRPr="00205340">
        <w:rPr>
          <w:color w:val="auto"/>
        </w:rPr>
        <w:t>) the use of SHL rather than the EHL products more commonly used in Australia; and ii) the settings in which the trials were conducted (low-middle income countries), which may not have the resources able to prioritise bleed minimisation. While unit costs per IU of factor prophylaxis were adjusted in the model to reflect EHL use, the ADAR did not adjust the amount of factor used or bleed rates. Real-world data do support a reduction in the annual number of bleeds following the switch from SHL to EHL products in the Australian setting, due to improved compliance to EHL treatment (Brennan et al. 202</w:t>
      </w:r>
      <w:r w:rsidR="00C270CC" w:rsidRPr="00205340">
        <w:rPr>
          <w:color w:val="auto"/>
        </w:rPr>
        <w:t>0</w:t>
      </w:r>
      <w:r w:rsidRPr="00205340">
        <w:rPr>
          <w:color w:val="auto"/>
        </w:rPr>
        <w:t>).</w:t>
      </w:r>
      <w:r w:rsidR="00F80C9A" w:rsidRPr="00205340">
        <w:rPr>
          <w:color w:val="auto"/>
        </w:rPr>
        <w:fldChar w:fldCharType="begin"/>
      </w:r>
      <w:r w:rsidR="00F80C9A" w:rsidRPr="00205340">
        <w:rPr>
          <w:color w:val="auto"/>
        </w:rPr>
        <w:instrText xml:space="preserve"> NOTEREF _Ref215664782 \f \h </w:instrText>
      </w:r>
      <w:r w:rsidR="00205340">
        <w:rPr>
          <w:color w:val="auto"/>
        </w:rPr>
        <w:instrText xml:space="preserve"> \* MERGEFORMAT </w:instrText>
      </w:r>
      <w:r w:rsidR="00F80C9A" w:rsidRPr="00205340">
        <w:rPr>
          <w:color w:val="auto"/>
        </w:rPr>
      </w:r>
      <w:r w:rsidR="00F80C9A" w:rsidRPr="00205340">
        <w:rPr>
          <w:color w:val="auto"/>
        </w:rPr>
        <w:fldChar w:fldCharType="separate"/>
      </w:r>
      <w:r w:rsidR="00F80C9A" w:rsidRPr="00205340">
        <w:rPr>
          <w:rStyle w:val="FootnoteReference"/>
          <w:color w:val="auto"/>
        </w:rPr>
        <w:t>2</w:t>
      </w:r>
      <w:r w:rsidR="00F80C9A" w:rsidRPr="00205340">
        <w:rPr>
          <w:color w:val="auto"/>
        </w:rPr>
        <w:fldChar w:fldCharType="end"/>
      </w:r>
      <w:r w:rsidR="00F80C9A" w:rsidRPr="00205340">
        <w:rPr>
          <w:color w:val="auto"/>
        </w:rPr>
        <w:t xml:space="preserve"> </w:t>
      </w:r>
    </w:p>
    <w:p w14:paraId="75A7BD89" w14:textId="539F7DA7" w:rsidR="0093608E" w:rsidRPr="00205340" w:rsidRDefault="003B343E" w:rsidP="005C116D">
      <w:pPr>
        <w:pStyle w:val="Instructionaltext-afterfiguretable"/>
        <w:numPr>
          <w:ilvl w:val="0"/>
          <w:numId w:val="18"/>
        </w:numPr>
        <w:spacing w:before="0"/>
        <w:ind w:left="714" w:hanging="357"/>
        <w:rPr>
          <w:color w:val="auto"/>
        </w:rPr>
      </w:pPr>
      <w:r w:rsidRPr="00205340">
        <w:rPr>
          <w:color w:val="auto"/>
        </w:rPr>
        <w:t>The ADAR pooled the HMA and HMB treatment effect together in the economic model.</w:t>
      </w:r>
      <w:r w:rsidR="00FF5600" w:rsidRPr="00205340">
        <w:rPr>
          <w:color w:val="auto"/>
        </w:rPr>
        <w:t xml:space="preserve"> As raised previously, the commentary did not consider this to be appropriate. </w:t>
      </w:r>
      <w:r w:rsidR="0093608E" w:rsidRPr="00205340">
        <w:rPr>
          <w:color w:val="auto"/>
        </w:rPr>
        <w:t xml:space="preserve">The Commentary considered that there may be differences across </w:t>
      </w:r>
      <w:r w:rsidR="0081299E" w:rsidRPr="00205340">
        <w:rPr>
          <w:color w:val="auto"/>
        </w:rPr>
        <w:t xml:space="preserve">patients with </w:t>
      </w:r>
      <w:r w:rsidR="0093608E" w:rsidRPr="00205340">
        <w:rPr>
          <w:color w:val="auto"/>
        </w:rPr>
        <w:t>HMA and HMB in terms of baseline bleed rates, effect of marstacimab treatment and factor use.</w:t>
      </w:r>
      <w:r w:rsidR="00C30DFF" w:rsidRPr="00205340">
        <w:rPr>
          <w:color w:val="auto"/>
        </w:rPr>
        <w:t xml:space="preserve"> Furthermore, the distribution of </w:t>
      </w:r>
      <w:r w:rsidR="0081299E" w:rsidRPr="00205340">
        <w:rPr>
          <w:color w:val="auto"/>
        </w:rPr>
        <w:t xml:space="preserve">patients with </w:t>
      </w:r>
      <w:r w:rsidR="00C30DFF" w:rsidRPr="00205340">
        <w:rPr>
          <w:color w:val="auto"/>
        </w:rPr>
        <w:t>HMA vs HMB in the BASIS trial (</w:t>
      </w:r>
      <w:r w:rsidR="007B591D" w:rsidRPr="00205340">
        <w:rPr>
          <w:color w:val="auto"/>
        </w:rPr>
        <w:t xml:space="preserve">79% </w:t>
      </w:r>
      <w:r w:rsidR="003D4D5D" w:rsidRPr="00205340">
        <w:rPr>
          <w:color w:val="auto"/>
        </w:rPr>
        <w:t>HMA and 21% HMB)</w:t>
      </w:r>
      <w:r w:rsidR="00C30DFF" w:rsidRPr="00205340">
        <w:rPr>
          <w:color w:val="auto"/>
        </w:rPr>
        <w:t xml:space="preserve"> was different to that would be expected in the Australian setting</w:t>
      </w:r>
      <w:r w:rsidR="00002D64" w:rsidRPr="00205340">
        <w:rPr>
          <w:color w:val="auto"/>
        </w:rPr>
        <w:t xml:space="preserve"> (87% HMA and 13% HMB)</w:t>
      </w:r>
      <w:r w:rsidR="00C30DFF" w:rsidRPr="00205340">
        <w:rPr>
          <w:color w:val="auto"/>
        </w:rPr>
        <w:t>.</w:t>
      </w:r>
      <w:r w:rsidR="0093608E" w:rsidRPr="00205340">
        <w:rPr>
          <w:color w:val="auto"/>
        </w:rPr>
        <w:t xml:space="preserve"> While the ADAR adjusted factor </w:t>
      </w:r>
      <w:proofErr w:type="gramStart"/>
      <w:r w:rsidR="0093608E" w:rsidRPr="00205340">
        <w:rPr>
          <w:color w:val="auto"/>
        </w:rPr>
        <w:t>use</w:t>
      </w:r>
      <w:proofErr w:type="gramEnd"/>
      <w:r w:rsidR="0093608E" w:rsidRPr="00205340">
        <w:rPr>
          <w:color w:val="auto"/>
        </w:rPr>
        <w:t xml:space="preserve"> for the distribution of </w:t>
      </w:r>
      <w:r w:rsidR="0081299E" w:rsidRPr="00205340">
        <w:rPr>
          <w:color w:val="auto"/>
        </w:rPr>
        <w:t xml:space="preserve">patients with </w:t>
      </w:r>
      <w:r w:rsidR="0093608E" w:rsidRPr="00205340">
        <w:rPr>
          <w:color w:val="auto"/>
        </w:rPr>
        <w:t>HMA and HMB expected in practice, the distribution of patients across high and low bleeds, or subsequent probability of target joint bleeds were not adjusted.</w:t>
      </w:r>
    </w:p>
    <w:p w14:paraId="3F1F2356" w14:textId="62D1659B" w:rsidR="0093608E" w:rsidRPr="00205340" w:rsidRDefault="0093608E" w:rsidP="005C116D">
      <w:pPr>
        <w:pStyle w:val="Instructionaltext-afterfiguretable"/>
        <w:numPr>
          <w:ilvl w:val="0"/>
          <w:numId w:val="18"/>
        </w:numPr>
        <w:spacing w:before="0"/>
        <w:ind w:left="714" w:hanging="357"/>
        <w:rPr>
          <w:color w:val="auto"/>
        </w:rPr>
      </w:pPr>
      <w:r w:rsidRPr="00205340">
        <w:rPr>
          <w:color w:val="auto"/>
        </w:rPr>
        <w:t>The derivation of transition probabilities for outcomes in the marstacimab arm includes patients who were treated with on-demand factor replacement during the observational phase of BASIS. This was not appropriate as these patients would have different baseline risks than patients who received factor prophylaxis and have been rightly excluded from the comparator arm.</w:t>
      </w:r>
      <w:r w:rsidR="00634512" w:rsidRPr="00205340">
        <w:rPr>
          <w:color w:val="auto"/>
        </w:rPr>
        <w:t xml:space="preserve"> This may overestimate the effectiveness in the intervention arm as patients who have more stable baseline disease are excluded from the comparator arm but included in the intervention arm.</w:t>
      </w:r>
    </w:p>
    <w:bookmarkEnd w:id="63"/>
    <w:p w14:paraId="289B69BE" w14:textId="6BF9EEFB" w:rsidR="0093608E" w:rsidRPr="00205340" w:rsidRDefault="0093608E" w:rsidP="0093608E">
      <w:pPr>
        <w:pStyle w:val="Instructionaltext-afterfiguretable"/>
        <w:spacing w:before="0"/>
        <w:rPr>
          <w:color w:val="auto"/>
        </w:rPr>
      </w:pPr>
      <w:r w:rsidRPr="00205340">
        <w:rPr>
          <w:color w:val="auto"/>
        </w:rPr>
        <w:t xml:space="preserve">The Commentary noted that translations studies were not presented in the ADAR to examine these applicability issues and determine the most appropriate approach to model the treatment effect expected in </w:t>
      </w:r>
      <w:r w:rsidR="00FC3B99" w:rsidRPr="00205340">
        <w:rPr>
          <w:color w:val="auto"/>
        </w:rPr>
        <w:t xml:space="preserve">Australian clinical </w:t>
      </w:r>
      <w:r w:rsidRPr="00205340">
        <w:rPr>
          <w:color w:val="auto"/>
        </w:rPr>
        <w:t>practice. The Commentary considered that using local data on the annual number of bleeds on factor prophylaxis and applying the treatment effect of marstacimab in terms of reducing bleeds from BASIS may be a more appropriate approach.</w:t>
      </w:r>
    </w:p>
    <w:p w14:paraId="7612AC1A" w14:textId="30FE4286" w:rsidR="0093608E" w:rsidRPr="00205340" w:rsidRDefault="0093608E" w:rsidP="00F04910">
      <w:pPr>
        <w:pStyle w:val="Instructionaltext-afterfiguretable"/>
        <w:spacing w:before="0"/>
        <w:rPr>
          <w:color w:val="auto"/>
        </w:rPr>
      </w:pPr>
      <w:r w:rsidRPr="00205340">
        <w:rPr>
          <w:color w:val="auto"/>
        </w:rPr>
        <w:t xml:space="preserve">The Commentary also identified other uncertainties regarding the proportion of marstacimab patients having dose </w:t>
      </w:r>
      <w:r w:rsidRPr="00205340">
        <w:rPr>
          <w:color w:val="000000" w:themeColor="text1"/>
        </w:rPr>
        <w:t xml:space="preserve">escalations and costs associated with factor administration. These have been discussed in the CMA sections. </w:t>
      </w:r>
      <w:r w:rsidR="00347C62" w:rsidRPr="00205340">
        <w:rPr>
          <w:color w:val="000000" w:themeColor="text1"/>
        </w:rPr>
        <w:t xml:space="preserve">Additionally, it is unclear if factor use in the comparator arm was double counted, as the annual factor dose reported in the BASIS CSR included all factor consumption, possibly covering breakthrough bleeds, which </w:t>
      </w:r>
      <w:r w:rsidR="00305F4A" w:rsidRPr="00205340">
        <w:rPr>
          <w:color w:val="000000" w:themeColor="text1"/>
        </w:rPr>
        <w:t>were</w:t>
      </w:r>
      <w:r w:rsidR="00347C62" w:rsidRPr="00205340">
        <w:rPr>
          <w:color w:val="000000" w:themeColor="text1"/>
        </w:rPr>
        <w:t xml:space="preserve"> also counted separately in the model.</w:t>
      </w:r>
      <w:r w:rsidR="00305F4A" w:rsidRPr="00205340">
        <w:rPr>
          <w:color w:val="000000" w:themeColor="text1"/>
        </w:rPr>
        <w:t xml:space="preserve"> These were tested in sensitivity analyses </w:t>
      </w:r>
      <w:r w:rsidR="00305F4A" w:rsidRPr="00205340">
        <w:rPr>
          <w:color w:val="auto"/>
        </w:rPr>
        <w:t>(</w:t>
      </w:r>
      <w:r w:rsidR="00F04910" w:rsidRPr="00205340">
        <w:rPr>
          <w:color w:val="auto"/>
        </w:rPr>
        <w:fldChar w:fldCharType="begin" w:fldLock="1"/>
      </w:r>
      <w:r w:rsidR="00F04910" w:rsidRPr="00205340">
        <w:rPr>
          <w:color w:val="auto"/>
        </w:rPr>
        <w:instrText xml:space="preserve"> REF _Ref227157322 \h </w:instrText>
      </w:r>
      <w:r w:rsidR="00205340">
        <w:rPr>
          <w:color w:val="auto"/>
        </w:rPr>
        <w:instrText xml:space="preserve"> \* MERGEFORMAT </w:instrText>
      </w:r>
      <w:r w:rsidR="00F04910" w:rsidRPr="00205340">
        <w:rPr>
          <w:color w:val="auto"/>
        </w:rPr>
      </w:r>
      <w:r w:rsidR="00F04910" w:rsidRPr="00205340">
        <w:rPr>
          <w:color w:val="auto"/>
        </w:rPr>
        <w:fldChar w:fldCharType="separate"/>
      </w:r>
      <w:r w:rsidR="00F04910" w:rsidRPr="00205340">
        <w:rPr>
          <w:color w:val="auto"/>
        </w:rPr>
        <w:t xml:space="preserve">Table </w:t>
      </w:r>
      <w:r w:rsidR="00F04910" w:rsidRPr="00205340">
        <w:rPr>
          <w:noProof/>
          <w:color w:val="auto"/>
        </w:rPr>
        <w:t>22</w:t>
      </w:r>
      <w:r w:rsidR="00F04910" w:rsidRPr="00205340">
        <w:rPr>
          <w:color w:val="auto"/>
        </w:rPr>
        <w:fldChar w:fldCharType="end"/>
      </w:r>
      <w:r w:rsidR="00305F4A" w:rsidRPr="00205340">
        <w:rPr>
          <w:color w:val="auto"/>
        </w:rPr>
        <w:t>)</w:t>
      </w:r>
      <w:r w:rsidR="000153D7" w:rsidRPr="00205340">
        <w:rPr>
          <w:color w:val="auto"/>
        </w:rPr>
        <w:t xml:space="preserve">. </w:t>
      </w:r>
      <w:r w:rsidRPr="00205340">
        <w:rPr>
          <w:color w:val="000000" w:themeColor="text1"/>
        </w:rPr>
        <w:t xml:space="preserve">The results of the economic analysis are </w:t>
      </w:r>
      <w:r w:rsidRPr="00205340">
        <w:rPr>
          <w:color w:val="auto"/>
        </w:rPr>
        <w:t>presented in</w:t>
      </w:r>
      <w:r w:rsidR="00F04910" w:rsidRPr="00205340">
        <w:rPr>
          <w:color w:val="auto"/>
        </w:rPr>
        <w:t xml:space="preserve"> </w:t>
      </w:r>
      <w:r w:rsidR="00F04910" w:rsidRPr="00205340">
        <w:rPr>
          <w:color w:val="auto"/>
        </w:rPr>
        <w:fldChar w:fldCharType="begin" w:fldLock="1"/>
      </w:r>
      <w:r w:rsidR="00F04910" w:rsidRPr="00205340">
        <w:rPr>
          <w:color w:val="auto"/>
        </w:rPr>
        <w:instrText xml:space="preserve"> REF _Ref227157241 \h </w:instrText>
      </w:r>
      <w:r w:rsidR="00205340">
        <w:rPr>
          <w:color w:val="auto"/>
        </w:rPr>
        <w:instrText xml:space="preserve"> \* MERGEFORMAT </w:instrText>
      </w:r>
      <w:r w:rsidR="00F04910" w:rsidRPr="00205340">
        <w:rPr>
          <w:color w:val="auto"/>
        </w:rPr>
      </w:r>
      <w:r w:rsidR="00F04910" w:rsidRPr="00205340">
        <w:rPr>
          <w:color w:val="auto"/>
        </w:rPr>
        <w:fldChar w:fldCharType="separate"/>
      </w:r>
      <w:r w:rsidR="00F04910" w:rsidRPr="00205340">
        <w:rPr>
          <w:color w:val="auto"/>
        </w:rPr>
        <w:t xml:space="preserve">Table </w:t>
      </w:r>
      <w:r w:rsidR="00F04910" w:rsidRPr="00205340">
        <w:rPr>
          <w:noProof/>
          <w:color w:val="auto"/>
        </w:rPr>
        <w:t>20</w:t>
      </w:r>
      <w:r w:rsidR="00F04910" w:rsidRPr="00205340">
        <w:rPr>
          <w:color w:val="auto"/>
        </w:rPr>
        <w:fldChar w:fldCharType="end"/>
      </w:r>
      <w:r w:rsidRPr="00205340">
        <w:rPr>
          <w:color w:val="auto"/>
        </w:rPr>
        <w:t xml:space="preserve">. The </w:t>
      </w:r>
      <w:r w:rsidRPr="00205340">
        <w:rPr>
          <w:color w:val="000000" w:themeColor="text1"/>
        </w:rPr>
        <w:t xml:space="preserve">ADAR did not present a stepped analysis which was not reasonable given the uncertainty associated </w:t>
      </w:r>
      <w:r w:rsidRPr="00205340">
        <w:rPr>
          <w:color w:val="auto"/>
        </w:rPr>
        <w:t xml:space="preserve">with long-term assumptions and inputs </w:t>
      </w:r>
      <w:r w:rsidR="00F90D1B" w:rsidRPr="00205340">
        <w:rPr>
          <w:color w:val="auto"/>
        </w:rPr>
        <w:t>which were</w:t>
      </w:r>
      <w:r w:rsidRPr="00205340">
        <w:rPr>
          <w:color w:val="auto"/>
        </w:rPr>
        <w:t xml:space="preserve"> not observed during the key trial.</w:t>
      </w:r>
    </w:p>
    <w:p w14:paraId="76D75A87" w14:textId="53127F20" w:rsidR="00F04910" w:rsidRPr="00205340" w:rsidRDefault="00F04910" w:rsidP="00F04910">
      <w:pPr>
        <w:pStyle w:val="Caption"/>
      </w:pPr>
      <w:bookmarkStart w:id="64" w:name="_Ref227157241"/>
      <w:r w:rsidRPr="00205340">
        <w:lastRenderedPageBreak/>
        <w:t xml:space="preserve">Table </w:t>
      </w:r>
      <w:fldSimple w:instr=" SEQ Table \* ARABIC ">
        <w:r w:rsidR="002C6A9B" w:rsidRPr="00205340">
          <w:rPr>
            <w:noProof/>
          </w:rPr>
          <w:t>20</w:t>
        </w:r>
      </w:fldSimple>
      <w:bookmarkEnd w:id="64"/>
      <w:r w:rsidRPr="00205340">
        <w:t xml:space="preserve"> Base case results of the economic evaluation</w:t>
      </w:r>
    </w:p>
    <w:tbl>
      <w:tblPr>
        <w:tblStyle w:val="TableGrid"/>
        <w:tblW w:w="5000" w:type="pct"/>
        <w:tblLook w:val="04A0" w:firstRow="1" w:lastRow="0" w:firstColumn="1" w:lastColumn="0" w:noHBand="0" w:noVBand="1"/>
      </w:tblPr>
      <w:tblGrid>
        <w:gridCol w:w="3863"/>
        <w:gridCol w:w="1718"/>
        <w:gridCol w:w="1718"/>
        <w:gridCol w:w="1717"/>
      </w:tblGrid>
      <w:tr w:rsidR="007F0F4D" w:rsidRPr="00205340" w14:paraId="34F880D8" w14:textId="77777777">
        <w:tc>
          <w:tcPr>
            <w:tcW w:w="2142" w:type="pct"/>
          </w:tcPr>
          <w:p w14:paraId="45614DCB" w14:textId="77777777" w:rsidR="0093608E" w:rsidRPr="00205340" w:rsidRDefault="0093608E" w:rsidP="00480B7D">
            <w:pPr>
              <w:pStyle w:val="TableText"/>
              <w:keepNext/>
              <w:keepLines/>
            </w:pPr>
          </w:p>
        </w:tc>
        <w:tc>
          <w:tcPr>
            <w:tcW w:w="953" w:type="pct"/>
            <w:vAlign w:val="center"/>
          </w:tcPr>
          <w:p w14:paraId="40F23166" w14:textId="77777777" w:rsidR="0093608E" w:rsidRPr="00205340" w:rsidRDefault="0093608E" w:rsidP="00480B7D">
            <w:pPr>
              <w:pStyle w:val="TableText"/>
              <w:keepNext/>
              <w:keepLines/>
              <w:jc w:val="center"/>
              <w:rPr>
                <w:b/>
                <w:bCs/>
              </w:rPr>
            </w:pPr>
            <w:r w:rsidRPr="00205340">
              <w:rPr>
                <w:b/>
                <w:bCs/>
              </w:rPr>
              <w:t>Marstacimab</w:t>
            </w:r>
          </w:p>
        </w:tc>
        <w:tc>
          <w:tcPr>
            <w:tcW w:w="953" w:type="pct"/>
            <w:vAlign w:val="center"/>
          </w:tcPr>
          <w:p w14:paraId="265DE8ED" w14:textId="77777777" w:rsidR="0093608E" w:rsidRPr="00205340" w:rsidRDefault="0093608E" w:rsidP="00480B7D">
            <w:pPr>
              <w:pStyle w:val="TableText"/>
              <w:keepNext/>
              <w:keepLines/>
              <w:jc w:val="center"/>
              <w:rPr>
                <w:b/>
                <w:bCs/>
              </w:rPr>
            </w:pPr>
            <w:r w:rsidRPr="00205340">
              <w:rPr>
                <w:b/>
                <w:bCs/>
              </w:rPr>
              <w:t>Factor prophylaxis</w:t>
            </w:r>
          </w:p>
        </w:tc>
        <w:tc>
          <w:tcPr>
            <w:tcW w:w="952" w:type="pct"/>
            <w:vAlign w:val="center"/>
          </w:tcPr>
          <w:p w14:paraId="7BBDA1E3" w14:textId="77777777" w:rsidR="0093608E" w:rsidRPr="00205340" w:rsidRDefault="0093608E" w:rsidP="00480B7D">
            <w:pPr>
              <w:pStyle w:val="TableText"/>
              <w:keepNext/>
              <w:keepLines/>
              <w:jc w:val="center"/>
              <w:rPr>
                <w:b/>
                <w:bCs/>
              </w:rPr>
            </w:pPr>
            <w:r w:rsidRPr="00205340">
              <w:rPr>
                <w:b/>
                <w:bCs/>
              </w:rPr>
              <w:t>Increment</w:t>
            </w:r>
          </w:p>
        </w:tc>
      </w:tr>
      <w:tr w:rsidR="007F0F4D" w:rsidRPr="00205340" w14:paraId="577AB457" w14:textId="77777777">
        <w:tc>
          <w:tcPr>
            <w:tcW w:w="2142" w:type="pct"/>
          </w:tcPr>
          <w:p w14:paraId="3C73B037" w14:textId="77777777" w:rsidR="0093608E" w:rsidRPr="00205340" w:rsidRDefault="0093608E" w:rsidP="00480B7D">
            <w:pPr>
              <w:pStyle w:val="TableText"/>
              <w:keepNext/>
              <w:keepLines/>
            </w:pPr>
            <w:r w:rsidRPr="00205340">
              <w:t>Total cost of prophylaxis</w:t>
            </w:r>
          </w:p>
        </w:tc>
        <w:tc>
          <w:tcPr>
            <w:tcW w:w="953" w:type="pct"/>
            <w:vAlign w:val="center"/>
          </w:tcPr>
          <w:p w14:paraId="3D3C0E57" w14:textId="7ABD0D4D" w:rsidR="0093608E" w:rsidRPr="008E0271" w:rsidRDefault="0093608E" w:rsidP="00480B7D">
            <w:pPr>
              <w:pStyle w:val="TableText"/>
              <w:keepNext/>
              <w:keepLines/>
              <w:jc w:val="right"/>
            </w:pPr>
            <w:r w:rsidRPr="008E0271">
              <w:t>$</w:t>
            </w:r>
            <w:r w:rsidR="00E62160" w:rsidRPr="008E0271">
              <w:rPr>
                <w:b/>
                <w:bCs/>
              </w:rPr>
              <w:t>redacted</w:t>
            </w:r>
          </w:p>
        </w:tc>
        <w:tc>
          <w:tcPr>
            <w:tcW w:w="953" w:type="pct"/>
            <w:vAlign w:val="center"/>
          </w:tcPr>
          <w:p w14:paraId="43FEE9B6" w14:textId="77777777" w:rsidR="0093608E" w:rsidRPr="008E0271" w:rsidRDefault="0093608E" w:rsidP="00480B7D">
            <w:pPr>
              <w:pStyle w:val="TableText"/>
              <w:keepNext/>
              <w:keepLines/>
              <w:jc w:val="right"/>
            </w:pPr>
            <w:r w:rsidRPr="008E0271">
              <w:t>$2,683,091</w:t>
            </w:r>
          </w:p>
        </w:tc>
        <w:tc>
          <w:tcPr>
            <w:tcW w:w="952" w:type="pct"/>
            <w:vAlign w:val="center"/>
          </w:tcPr>
          <w:p w14:paraId="2558B73F" w14:textId="73E8C643" w:rsidR="0093608E" w:rsidRPr="008E0271" w:rsidRDefault="0093608E" w:rsidP="00480B7D">
            <w:pPr>
              <w:pStyle w:val="TableText"/>
              <w:keepNext/>
              <w:keepLines/>
              <w:jc w:val="right"/>
            </w:pPr>
            <w:r w:rsidRPr="008E0271">
              <w:t>$</w:t>
            </w:r>
            <w:r w:rsidR="00E62160" w:rsidRPr="008E0271">
              <w:rPr>
                <w:b/>
                <w:bCs/>
              </w:rPr>
              <w:t>redacted</w:t>
            </w:r>
          </w:p>
        </w:tc>
      </w:tr>
      <w:tr w:rsidR="007F0F4D" w:rsidRPr="00205340" w14:paraId="04F8F7E9" w14:textId="77777777">
        <w:tc>
          <w:tcPr>
            <w:tcW w:w="2142" w:type="pct"/>
          </w:tcPr>
          <w:p w14:paraId="19656040" w14:textId="77777777" w:rsidR="0093608E" w:rsidRPr="00205340" w:rsidRDefault="0093608E" w:rsidP="00480B7D">
            <w:pPr>
              <w:pStyle w:val="TableText"/>
              <w:keepNext/>
              <w:keepLines/>
            </w:pPr>
            <w:r w:rsidRPr="00205340">
              <w:t>Total cost of breakthrough bleeds</w:t>
            </w:r>
          </w:p>
        </w:tc>
        <w:tc>
          <w:tcPr>
            <w:tcW w:w="953" w:type="pct"/>
            <w:vAlign w:val="center"/>
          </w:tcPr>
          <w:p w14:paraId="612A2747" w14:textId="77777777" w:rsidR="0093608E" w:rsidRPr="008E0271" w:rsidRDefault="0093608E" w:rsidP="00480B7D">
            <w:pPr>
              <w:pStyle w:val="TableText"/>
              <w:keepNext/>
              <w:keepLines/>
              <w:jc w:val="right"/>
            </w:pPr>
            <w:r w:rsidRPr="008E0271">
              <w:t>$173,470</w:t>
            </w:r>
          </w:p>
        </w:tc>
        <w:tc>
          <w:tcPr>
            <w:tcW w:w="953" w:type="pct"/>
            <w:vAlign w:val="center"/>
          </w:tcPr>
          <w:p w14:paraId="2931B931" w14:textId="77777777" w:rsidR="0093608E" w:rsidRPr="008E0271" w:rsidRDefault="0093608E" w:rsidP="00480B7D">
            <w:pPr>
              <w:pStyle w:val="TableText"/>
              <w:keepNext/>
              <w:keepLines/>
              <w:jc w:val="right"/>
            </w:pPr>
            <w:r w:rsidRPr="008E0271">
              <w:t>$407,993</w:t>
            </w:r>
          </w:p>
        </w:tc>
        <w:tc>
          <w:tcPr>
            <w:tcW w:w="952" w:type="pct"/>
            <w:vAlign w:val="center"/>
          </w:tcPr>
          <w:p w14:paraId="739A63F1" w14:textId="77777777" w:rsidR="0093608E" w:rsidRPr="008E0271" w:rsidRDefault="0093608E" w:rsidP="00480B7D">
            <w:pPr>
              <w:pStyle w:val="TableText"/>
              <w:keepNext/>
              <w:keepLines/>
              <w:jc w:val="right"/>
            </w:pPr>
            <m:oMath>
              <m:r>
                <w:rPr>
                  <w:rFonts w:ascii="Cambria Math" w:hAnsi="Cambria Math"/>
                </w:rPr>
                <m:t>-</m:t>
              </m:r>
            </m:oMath>
            <w:r w:rsidRPr="008E0271">
              <w:t>$234,523</w:t>
            </w:r>
          </w:p>
        </w:tc>
      </w:tr>
      <w:tr w:rsidR="007F0F4D" w:rsidRPr="00205340" w14:paraId="2AD6F771" w14:textId="77777777">
        <w:tc>
          <w:tcPr>
            <w:tcW w:w="2142" w:type="pct"/>
          </w:tcPr>
          <w:p w14:paraId="5E4B53B9" w14:textId="77777777" w:rsidR="0093608E" w:rsidRPr="00205340" w:rsidRDefault="0093608E" w:rsidP="00480B7D">
            <w:pPr>
              <w:pStyle w:val="TableText"/>
              <w:keepNext/>
              <w:keepLines/>
              <w:rPr>
                <w:b/>
                <w:bCs/>
              </w:rPr>
            </w:pPr>
            <w:r w:rsidRPr="00205340">
              <w:rPr>
                <w:b/>
                <w:bCs/>
              </w:rPr>
              <w:t>Total costs</w:t>
            </w:r>
          </w:p>
        </w:tc>
        <w:tc>
          <w:tcPr>
            <w:tcW w:w="953" w:type="pct"/>
            <w:vAlign w:val="center"/>
          </w:tcPr>
          <w:p w14:paraId="0AD7D540" w14:textId="7DC00E84" w:rsidR="0093608E" w:rsidRPr="008E0271" w:rsidRDefault="0093608E" w:rsidP="00480B7D">
            <w:pPr>
              <w:pStyle w:val="TableText"/>
              <w:keepNext/>
              <w:keepLines/>
              <w:jc w:val="right"/>
              <w:rPr>
                <w:b/>
                <w:bCs/>
              </w:rPr>
            </w:pPr>
            <w:r w:rsidRPr="008E0271">
              <w:rPr>
                <w:b/>
                <w:bCs/>
              </w:rPr>
              <w:t>$</w:t>
            </w:r>
            <w:r w:rsidR="002A4156" w:rsidRPr="008E0271">
              <w:rPr>
                <w:b/>
                <w:bCs/>
              </w:rPr>
              <w:t>redacted</w:t>
            </w:r>
          </w:p>
        </w:tc>
        <w:tc>
          <w:tcPr>
            <w:tcW w:w="953" w:type="pct"/>
            <w:vAlign w:val="center"/>
          </w:tcPr>
          <w:p w14:paraId="151CA117" w14:textId="77777777" w:rsidR="0093608E" w:rsidRPr="008E0271" w:rsidRDefault="0093608E" w:rsidP="00480B7D">
            <w:pPr>
              <w:pStyle w:val="TableText"/>
              <w:keepNext/>
              <w:keepLines/>
              <w:jc w:val="right"/>
              <w:rPr>
                <w:b/>
                <w:bCs/>
              </w:rPr>
            </w:pPr>
            <w:r w:rsidRPr="008E0271">
              <w:rPr>
                <w:b/>
                <w:bCs/>
              </w:rPr>
              <w:t>$3,091,084</w:t>
            </w:r>
          </w:p>
        </w:tc>
        <w:tc>
          <w:tcPr>
            <w:tcW w:w="952" w:type="pct"/>
            <w:vAlign w:val="center"/>
          </w:tcPr>
          <w:p w14:paraId="065CA29C" w14:textId="0E52EAF4" w:rsidR="0093608E" w:rsidRPr="008E0271" w:rsidRDefault="0093608E" w:rsidP="00480B7D">
            <w:pPr>
              <w:pStyle w:val="TableText"/>
              <w:keepNext/>
              <w:keepLines/>
              <w:jc w:val="right"/>
              <w:rPr>
                <w:b/>
                <w:bCs/>
              </w:rPr>
            </w:pPr>
            <w:r w:rsidRPr="008E0271">
              <w:rPr>
                <w:b/>
                <w:bCs/>
              </w:rPr>
              <w:t>$</w:t>
            </w:r>
            <w:r w:rsidR="002A4156" w:rsidRPr="008E0271">
              <w:rPr>
                <w:b/>
                <w:bCs/>
              </w:rPr>
              <w:t>redacted</w:t>
            </w:r>
          </w:p>
        </w:tc>
      </w:tr>
      <w:tr w:rsidR="007F0F4D" w:rsidRPr="00205340" w14:paraId="7296BE95" w14:textId="77777777">
        <w:tc>
          <w:tcPr>
            <w:tcW w:w="2142" w:type="pct"/>
          </w:tcPr>
          <w:p w14:paraId="13DF6971" w14:textId="77777777" w:rsidR="0093608E" w:rsidRPr="00205340" w:rsidRDefault="0093608E" w:rsidP="00480B7D">
            <w:pPr>
              <w:pStyle w:val="TableText"/>
              <w:keepNext/>
              <w:keepLines/>
            </w:pPr>
            <w:r w:rsidRPr="00205340">
              <w:t>QALYs without chronic haemophilic arthropathy</w:t>
            </w:r>
          </w:p>
        </w:tc>
        <w:tc>
          <w:tcPr>
            <w:tcW w:w="953" w:type="pct"/>
            <w:vAlign w:val="center"/>
          </w:tcPr>
          <w:p w14:paraId="7CDCE126" w14:textId="77777777" w:rsidR="0093608E" w:rsidRPr="008E0271" w:rsidRDefault="0093608E" w:rsidP="00480B7D">
            <w:pPr>
              <w:pStyle w:val="TableText"/>
              <w:keepNext/>
              <w:keepLines/>
              <w:jc w:val="right"/>
            </w:pPr>
            <w:r w:rsidRPr="008E0271">
              <w:t>12.450</w:t>
            </w:r>
          </w:p>
        </w:tc>
        <w:tc>
          <w:tcPr>
            <w:tcW w:w="953" w:type="pct"/>
            <w:vAlign w:val="center"/>
          </w:tcPr>
          <w:p w14:paraId="40B66B7C" w14:textId="77777777" w:rsidR="0093608E" w:rsidRPr="008E0271" w:rsidRDefault="0093608E" w:rsidP="00480B7D">
            <w:pPr>
              <w:pStyle w:val="TableText"/>
              <w:keepNext/>
              <w:keepLines/>
              <w:jc w:val="right"/>
            </w:pPr>
            <w:r w:rsidRPr="008E0271">
              <w:t>10.478</w:t>
            </w:r>
          </w:p>
        </w:tc>
        <w:tc>
          <w:tcPr>
            <w:tcW w:w="952" w:type="pct"/>
            <w:vAlign w:val="center"/>
          </w:tcPr>
          <w:p w14:paraId="3146577A" w14:textId="77777777" w:rsidR="0093608E" w:rsidRPr="008E0271" w:rsidRDefault="0093608E" w:rsidP="00480B7D">
            <w:pPr>
              <w:pStyle w:val="TableText"/>
              <w:keepNext/>
              <w:keepLines/>
              <w:jc w:val="right"/>
            </w:pPr>
            <w:r w:rsidRPr="008E0271">
              <w:t>1.972</w:t>
            </w:r>
          </w:p>
        </w:tc>
      </w:tr>
      <w:tr w:rsidR="007F0F4D" w:rsidRPr="00205340" w14:paraId="03947764" w14:textId="77777777">
        <w:tc>
          <w:tcPr>
            <w:tcW w:w="2142" w:type="pct"/>
          </w:tcPr>
          <w:p w14:paraId="1C1A3D1D" w14:textId="77777777" w:rsidR="0093608E" w:rsidRPr="00205340" w:rsidRDefault="0093608E" w:rsidP="00480B7D">
            <w:pPr>
              <w:pStyle w:val="TableText"/>
              <w:keepNext/>
              <w:keepLines/>
            </w:pPr>
            <w:r w:rsidRPr="00205340">
              <w:t>QALYs with chronic haemophilic arthropathy</w:t>
            </w:r>
          </w:p>
        </w:tc>
        <w:tc>
          <w:tcPr>
            <w:tcW w:w="953" w:type="pct"/>
            <w:vAlign w:val="center"/>
          </w:tcPr>
          <w:p w14:paraId="35A73310" w14:textId="77777777" w:rsidR="0093608E" w:rsidRPr="008E0271" w:rsidRDefault="0093608E" w:rsidP="00480B7D">
            <w:pPr>
              <w:pStyle w:val="TableText"/>
              <w:keepNext/>
              <w:keepLines/>
              <w:jc w:val="right"/>
            </w:pPr>
            <w:r w:rsidRPr="008E0271">
              <w:t>2.244</w:t>
            </w:r>
          </w:p>
        </w:tc>
        <w:tc>
          <w:tcPr>
            <w:tcW w:w="953" w:type="pct"/>
            <w:vAlign w:val="center"/>
          </w:tcPr>
          <w:p w14:paraId="6A5EC91F" w14:textId="77777777" w:rsidR="0093608E" w:rsidRPr="008E0271" w:rsidRDefault="0093608E" w:rsidP="00480B7D">
            <w:pPr>
              <w:pStyle w:val="TableText"/>
              <w:keepNext/>
              <w:keepLines/>
              <w:jc w:val="right"/>
            </w:pPr>
            <w:r w:rsidRPr="008E0271">
              <w:t>3.588</w:t>
            </w:r>
          </w:p>
        </w:tc>
        <w:tc>
          <w:tcPr>
            <w:tcW w:w="952" w:type="pct"/>
            <w:vAlign w:val="center"/>
          </w:tcPr>
          <w:p w14:paraId="5156A212" w14:textId="77777777" w:rsidR="0093608E" w:rsidRPr="008E0271" w:rsidRDefault="0093608E" w:rsidP="00480B7D">
            <w:pPr>
              <w:pStyle w:val="TableText"/>
              <w:keepNext/>
              <w:keepLines/>
              <w:jc w:val="right"/>
            </w:pPr>
            <m:oMath>
              <m:r>
                <w:rPr>
                  <w:rFonts w:ascii="Cambria Math" w:hAnsi="Cambria Math"/>
                </w:rPr>
                <m:t>-</m:t>
              </m:r>
            </m:oMath>
            <w:r w:rsidRPr="008E0271">
              <w:t>1.345</w:t>
            </w:r>
          </w:p>
        </w:tc>
      </w:tr>
      <w:tr w:rsidR="007F0F4D" w:rsidRPr="00205340" w14:paraId="12894C92" w14:textId="77777777">
        <w:tc>
          <w:tcPr>
            <w:tcW w:w="2142" w:type="pct"/>
          </w:tcPr>
          <w:p w14:paraId="71B4EB8D" w14:textId="77777777" w:rsidR="0093608E" w:rsidRPr="00205340" w:rsidRDefault="0093608E" w:rsidP="00480B7D">
            <w:pPr>
              <w:pStyle w:val="TableText"/>
              <w:keepNext/>
              <w:keepLines/>
              <w:rPr>
                <w:b/>
                <w:bCs/>
              </w:rPr>
            </w:pPr>
            <w:r w:rsidRPr="00205340">
              <w:rPr>
                <w:b/>
                <w:bCs/>
              </w:rPr>
              <w:t>Total QALYs</w:t>
            </w:r>
          </w:p>
        </w:tc>
        <w:tc>
          <w:tcPr>
            <w:tcW w:w="953" w:type="pct"/>
            <w:vAlign w:val="center"/>
          </w:tcPr>
          <w:p w14:paraId="44BD7137" w14:textId="77777777" w:rsidR="0093608E" w:rsidRPr="008E0271" w:rsidRDefault="0093608E" w:rsidP="00480B7D">
            <w:pPr>
              <w:pStyle w:val="TableText"/>
              <w:keepNext/>
              <w:keepLines/>
              <w:jc w:val="right"/>
              <w:rPr>
                <w:b/>
                <w:bCs/>
              </w:rPr>
            </w:pPr>
            <w:r w:rsidRPr="008E0271">
              <w:rPr>
                <w:b/>
                <w:bCs/>
              </w:rPr>
              <w:t>14.694</w:t>
            </w:r>
          </w:p>
        </w:tc>
        <w:tc>
          <w:tcPr>
            <w:tcW w:w="953" w:type="pct"/>
            <w:vAlign w:val="center"/>
          </w:tcPr>
          <w:p w14:paraId="32AD2186" w14:textId="77777777" w:rsidR="0093608E" w:rsidRPr="008E0271" w:rsidRDefault="0093608E" w:rsidP="00480B7D">
            <w:pPr>
              <w:pStyle w:val="TableText"/>
              <w:keepNext/>
              <w:keepLines/>
              <w:jc w:val="right"/>
              <w:rPr>
                <w:b/>
                <w:bCs/>
              </w:rPr>
            </w:pPr>
            <w:r w:rsidRPr="008E0271">
              <w:rPr>
                <w:b/>
                <w:bCs/>
              </w:rPr>
              <w:t>14.066</w:t>
            </w:r>
          </w:p>
        </w:tc>
        <w:tc>
          <w:tcPr>
            <w:tcW w:w="952" w:type="pct"/>
            <w:vAlign w:val="center"/>
          </w:tcPr>
          <w:p w14:paraId="36EBE3A7" w14:textId="77777777" w:rsidR="0093608E" w:rsidRPr="008E0271" w:rsidRDefault="0093608E" w:rsidP="00480B7D">
            <w:pPr>
              <w:pStyle w:val="TableText"/>
              <w:keepNext/>
              <w:keepLines/>
              <w:jc w:val="right"/>
              <w:rPr>
                <w:b/>
                <w:bCs/>
              </w:rPr>
            </w:pPr>
            <w:r w:rsidRPr="008E0271">
              <w:rPr>
                <w:b/>
                <w:bCs/>
              </w:rPr>
              <w:t>0.628</w:t>
            </w:r>
          </w:p>
        </w:tc>
      </w:tr>
      <w:tr w:rsidR="0010559C" w:rsidRPr="00205340" w14:paraId="55D9C389" w14:textId="77777777">
        <w:tc>
          <w:tcPr>
            <w:tcW w:w="4048" w:type="pct"/>
            <w:gridSpan w:val="3"/>
            <w:vAlign w:val="center"/>
          </w:tcPr>
          <w:p w14:paraId="384B3AC8" w14:textId="77777777" w:rsidR="0093608E" w:rsidRPr="008E0271" w:rsidRDefault="0093608E" w:rsidP="00480B7D">
            <w:pPr>
              <w:pStyle w:val="TableText"/>
              <w:keepLines/>
              <w:rPr>
                <w:b/>
                <w:bCs/>
              </w:rPr>
            </w:pPr>
            <w:r w:rsidRPr="008E0271">
              <w:rPr>
                <w:b/>
                <w:bCs/>
              </w:rPr>
              <w:t>Incremental cost per additional QALY gained over a lifetime time horizon:</w:t>
            </w:r>
          </w:p>
        </w:tc>
        <w:tc>
          <w:tcPr>
            <w:tcW w:w="952" w:type="pct"/>
            <w:vAlign w:val="center"/>
          </w:tcPr>
          <w:p w14:paraId="391AD7E8" w14:textId="08D40033" w:rsidR="0093608E" w:rsidRPr="008E0271" w:rsidRDefault="0093608E" w:rsidP="00480B7D">
            <w:pPr>
              <w:pStyle w:val="TableText"/>
              <w:keepLines/>
              <w:jc w:val="right"/>
              <w:rPr>
                <w:b/>
                <w:bCs/>
              </w:rPr>
            </w:pPr>
            <w:r w:rsidRPr="008E0271">
              <w:rPr>
                <w:b/>
                <w:bCs/>
              </w:rPr>
              <w:t>$</w:t>
            </w:r>
            <w:r w:rsidR="002A4156" w:rsidRPr="008E0271">
              <w:rPr>
                <w:b/>
                <w:bCs/>
              </w:rPr>
              <w:t>redacted</w:t>
            </w:r>
          </w:p>
        </w:tc>
      </w:tr>
    </w:tbl>
    <w:p w14:paraId="1E2F39F6" w14:textId="19B63D15" w:rsidR="0093608E" w:rsidRPr="00205340" w:rsidRDefault="0093608E" w:rsidP="00480B7D">
      <w:pPr>
        <w:pStyle w:val="TableFigureFooter"/>
        <w:keepNext/>
        <w:keepLines/>
        <w:spacing w:before="0" w:after="0"/>
        <w:contextualSpacing/>
      </w:pPr>
      <w:r w:rsidRPr="00205340">
        <w:t xml:space="preserve">Source: Table </w:t>
      </w:r>
      <w:r w:rsidR="00A601AE" w:rsidRPr="00205340">
        <w:t>48</w:t>
      </w:r>
      <w:r w:rsidRPr="00205340">
        <w:t xml:space="preserve"> of the ADAR</w:t>
      </w:r>
    </w:p>
    <w:p w14:paraId="14CF4805" w14:textId="77777777" w:rsidR="0093608E" w:rsidRPr="00205340" w:rsidRDefault="0093608E" w:rsidP="00480B7D">
      <w:pPr>
        <w:pStyle w:val="TableFigureFooter"/>
        <w:spacing w:before="0"/>
      </w:pPr>
      <w:r w:rsidRPr="00205340">
        <w:t>ADAR = Applicant Developed Assessment Report; QALY = quality-adjusted life year</w:t>
      </w:r>
    </w:p>
    <w:p w14:paraId="6F0A9D63" w14:textId="254AE9A5" w:rsidR="0093608E" w:rsidRPr="00205340" w:rsidRDefault="0093608E" w:rsidP="0093608E">
      <w:r w:rsidRPr="00205340">
        <w:t>The key model drivers are presented in</w:t>
      </w:r>
      <w:r w:rsidR="00F04910" w:rsidRPr="00205340">
        <w:t xml:space="preserve"> </w:t>
      </w:r>
      <w:r w:rsidR="00F04910" w:rsidRPr="00205340">
        <w:fldChar w:fldCharType="begin" w:fldLock="1"/>
      </w:r>
      <w:r w:rsidR="00F04910" w:rsidRPr="00205340">
        <w:instrText xml:space="preserve"> REF _Ref227157291 \h </w:instrText>
      </w:r>
      <w:r w:rsidR="00205340">
        <w:instrText xml:space="preserve"> \* MERGEFORMAT </w:instrText>
      </w:r>
      <w:r w:rsidR="00F04910" w:rsidRPr="00205340">
        <w:fldChar w:fldCharType="separate"/>
      </w:r>
      <w:r w:rsidR="00F04910" w:rsidRPr="00205340">
        <w:t xml:space="preserve">Table </w:t>
      </w:r>
      <w:r w:rsidR="00F04910" w:rsidRPr="00205340">
        <w:rPr>
          <w:noProof/>
        </w:rPr>
        <w:t>21</w:t>
      </w:r>
      <w:r w:rsidR="00F04910" w:rsidRPr="00205340">
        <w:fldChar w:fldCharType="end"/>
      </w:r>
      <w:r w:rsidRPr="00205340">
        <w:t>.</w:t>
      </w:r>
    </w:p>
    <w:p w14:paraId="50DD2389" w14:textId="5AE04806" w:rsidR="00F04910" w:rsidRPr="00205340" w:rsidRDefault="00F04910" w:rsidP="00F04910">
      <w:pPr>
        <w:pStyle w:val="Caption"/>
      </w:pPr>
      <w:bookmarkStart w:id="65" w:name="_Ref227157291"/>
      <w:r w:rsidRPr="00205340">
        <w:t xml:space="preserve">Table </w:t>
      </w:r>
      <w:fldSimple w:instr=" SEQ Table \* ARABIC ">
        <w:r w:rsidR="002C6A9B" w:rsidRPr="00205340">
          <w:rPr>
            <w:noProof/>
          </w:rPr>
          <w:t>21</w:t>
        </w:r>
      </w:fldSimple>
      <w:bookmarkEnd w:id="65"/>
      <w:r w:rsidRPr="00205340">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4"/>
        <w:gridCol w:w="5527"/>
        <w:gridCol w:w="2075"/>
      </w:tblGrid>
      <w:tr w:rsidR="0093608E" w:rsidRPr="00205340" w14:paraId="1786D5A3" w14:textId="77777777">
        <w:trPr>
          <w:tblHeader/>
        </w:trPr>
        <w:tc>
          <w:tcPr>
            <w:tcW w:w="784" w:type="pct"/>
            <w:vAlign w:val="center"/>
          </w:tcPr>
          <w:p w14:paraId="3D776ED9" w14:textId="77777777" w:rsidR="0093608E" w:rsidRPr="00205340" w:rsidRDefault="0093608E">
            <w:pPr>
              <w:pStyle w:val="In-tableHeading"/>
              <w:jc w:val="center"/>
              <w:rPr>
                <w:lang w:val="en-AU"/>
              </w:rPr>
            </w:pPr>
            <w:r w:rsidRPr="00205340">
              <w:rPr>
                <w:lang w:val="en-AU"/>
              </w:rPr>
              <w:t>Description</w:t>
            </w:r>
          </w:p>
        </w:tc>
        <w:tc>
          <w:tcPr>
            <w:tcW w:w="3065" w:type="pct"/>
            <w:vAlign w:val="center"/>
          </w:tcPr>
          <w:p w14:paraId="29E4617C" w14:textId="77777777" w:rsidR="0093608E" w:rsidRPr="00205340" w:rsidRDefault="0093608E">
            <w:pPr>
              <w:pStyle w:val="In-tableHeading"/>
              <w:jc w:val="center"/>
              <w:rPr>
                <w:lang w:val="en-AU"/>
              </w:rPr>
            </w:pPr>
            <w:r w:rsidRPr="00205340">
              <w:rPr>
                <w:lang w:val="en-AU"/>
              </w:rPr>
              <w:t>Method/Value</w:t>
            </w:r>
          </w:p>
        </w:tc>
        <w:tc>
          <w:tcPr>
            <w:tcW w:w="1151" w:type="pct"/>
            <w:vAlign w:val="center"/>
          </w:tcPr>
          <w:p w14:paraId="397CA60B" w14:textId="77777777" w:rsidR="0093608E" w:rsidRPr="00B85EDE" w:rsidRDefault="0093608E">
            <w:pPr>
              <w:pStyle w:val="In-tableHeading"/>
              <w:jc w:val="center"/>
              <w:rPr>
                <w:lang w:val="en-AU"/>
              </w:rPr>
            </w:pPr>
            <w:r w:rsidRPr="00B85EDE">
              <w:rPr>
                <w:lang w:val="en-AU"/>
              </w:rPr>
              <w:t>Impact</w:t>
            </w:r>
          </w:p>
          <w:p w14:paraId="7DFABF38" w14:textId="551B23E0" w:rsidR="0093608E" w:rsidRPr="00B85EDE" w:rsidRDefault="0093608E">
            <w:pPr>
              <w:pStyle w:val="In-tableHeading"/>
              <w:spacing w:after="160"/>
              <w:jc w:val="center"/>
              <w:rPr>
                <w:lang w:val="en-AU"/>
              </w:rPr>
            </w:pPr>
            <w:r w:rsidRPr="00B85EDE">
              <w:rPr>
                <w:rFonts w:cs="Arial"/>
                <w:szCs w:val="20"/>
                <w:lang w:val="en-AU"/>
              </w:rPr>
              <w:t>Base case: $</w:t>
            </w:r>
            <w:r w:rsidR="003308B0" w:rsidRPr="00B85EDE">
              <w:rPr>
                <w:bCs/>
              </w:rPr>
              <w:t>redacted</w:t>
            </w:r>
            <w:r w:rsidR="003308B0" w:rsidRPr="00B85EDE" w:rsidDel="003308B0">
              <w:rPr>
                <w:rFonts w:cs="Arial"/>
                <w:szCs w:val="20"/>
                <w:lang w:val="en-AU"/>
              </w:rPr>
              <w:t xml:space="preserve"> </w:t>
            </w:r>
            <w:r w:rsidRPr="00B85EDE">
              <w:rPr>
                <w:rFonts w:cs="Arial"/>
                <w:szCs w:val="20"/>
                <w:lang w:val="en-AU"/>
              </w:rPr>
              <w:t>/QALY gained</w:t>
            </w:r>
          </w:p>
        </w:tc>
      </w:tr>
      <w:tr w:rsidR="008746A2" w:rsidRPr="00205340" w14:paraId="6C7EF015" w14:textId="77777777">
        <w:tc>
          <w:tcPr>
            <w:tcW w:w="784" w:type="pct"/>
            <w:vAlign w:val="center"/>
          </w:tcPr>
          <w:p w14:paraId="098CC61B" w14:textId="77B73565" w:rsidR="008746A2" w:rsidRPr="00205340" w:rsidRDefault="008746A2" w:rsidP="008746A2">
            <w:pPr>
              <w:pStyle w:val="TableText"/>
              <w:keepNext/>
              <w:jc w:val="center"/>
            </w:pPr>
            <w:r w:rsidRPr="00205340">
              <w:t>Splitting patients into different bleeding rate groups</w:t>
            </w:r>
          </w:p>
        </w:tc>
        <w:tc>
          <w:tcPr>
            <w:tcW w:w="3065" w:type="pct"/>
            <w:vAlign w:val="center"/>
          </w:tcPr>
          <w:p w14:paraId="7898A27E" w14:textId="2DEC5425" w:rsidR="008746A2" w:rsidRPr="00205340" w:rsidRDefault="008746A2" w:rsidP="008746A2">
            <w:pPr>
              <w:pStyle w:val="TableText"/>
              <w:keepNext/>
            </w:pPr>
            <w:r w:rsidRPr="00205340">
              <w:t xml:space="preserve">The model separates patients based on their bleeding rate (observed in the trial) for the entire duration of the model. This is associated with substantial uncertainty as once patients are assigned their bleeding rate group at model </w:t>
            </w:r>
            <w:proofErr w:type="gramStart"/>
            <w:r w:rsidRPr="00205340">
              <w:t>entry,</w:t>
            </w:r>
            <w:proofErr w:type="gramEnd"/>
            <w:r w:rsidRPr="00205340">
              <w:t xml:space="preserve"> they can no longer switch back. In the Australian setting, a higher proportion of patients would be expected in the &lt;5 bleed rate group (equivalent to ABR of &lt;10) than assumed in the base case.</w:t>
            </w:r>
          </w:p>
        </w:tc>
        <w:tc>
          <w:tcPr>
            <w:tcW w:w="1151" w:type="pct"/>
            <w:vAlign w:val="center"/>
          </w:tcPr>
          <w:p w14:paraId="129EADD1" w14:textId="43377997" w:rsidR="008746A2" w:rsidRPr="00B85EDE" w:rsidRDefault="008746A2" w:rsidP="008746A2">
            <w:pPr>
              <w:pStyle w:val="TableText"/>
              <w:keepNext/>
              <w:rPr>
                <w:i/>
              </w:rPr>
            </w:pPr>
            <w:r w:rsidRPr="00B85EDE">
              <w:rPr>
                <w:i/>
                <w:iCs/>
              </w:rPr>
              <w:t xml:space="preserve">High, </w:t>
            </w:r>
            <w:r w:rsidRPr="00B85EDE">
              <w:rPr>
                <w:i/>
              </w:rPr>
              <w:t>favours marstacimab. Assuming all patients have bleeding rates of &lt;</w:t>
            </w:r>
            <w:r w:rsidR="00347C62" w:rsidRPr="00B85EDE">
              <w:rPr>
                <w:i/>
              </w:rPr>
              <w:t>5</w:t>
            </w:r>
            <w:r w:rsidRPr="00B85EDE">
              <w:rPr>
                <w:i/>
              </w:rPr>
              <w:t xml:space="preserve"> per six months increases the ICER to $</w:t>
            </w:r>
            <w:r w:rsidR="003308B0" w:rsidRPr="00B85EDE">
              <w:rPr>
                <w:b/>
                <w:bCs/>
              </w:rPr>
              <w:t>redacted</w:t>
            </w:r>
            <w:r w:rsidR="003308B0" w:rsidRPr="00B85EDE" w:rsidDel="003308B0">
              <w:rPr>
                <w:i/>
              </w:rPr>
              <w:t xml:space="preserve"> </w:t>
            </w:r>
            <w:r w:rsidRPr="00B85EDE">
              <w:rPr>
                <w:i/>
              </w:rPr>
              <w:t>/QALY gained.</w:t>
            </w:r>
          </w:p>
        </w:tc>
      </w:tr>
      <w:tr w:rsidR="008746A2" w:rsidRPr="00205340" w14:paraId="48910592" w14:textId="77777777">
        <w:tc>
          <w:tcPr>
            <w:tcW w:w="784" w:type="pct"/>
            <w:vAlign w:val="center"/>
          </w:tcPr>
          <w:p w14:paraId="2ABE7F4B" w14:textId="77777777" w:rsidR="008746A2" w:rsidRPr="00205340" w:rsidRDefault="008746A2" w:rsidP="008746A2">
            <w:pPr>
              <w:pStyle w:val="TableText"/>
              <w:keepNext/>
              <w:jc w:val="center"/>
            </w:pPr>
            <w:r w:rsidRPr="00205340">
              <w:t>Chronic haemophilic arthropathy health state</w:t>
            </w:r>
          </w:p>
        </w:tc>
        <w:tc>
          <w:tcPr>
            <w:tcW w:w="3065" w:type="pct"/>
            <w:vAlign w:val="center"/>
          </w:tcPr>
          <w:p w14:paraId="6926391C" w14:textId="1D43C1AC" w:rsidR="008746A2" w:rsidRPr="00205340" w:rsidRDefault="008746A2" w:rsidP="008746A2">
            <w:pPr>
              <w:pStyle w:val="TableText"/>
              <w:keepNext/>
            </w:pPr>
            <w:r w:rsidRPr="00205340">
              <w:t xml:space="preserve">The model assumes 20% of patients experiencing target joint bleeds enter the chronic haemophilic arthropathy health states which is associated with poorer utilities and do not recover. The assumption that patients do not recover from arthropathy is uncertain and was not justified. Other economic models assume temporary cure of chronic arthropathy due to joint replacement surgeries. </w:t>
            </w:r>
          </w:p>
        </w:tc>
        <w:tc>
          <w:tcPr>
            <w:tcW w:w="1151" w:type="pct"/>
            <w:vAlign w:val="center"/>
          </w:tcPr>
          <w:p w14:paraId="7A69D158" w14:textId="2E642A9C" w:rsidR="008746A2" w:rsidRPr="00B85EDE" w:rsidRDefault="008746A2" w:rsidP="008746A2">
            <w:pPr>
              <w:pStyle w:val="TableText"/>
              <w:keepNext/>
              <w:rPr>
                <w:i/>
              </w:rPr>
            </w:pPr>
            <w:r w:rsidRPr="00B85EDE">
              <w:rPr>
                <w:i/>
              </w:rPr>
              <w:t>High, favours marstacimab.</w:t>
            </w:r>
            <w:r w:rsidRPr="00B85EDE">
              <w:rPr>
                <w:rFonts w:cs="Arial"/>
                <w:color w:val="258221"/>
                <w:szCs w:val="20"/>
              </w:rPr>
              <w:br/>
            </w:r>
            <w:r w:rsidRPr="00B85EDE">
              <w:rPr>
                <w:i/>
              </w:rPr>
              <w:t>Excluding this health state increased the ICER to $</w:t>
            </w:r>
            <w:r w:rsidR="003308B0" w:rsidRPr="00B85EDE">
              <w:rPr>
                <w:b/>
                <w:bCs/>
              </w:rPr>
              <w:t>redacted</w:t>
            </w:r>
            <w:r w:rsidR="003308B0" w:rsidRPr="00B85EDE" w:rsidDel="003308B0">
              <w:rPr>
                <w:i/>
              </w:rPr>
              <w:t xml:space="preserve"> </w:t>
            </w:r>
            <w:r w:rsidRPr="00B85EDE">
              <w:rPr>
                <w:i/>
              </w:rPr>
              <w:t xml:space="preserve">/QALY gained. </w:t>
            </w:r>
          </w:p>
        </w:tc>
      </w:tr>
      <w:tr w:rsidR="008746A2" w:rsidRPr="00205340" w14:paraId="75269220" w14:textId="77777777">
        <w:tc>
          <w:tcPr>
            <w:tcW w:w="784" w:type="pct"/>
            <w:vAlign w:val="center"/>
          </w:tcPr>
          <w:p w14:paraId="7E8F7B64" w14:textId="77777777" w:rsidR="008746A2" w:rsidRPr="00205340" w:rsidRDefault="008746A2" w:rsidP="008746A2">
            <w:pPr>
              <w:pStyle w:val="TableText"/>
              <w:keepNext/>
              <w:jc w:val="center"/>
            </w:pPr>
            <w:r w:rsidRPr="00205340">
              <w:t>Factor administration costs</w:t>
            </w:r>
          </w:p>
        </w:tc>
        <w:tc>
          <w:tcPr>
            <w:tcW w:w="3065" w:type="pct"/>
            <w:vAlign w:val="center"/>
          </w:tcPr>
          <w:p w14:paraId="617DA4DC" w14:textId="77777777" w:rsidR="008746A2" w:rsidRPr="00205340" w:rsidRDefault="008746A2" w:rsidP="008746A2">
            <w:pPr>
              <w:pStyle w:val="TableText"/>
              <w:keepNext/>
            </w:pPr>
            <w:r w:rsidRPr="00205340">
              <w:t xml:space="preserve">$643 based on NHCDC code 20.10 (non-admitted hematology consultation). Administration may occur under the guidance of a hematology clinical nurse specialist (code 40.48, cost $453). </w:t>
            </w:r>
          </w:p>
        </w:tc>
        <w:tc>
          <w:tcPr>
            <w:tcW w:w="1151" w:type="pct"/>
            <w:vAlign w:val="center"/>
          </w:tcPr>
          <w:p w14:paraId="2C2A7DBD" w14:textId="7D7E0080" w:rsidR="008746A2" w:rsidRPr="00B85EDE" w:rsidRDefault="008746A2" w:rsidP="008746A2">
            <w:pPr>
              <w:pStyle w:val="TableText"/>
              <w:keepNext/>
            </w:pPr>
            <w:r w:rsidRPr="00B85EDE">
              <w:rPr>
                <w:i/>
              </w:rPr>
              <w:t>High, favours marstacimab.</w:t>
            </w:r>
            <w:r w:rsidRPr="00B85EDE">
              <w:t xml:space="preserve"> </w:t>
            </w:r>
            <w:r w:rsidRPr="00B85EDE">
              <w:rPr>
                <w:i/>
              </w:rPr>
              <w:br/>
              <w:t>Assuming nurse administration increased the ICER to $</w:t>
            </w:r>
            <w:r w:rsidR="003308B0" w:rsidRPr="00B85EDE">
              <w:rPr>
                <w:b/>
                <w:bCs/>
              </w:rPr>
              <w:t>redacted</w:t>
            </w:r>
            <w:r w:rsidR="003308B0" w:rsidRPr="00B85EDE" w:rsidDel="003308B0">
              <w:rPr>
                <w:i/>
              </w:rPr>
              <w:t xml:space="preserve"> </w:t>
            </w:r>
            <w:r w:rsidRPr="00B85EDE">
              <w:rPr>
                <w:i/>
              </w:rPr>
              <w:t>/QALY gained.</w:t>
            </w:r>
            <w:r w:rsidRPr="00B85EDE">
              <w:rPr>
                <w:rFonts w:cs="Arial"/>
                <w:color w:val="538135" w:themeColor="accent6" w:themeShade="BF"/>
                <w:szCs w:val="20"/>
              </w:rPr>
              <w:t xml:space="preserve"> </w:t>
            </w:r>
          </w:p>
        </w:tc>
      </w:tr>
      <w:tr w:rsidR="008746A2" w:rsidRPr="00205340" w14:paraId="7EFB6A7B" w14:textId="77777777">
        <w:tc>
          <w:tcPr>
            <w:tcW w:w="784" w:type="pct"/>
            <w:vAlign w:val="center"/>
          </w:tcPr>
          <w:p w14:paraId="63C0C6FD" w14:textId="77777777" w:rsidR="008746A2" w:rsidRPr="00205340" w:rsidRDefault="008746A2" w:rsidP="008746A2">
            <w:pPr>
              <w:pStyle w:val="TableText"/>
              <w:keepNext/>
              <w:jc w:val="center"/>
            </w:pPr>
            <w:r w:rsidRPr="00205340">
              <w:t>Proportion of marstacimab patients with dose escalations</w:t>
            </w:r>
          </w:p>
        </w:tc>
        <w:tc>
          <w:tcPr>
            <w:tcW w:w="3065" w:type="pct"/>
            <w:vAlign w:val="center"/>
          </w:tcPr>
          <w:p w14:paraId="759ED15E" w14:textId="77777777" w:rsidR="008746A2" w:rsidRPr="00205340" w:rsidRDefault="008746A2" w:rsidP="008746A2">
            <w:pPr>
              <w:pStyle w:val="TableText"/>
              <w:keepNext/>
            </w:pPr>
            <w:r w:rsidRPr="00205340">
              <w:t xml:space="preserve">4.7% based on the BASIS CSR. As raised in the CMA section, a better estimate may come from the BASIS LTE CSR where the mean dose (171 mg) does not include the initial loading dose. </w:t>
            </w:r>
            <w:r w:rsidRPr="00205340">
              <w:rPr>
                <w:rFonts w:cstheme="minorHAnsi"/>
              </w:rPr>
              <w:t xml:space="preserve">This results in approximately 14% of patients having dose escalations, noting that this proportion may further increase over time. </w:t>
            </w:r>
          </w:p>
        </w:tc>
        <w:tc>
          <w:tcPr>
            <w:tcW w:w="1151" w:type="pct"/>
            <w:vAlign w:val="center"/>
          </w:tcPr>
          <w:p w14:paraId="68D2EDD8" w14:textId="1443C416" w:rsidR="008746A2" w:rsidRPr="00B85EDE" w:rsidRDefault="008746A2" w:rsidP="008746A2">
            <w:pPr>
              <w:pStyle w:val="TableText"/>
              <w:keepNext/>
            </w:pPr>
            <w:r w:rsidRPr="00B85EDE">
              <w:rPr>
                <w:i/>
              </w:rPr>
              <w:t>High, favours marstacimab.</w:t>
            </w:r>
            <w:r w:rsidRPr="00B85EDE">
              <w:t xml:space="preserve"> </w:t>
            </w:r>
            <w:r w:rsidRPr="00B85EDE">
              <w:rPr>
                <w:i/>
              </w:rPr>
              <w:br/>
              <w:t>Assuming 14% of patients have dose escalations increased the ICER to $</w:t>
            </w:r>
            <w:r w:rsidR="006565C8" w:rsidRPr="00B85EDE">
              <w:rPr>
                <w:b/>
                <w:bCs/>
              </w:rPr>
              <w:t>redacted</w:t>
            </w:r>
            <w:r w:rsidR="006565C8" w:rsidRPr="00B85EDE" w:rsidDel="006565C8">
              <w:rPr>
                <w:i/>
              </w:rPr>
              <w:t xml:space="preserve"> </w:t>
            </w:r>
            <w:r w:rsidRPr="00B85EDE">
              <w:rPr>
                <w:i/>
              </w:rPr>
              <w:t>/QALY gained.</w:t>
            </w:r>
          </w:p>
        </w:tc>
      </w:tr>
    </w:tbl>
    <w:p w14:paraId="5B3EB01C" w14:textId="77777777" w:rsidR="0093608E" w:rsidRPr="00205340" w:rsidRDefault="0093608E" w:rsidP="0093608E">
      <w:pPr>
        <w:pStyle w:val="TableFigureFooter"/>
        <w:snapToGrid w:val="0"/>
        <w:spacing w:before="0"/>
        <w:contextualSpacing/>
      </w:pPr>
      <w:r w:rsidRPr="00205340">
        <w:t>Source: Constructed during the evaluation.</w:t>
      </w:r>
    </w:p>
    <w:p w14:paraId="0EF70B99" w14:textId="13CF7626" w:rsidR="0093608E" w:rsidRPr="00205340" w:rsidRDefault="00480B7D" w:rsidP="0093608E">
      <w:pPr>
        <w:pStyle w:val="TableFigureFooter"/>
        <w:snapToGrid w:val="0"/>
        <w:contextualSpacing/>
        <w:rPr>
          <w:color w:val="258221"/>
        </w:rPr>
      </w:pPr>
      <w:r w:rsidRPr="00205340">
        <w:t xml:space="preserve">ABR = annual bleeding rate; </w:t>
      </w:r>
      <w:r w:rsidR="0093608E" w:rsidRPr="00205340">
        <w:t>ICER = incremental cost-effectiveness ratio; QALY = quality-adjusted life year.</w:t>
      </w:r>
    </w:p>
    <w:p w14:paraId="3684B5DD" w14:textId="45F2260C" w:rsidR="0093608E" w:rsidRPr="00205340" w:rsidRDefault="0093608E" w:rsidP="0093608E">
      <w:r w:rsidRPr="00205340">
        <w:t>The key sensitivity analyses conducted during the evaluation are presented in</w:t>
      </w:r>
      <w:r w:rsidR="00F04910" w:rsidRPr="00205340">
        <w:t xml:space="preserve"> </w:t>
      </w:r>
      <w:r w:rsidR="00F04910" w:rsidRPr="00205340">
        <w:fldChar w:fldCharType="begin" w:fldLock="1"/>
      </w:r>
      <w:r w:rsidR="00F04910" w:rsidRPr="00205340">
        <w:instrText xml:space="preserve"> REF _Ref227157322 \h </w:instrText>
      </w:r>
      <w:r w:rsidR="00205340">
        <w:instrText xml:space="preserve"> \* MERGEFORMAT </w:instrText>
      </w:r>
      <w:r w:rsidR="00F04910" w:rsidRPr="00205340">
        <w:fldChar w:fldCharType="separate"/>
      </w:r>
      <w:r w:rsidR="00F04910" w:rsidRPr="00205340">
        <w:t xml:space="preserve">Table </w:t>
      </w:r>
      <w:r w:rsidR="00F04910" w:rsidRPr="00205340">
        <w:rPr>
          <w:noProof/>
        </w:rPr>
        <w:t>22</w:t>
      </w:r>
      <w:r w:rsidR="00F04910" w:rsidRPr="00205340">
        <w:fldChar w:fldCharType="end"/>
      </w:r>
      <w:r w:rsidRPr="00205340">
        <w:t>.</w:t>
      </w:r>
    </w:p>
    <w:p w14:paraId="00FA73DC" w14:textId="251F6479" w:rsidR="00F04910" w:rsidRPr="00205340" w:rsidRDefault="00F04910" w:rsidP="00F04910">
      <w:pPr>
        <w:pStyle w:val="Caption"/>
      </w:pPr>
      <w:bookmarkStart w:id="66" w:name="_Ref227157322"/>
      <w:r w:rsidRPr="00205340">
        <w:lastRenderedPageBreak/>
        <w:t xml:space="preserve">Table </w:t>
      </w:r>
      <w:fldSimple w:instr=" SEQ Table \* ARABIC ">
        <w:r w:rsidR="002C6A9B" w:rsidRPr="00205340">
          <w:rPr>
            <w:noProof/>
          </w:rPr>
          <w:t>22</w:t>
        </w:r>
      </w:fldSimple>
      <w:bookmarkEnd w:id="66"/>
      <w:r w:rsidRPr="00205340">
        <w:t xml:space="preserve"> Key sensitivity analyses performed on the CUA</w:t>
      </w:r>
    </w:p>
    <w:tbl>
      <w:tblPr>
        <w:tblStyle w:val="TableGrid"/>
        <w:tblW w:w="9067" w:type="dxa"/>
        <w:tblLook w:val="04A0" w:firstRow="1" w:lastRow="0" w:firstColumn="1" w:lastColumn="0" w:noHBand="0" w:noVBand="1"/>
      </w:tblPr>
      <w:tblGrid>
        <w:gridCol w:w="4577"/>
        <w:gridCol w:w="1218"/>
        <w:gridCol w:w="1073"/>
        <w:gridCol w:w="1218"/>
        <w:gridCol w:w="981"/>
      </w:tblGrid>
      <w:tr w:rsidR="004D521D" w:rsidRPr="00205340" w14:paraId="018A6022" w14:textId="77777777">
        <w:trPr>
          <w:trHeight w:val="659"/>
        </w:trPr>
        <w:tc>
          <w:tcPr>
            <w:tcW w:w="4577" w:type="dxa"/>
            <w:vAlign w:val="center"/>
          </w:tcPr>
          <w:p w14:paraId="1E5CA9D6" w14:textId="77777777" w:rsidR="0093608E" w:rsidRPr="00205340" w:rsidRDefault="0093608E">
            <w:pPr>
              <w:pStyle w:val="TableText"/>
              <w:keepNext/>
              <w:jc w:val="center"/>
              <w:rPr>
                <w:b/>
                <w:bCs/>
              </w:rPr>
            </w:pPr>
            <w:r w:rsidRPr="00205340">
              <w:rPr>
                <w:b/>
                <w:bCs/>
              </w:rPr>
              <w:t>Analyses</w:t>
            </w:r>
          </w:p>
        </w:tc>
        <w:tc>
          <w:tcPr>
            <w:tcW w:w="1218" w:type="dxa"/>
            <w:vAlign w:val="center"/>
          </w:tcPr>
          <w:p w14:paraId="63EC3EE5" w14:textId="77777777" w:rsidR="0093608E" w:rsidRPr="00205340" w:rsidRDefault="0093608E">
            <w:pPr>
              <w:pStyle w:val="TableText"/>
              <w:keepNext/>
              <w:jc w:val="center"/>
              <w:rPr>
                <w:b/>
                <w:bCs/>
              </w:rPr>
            </w:pPr>
            <w:r w:rsidRPr="00205340">
              <w:rPr>
                <w:b/>
                <w:bCs/>
              </w:rPr>
              <w:t>Inc. Cost</w:t>
            </w:r>
          </w:p>
        </w:tc>
        <w:tc>
          <w:tcPr>
            <w:tcW w:w="1073" w:type="dxa"/>
            <w:vAlign w:val="center"/>
          </w:tcPr>
          <w:p w14:paraId="7935D452" w14:textId="77777777" w:rsidR="0093608E" w:rsidRPr="00205340" w:rsidRDefault="0093608E">
            <w:pPr>
              <w:pStyle w:val="TableText"/>
              <w:keepNext/>
              <w:jc w:val="center"/>
              <w:rPr>
                <w:b/>
                <w:bCs/>
              </w:rPr>
            </w:pPr>
            <w:r w:rsidRPr="00205340">
              <w:rPr>
                <w:b/>
                <w:bCs/>
              </w:rPr>
              <w:t>Inc. QALYs</w:t>
            </w:r>
          </w:p>
        </w:tc>
        <w:tc>
          <w:tcPr>
            <w:tcW w:w="1218" w:type="dxa"/>
            <w:vAlign w:val="center"/>
          </w:tcPr>
          <w:p w14:paraId="211F34AB" w14:textId="77777777" w:rsidR="0093608E" w:rsidRPr="00B85EDE" w:rsidRDefault="0093608E">
            <w:pPr>
              <w:pStyle w:val="TableText"/>
              <w:keepNext/>
              <w:jc w:val="center"/>
              <w:rPr>
                <w:b/>
                <w:bCs/>
              </w:rPr>
            </w:pPr>
            <w:r w:rsidRPr="00B85EDE">
              <w:rPr>
                <w:b/>
                <w:bCs/>
              </w:rPr>
              <w:t>ICER</w:t>
            </w:r>
          </w:p>
        </w:tc>
        <w:tc>
          <w:tcPr>
            <w:tcW w:w="981" w:type="dxa"/>
            <w:vAlign w:val="center"/>
          </w:tcPr>
          <w:p w14:paraId="453446BB" w14:textId="77777777" w:rsidR="0093608E" w:rsidRPr="00205340" w:rsidRDefault="0093608E">
            <w:pPr>
              <w:pStyle w:val="TableText"/>
              <w:keepNext/>
              <w:jc w:val="center"/>
              <w:rPr>
                <w:b/>
                <w:bCs/>
              </w:rPr>
            </w:pPr>
            <w:r w:rsidRPr="00205340">
              <w:rPr>
                <w:b/>
                <w:bCs/>
              </w:rPr>
              <w:t>% Change</w:t>
            </w:r>
          </w:p>
        </w:tc>
      </w:tr>
      <w:tr w:rsidR="004D521D" w:rsidRPr="00205340" w14:paraId="6682ED7B" w14:textId="77777777">
        <w:trPr>
          <w:trHeight w:val="324"/>
        </w:trPr>
        <w:tc>
          <w:tcPr>
            <w:tcW w:w="4577" w:type="dxa"/>
          </w:tcPr>
          <w:p w14:paraId="3496B6EB" w14:textId="77777777" w:rsidR="0093608E" w:rsidRPr="00205340" w:rsidRDefault="0093608E">
            <w:pPr>
              <w:pStyle w:val="TableText"/>
              <w:keepNext/>
              <w:rPr>
                <w:b/>
                <w:bCs/>
              </w:rPr>
            </w:pPr>
            <w:r w:rsidRPr="00205340">
              <w:rPr>
                <w:b/>
                <w:bCs/>
              </w:rPr>
              <w:t>Base case</w:t>
            </w:r>
          </w:p>
        </w:tc>
        <w:tc>
          <w:tcPr>
            <w:tcW w:w="1218" w:type="dxa"/>
            <w:vAlign w:val="center"/>
          </w:tcPr>
          <w:p w14:paraId="14F4228D" w14:textId="3B57AD2E" w:rsidR="0093608E" w:rsidRPr="00B85EDE" w:rsidRDefault="0093608E">
            <w:pPr>
              <w:pStyle w:val="TableText"/>
              <w:keepNext/>
              <w:jc w:val="center"/>
            </w:pPr>
            <w:r w:rsidRPr="00B85EDE">
              <w:t>$</w:t>
            </w:r>
            <w:r w:rsidR="00F66DA0" w:rsidRPr="00B85EDE">
              <w:rPr>
                <w:b/>
                <w:bCs/>
              </w:rPr>
              <w:t>redacted</w:t>
            </w:r>
          </w:p>
        </w:tc>
        <w:tc>
          <w:tcPr>
            <w:tcW w:w="1073" w:type="dxa"/>
            <w:vAlign w:val="center"/>
          </w:tcPr>
          <w:p w14:paraId="74DE3DA5" w14:textId="77777777" w:rsidR="0093608E" w:rsidRPr="00B85EDE" w:rsidRDefault="0093608E">
            <w:pPr>
              <w:pStyle w:val="TableText"/>
              <w:keepNext/>
              <w:jc w:val="center"/>
            </w:pPr>
            <w:r w:rsidRPr="00B85EDE">
              <w:t>0.628</w:t>
            </w:r>
          </w:p>
        </w:tc>
        <w:tc>
          <w:tcPr>
            <w:tcW w:w="1218" w:type="dxa"/>
            <w:vAlign w:val="center"/>
          </w:tcPr>
          <w:p w14:paraId="0CEFD0E7" w14:textId="1DA5C1FE" w:rsidR="0093608E" w:rsidRPr="00B85EDE" w:rsidRDefault="0093608E">
            <w:pPr>
              <w:pStyle w:val="TableText"/>
              <w:keepNext/>
              <w:jc w:val="center"/>
            </w:pPr>
            <w:r w:rsidRPr="00B85EDE">
              <w:t>$</w:t>
            </w:r>
            <w:r w:rsidR="00F66DA0" w:rsidRPr="00B85EDE">
              <w:rPr>
                <w:b/>
                <w:bCs/>
              </w:rPr>
              <w:t>redacted</w:t>
            </w:r>
          </w:p>
        </w:tc>
        <w:tc>
          <w:tcPr>
            <w:tcW w:w="981" w:type="dxa"/>
            <w:vAlign w:val="center"/>
          </w:tcPr>
          <w:p w14:paraId="672DE3A4" w14:textId="77777777" w:rsidR="0093608E" w:rsidRPr="00205340" w:rsidRDefault="0093608E">
            <w:pPr>
              <w:pStyle w:val="TableText"/>
              <w:keepNext/>
              <w:jc w:val="center"/>
            </w:pPr>
            <w:r w:rsidRPr="00205340">
              <w:t>0%</w:t>
            </w:r>
          </w:p>
        </w:tc>
      </w:tr>
      <w:tr w:rsidR="0093608E" w:rsidRPr="00205340" w14:paraId="1759F0A9" w14:textId="77777777">
        <w:trPr>
          <w:trHeight w:val="324"/>
        </w:trPr>
        <w:tc>
          <w:tcPr>
            <w:tcW w:w="9067" w:type="dxa"/>
            <w:gridSpan w:val="5"/>
            <w:vAlign w:val="center"/>
          </w:tcPr>
          <w:p w14:paraId="47DD7EE5" w14:textId="77777777" w:rsidR="0093608E" w:rsidRPr="00B85EDE" w:rsidRDefault="0093608E">
            <w:pPr>
              <w:pStyle w:val="TableText"/>
              <w:keepNext/>
            </w:pPr>
            <w:r w:rsidRPr="00B85EDE">
              <w:t>Discounting (base case: 5% to costs and outcomes)</w:t>
            </w:r>
          </w:p>
        </w:tc>
      </w:tr>
      <w:tr w:rsidR="004D521D" w:rsidRPr="00205340" w14:paraId="39325141" w14:textId="77777777">
        <w:trPr>
          <w:trHeight w:val="324"/>
        </w:trPr>
        <w:tc>
          <w:tcPr>
            <w:tcW w:w="4577" w:type="dxa"/>
          </w:tcPr>
          <w:p w14:paraId="70723239" w14:textId="77777777" w:rsidR="0093608E" w:rsidRPr="00205340" w:rsidRDefault="0093608E" w:rsidP="005C116D">
            <w:pPr>
              <w:pStyle w:val="TableText"/>
              <w:keepNext/>
              <w:numPr>
                <w:ilvl w:val="0"/>
                <w:numId w:val="19"/>
              </w:numPr>
            </w:pPr>
            <w:r w:rsidRPr="00205340">
              <w:t>0%</w:t>
            </w:r>
          </w:p>
        </w:tc>
        <w:tc>
          <w:tcPr>
            <w:tcW w:w="1218" w:type="dxa"/>
          </w:tcPr>
          <w:p w14:paraId="67FDA2B3" w14:textId="44C63208" w:rsidR="0093608E" w:rsidRPr="00B85EDE" w:rsidRDefault="0093608E">
            <w:pPr>
              <w:pStyle w:val="TableText"/>
              <w:keepNext/>
              <w:jc w:val="center"/>
            </w:pPr>
            <w:r w:rsidRPr="00B85EDE">
              <w:t>$</w:t>
            </w:r>
            <w:r w:rsidR="00F66DA0" w:rsidRPr="00B85EDE">
              <w:rPr>
                <w:b/>
                <w:bCs/>
              </w:rPr>
              <w:t>redacted</w:t>
            </w:r>
          </w:p>
        </w:tc>
        <w:tc>
          <w:tcPr>
            <w:tcW w:w="1073" w:type="dxa"/>
          </w:tcPr>
          <w:p w14:paraId="08579FBF" w14:textId="77777777" w:rsidR="0093608E" w:rsidRPr="00B85EDE" w:rsidRDefault="0093608E">
            <w:pPr>
              <w:pStyle w:val="TableText"/>
              <w:keepNext/>
              <w:jc w:val="center"/>
            </w:pPr>
            <w:r w:rsidRPr="00B85EDE">
              <w:t>1.525</w:t>
            </w:r>
          </w:p>
        </w:tc>
        <w:tc>
          <w:tcPr>
            <w:tcW w:w="1218" w:type="dxa"/>
          </w:tcPr>
          <w:p w14:paraId="24981963" w14:textId="39B6CF37" w:rsidR="0093608E" w:rsidRPr="00B85EDE" w:rsidRDefault="0093608E">
            <w:pPr>
              <w:pStyle w:val="TableText"/>
              <w:keepNext/>
              <w:jc w:val="center"/>
            </w:pPr>
            <w:r w:rsidRPr="00B85EDE">
              <w:t>$</w:t>
            </w:r>
            <w:r w:rsidR="00F66DA0" w:rsidRPr="00B85EDE">
              <w:rPr>
                <w:b/>
                <w:bCs/>
              </w:rPr>
              <w:t>redacted</w:t>
            </w:r>
          </w:p>
        </w:tc>
        <w:tc>
          <w:tcPr>
            <w:tcW w:w="981" w:type="dxa"/>
          </w:tcPr>
          <w:p w14:paraId="7A12AAE0" w14:textId="77777777" w:rsidR="0093608E" w:rsidRPr="00205340" w:rsidRDefault="0093608E">
            <w:pPr>
              <w:pStyle w:val="TableText"/>
              <w:keepNext/>
              <w:jc w:val="center"/>
            </w:pPr>
            <w:r w:rsidRPr="00205340">
              <w:t>-3%</w:t>
            </w:r>
          </w:p>
        </w:tc>
      </w:tr>
      <w:tr w:rsidR="004D521D" w:rsidRPr="00205340" w14:paraId="1A062CEA" w14:textId="77777777">
        <w:trPr>
          <w:trHeight w:val="324"/>
        </w:trPr>
        <w:tc>
          <w:tcPr>
            <w:tcW w:w="4577" w:type="dxa"/>
          </w:tcPr>
          <w:p w14:paraId="5A640A72" w14:textId="77777777" w:rsidR="0093608E" w:rsidRPr="00205340" w:rsidRDefault="0093608E" w:rsidP="005C116D">
            <w:pPr>
              <w:pStyle w:val="TableText"/>
              <w:keepNext/>
              <w:numPr>
                <w:ilvl w:val="0"/>
                <w:numId w:val="19"/>
              </w:numPr>
            </w:pPr>
            <w:r w:rsidRPr="00205340">
              <w:t>3.5%</w:t>
            </w:r>
          </w:p>
        </w:tc>
        <w:tc>
          <w:tcPr>
            <w:tcW w:w="1218" w:type="dxa"/>
          </w:tcPr>
          <w:p w14:paraId="4AF19D77" w14:textId="69D83317" w:rsidR="0093608E" w:rsidRPr="00B85EDE" w:rsidRDefault="0093608E">
            <w:pPr>
              <w:pStyle w:val="TableText"/>
              <w:keepNext/>
              <w:jc w:val="center"/>
            </w:pPr>
            <w:r w:rsidRPr="00B85EDE">
              <w:t>$</w:t>
            </w:r>
            <w:r w:rsidR="00F66DA0" w:rsidRPr="00B85EDE">
              <w:rPr>
                <w:b/>
                <w:bCs/>
              </w:rPr>
              <w:t>redacted</w:t>
            </w:r>
          </w:p>
        </w:tc>
        <w:tc>
          <w:tcPr>
            <w:tcW w:w="1073" w:type="dxa"/>
          </w:tcPr>
          <w:p w14:paraId="3232C735" w14:textId="77777777" w:rsidR="0093608E" w:rsidRPr="00B85EDE" w:rsidRDefault="0093608E">
            <w:pPr>
              <w:pStyle w:val="TableText"/>
              <w:keepNext/>
              <w:jc w:val="center"/>
            </w:pPr>
            <w:r w:rsidRPr="00B85EDE">
              <w:t>0.786</w:t>
            </w:r>
          </w:p>
        </w:tc>
        <w:tc>
          <w:tcPr>
            <w:tcW w:w="1218" w:type="dxa"/>
          </w:tcPr>
          <w:p w14:paraId="61110216" w14:textId="2B8A0BC4" w:rsidR="0093608E" w:rsidRPr="00B85EDE" w:rsidRDefault="0093608E">
            <w:pPr>
              <w:pStyle w:val="TableText"/>
              <w:keepNext/>
              <w:jc w:val="center"/>
            </w:pPr>
            <w:r w:rsidRPr="00B85EDE">
              <w:t>$</w:t>
            </w:r>
            <w:r w:rsidR="00C5456C" w:rsidRPr="00B85EDE">
              <w:rPr>
                <w:b/>
                <w:bCs/>
              </w:rPr>
              <w:t>redacted</w:t>
            </w:r>
          </w:p>
        </w:tc>
        <w:tc>
          <w:tcPr>
            <w:tcW w:w="981" w:type="dxa"/>
          </w:tcPr>
          <w:p w14:paraId="6489EAEB" w14:textId="77777777" w:rsidR="0093608E" w:rsidRPr="00205340" w:rsidRDefault="0093608E">
            <w:pPr>
              <w:pStyle w:val="TableText"/>
              <w:keepNext/>
              <w:jc w:val="center"/>
            </w:pPr>
            <w:r w:rsidRPr="00205340">
              <w:t>-1%</w:t>
            </w:r>
          </w:p>
        </w:tc>
      </w:tr>
      <w:tr w:rsidR="0093608E" w:rsidRPr="00205340" w14:paraId="646A60C5" w14:textId="77777777">
        <w:trPr>
          <w:trHeight w:val="324"/>
        </w:trPr>
        <w:tc>
          <w:tcPr>
            <w:tcW w:w="9067" w:type="dxa"/>
            <w:gridSpan w:val="5"/>
            <w:vAlign w:val="center"/>
          </w:tcPr>
          <w:p w14:paraId="79F5C3ED" w14:textId="77777777" w:rsidR="0093608E" w:rsidRPr="00B85EDE" w:rsidRDefault="0093608E">
            <w:pPr>
              <w:pStyle w:val="TableText"/>
              <w:keepNext/>
              <w:rPr>
                <w:rFonts w:ascii="Calibri" w:hAnsi="Calibri" w:cs="Calibri"/>
              </w:rPr>
            </w:pPr>
            <w:r w:rsidRPr="00B85EDE">
              <w:t>Time horizon (base case: 66 years)</w:t>
            </w:r>
          </w:p>
        </w:tc>
      </w:tr>
      <w:tr w:rsidR="004D521D" w:rsidRPr="00205340" w14:paraId="48504E0A" w14:textId="77777777">
        <w:trPr>
          <w:trHeight w:val="335"/>
        </w:trPr>
        <w:tc>
          <w:tcPr>
            <w:tcW w:w="4577" w:type="dxa"/>
            <w:vAlign w:val="center"/>
          </w:tcPr>
          <w:p w14:paraId="600F4134" w14:textId="77777777" w:rsidR="0093608E" w:rsidRPr="00205340" w:rsidRDefault="0093608E" w:rsidP="005C116D">
            <w:pPr>
              <w:pStyle w:val="TableText"/>
              <w:keepNext/>
              <w:numPr>
                <w:ilvl w:val="0"/>
                <w:numId w:val="16"/>
              </w:numPr>
            </w:pPr>
            <w:r w:rsidRPr="00205340">
              <w:t>10 years</w:t>
            </w:r>
          </w:p>
        </w:tc>
        <w:tc>
          <w:tcPr>
            <w:tcW w:w="1218" w:type="dxa"/>
            <w:vAlign w:val="center"/>
          </w:tcPr>
          <w:p w14:paraId="44454759" w14:textId="1FF6CB5C" w:rsidR="0093608E" w:rsidRPr="00B85EDE" w:rsidRDefault="0093608E">
            <w:pPr>
              <w:pStyle w:val="TableText"/>
              <w:keepNext/>
              <w:jc w:val="center"/>
            </w:pPr>
            <w:r w:rsidRPr="00B85EDE">
              <w:t>$</w:t>
            </w:r>
            <w:r w:rsidR="00C5456C" w:rsidRPr="00B85EDE">
              <w:rPr>
                <w:b/>
                <w:bCs/>
              </w:rPr>
              <w:t>redacted</w:t>
            </w:r>
          </w:p>
        </w:tc>
        <w:tc>
          <w:tcPr>
            <w:tcW w:w="1073" w:type="dxa"/>
            <w:vAlign w:val="center"/>
          </w:tcPr>
          <w:p w14:paraId="30CF0AE8" w14:textId="77777777" w:rsidR="0093608E" w:rsidRPr="00B85EDE" w:rsidRDefault="0093608E">
            <w:pPr>
              <w:pStyle w:val="TableText"/>
              <w:keepNext/>
              <w:jc w:val="center"/>
            </w:pPr>
            <w:r w:rsidRPr="00B85EDE">
              <w:t>0.260</w:t>
            </w:r>
          </w:p>
        </w:tc>
        <w:tc>
          <w:tcPr>
            <w:tcW w:w="1218" w:type="dxa"/>
            <w:vAlign w:val="center"/>
          </w:tcPr>
          <w:p w14:paraId="11E23D80" w14:textId="0BCC1D25" w:rsidR="0093608E" w:rsidRPr="00B85EDE" w:rsidRDefault="0093608E">
            <w:pPr>
              <w:pStyle w:val="TableText"/>
              <w:keepNext/>
              <w:jc w:val="center"/>
            </w:pPr>
            <w:r w:rsidRPr="00B85EDE">
              <w:t>$</w:t>
            </w:r>
            <w:r w:rsidR="00C5456C" w:rsidRPr="00B85EDE">
              <w:rPr>
                <w:b/>
                <w:bCs/>
              </w:rPr>
              <w:t>redacted</w:t>
            </w:r>
          </w:p>
        </w:tc>
        <w:tc>
          <w:tcPr>
            <w:tcW w:w="981" w:type="dxa"/>
            <w:vAlign w:val="center"/>
          </w:tcPr>
          <w:p w14:paraId="2F5E1B76" w14:textId="77777777" w:rsidR="0093608E" w:rsidRPr="00205340" w:rsidRDefault="0093608E">
            <w:pPr>
              <w:pStyle w:val="TableText"/>
              <w:keepNext/>
              <w:jc w:val="center"/>
            </w:pPr>
            <w:r w:rsidRPr="00205340">
              <w:t>13%</w:t>
            </w:r>
          </w:p>
        </w:tc>
      </w:tr>
      <w:tr w:rsidR="0093608E" w:rsidRPr="00205340" w14:paraId="5539AF17" w14:textId="77777777">
        <w:trPr>
          <w:trHeight w:val="345"/>
        </w:trPr>
        <w:tc>
          <w:tcPr>
            <w:tcW w:w="9067" w:type="dxa"/>
            <w:gridSpan w:val="5"/>
            <w:vAlign w:val="center"/>
          </w:tcPr>
          <w:p w14:paraId="4BCEBD1C" w14:textId="77777777" w:rsidR="0093608E" w:rsidRPr="00B85EDE" w:rsidRDefault="0093608E">
            <w:pPr>
              <w:pStyle w:val="TableText"/>
              <w:keepNext/>
              <w:rPr>
                <w:rFonts w:cs="Calibri"/>
                <w:szCs w:val="20"/>
              </w:rPr>
            </w:pPr>
            <w:r w:rsidRPr="00B85EDE">
              <w:t>Splitting patients into different bleeding rate groups (base case: included)</w:t>
            </w:r>
          </w:p>
        </w:tc>
      </w:tr>
      <w:tr w:rsidR="004D521D" w:rsidRPr="00205340" w14:paraId="42F6433A" w14:textId="77777777">
        <w:trPr>
          <w:trHeight w:val="345"/>
        </w:trPr>
        <w:tc>
          <w:tcPr>
            <w:tcW w:w="4577" w:type="dxa"/>
          </w:tcPr>
          <w:p w14:paraId="20FEEFFB" w14:textId="77777777" w:rsidR="0093608E" w:rsidRPr="00205340" w:rsidRDefault="0093608E" w:rsidP="005C116D">
            <w:pPr>
              <w:pStyle w:val="TableText"/>
              <w:keepNext/>
              <w:numPr>
                <w:ilvl w:val="0"/>
                <w:numId w:val="16"/>
              </w:numPr>
            </w:pPr>
            <w:r w:rsidRPr="00205340">
              <w:t xml:space="preserve">All patients are assigned to the &lt;5 </w:t>
            </w:r>
            <w:proofErr w:type="gramStart"/>
            <w:r w:rsidRPr="00205340">
              <w:t>six month</w:t>
            </w:r>
            <w:proofErr w:type="gramEnd"/>
            <w:r w:rsidRPr="00205340">
              <w:t xml:space="preserve"> bleeding rate group </w:t>
            </w:r>
            <w:r w:rsidRPr="00205340">
              <w:rPr>
                <w:b/>
                <w:bCs/>
                <w:i/>
                <w:iCs/>
              </w:rPr>
              <w:t>#1</w:t>
            </w:r>
          </w:p>
        </w:tc>
        <w:tc>
          <w:tcPr>
            <w:tcW w:w="1218" w:type="dxa"/>
            <w:vAlign w:val="center"/>
          </w:tcPr>
          <w:p w14:paraId="6F4935DD" w14:textId="1648A5C0" w:rsidR="0093608E" w:rsidRPr="00B85EDE" w:rsidRDefault="0093608E">
            <w:pPr>
              <w:pStyle w:val="TableText"/>
              <w:keepNext/>
              <w:jc w:val="center"/>
            </w:pPr>
            <w:r w:rsidRPr="00B85EDE">
              <w:t>$</w:t>
            </w:r>
            <w:r w:rsidR="00C5456C" w:rsidRPr="00B85EDE">
              <w:rPr>
                <w:b/>
                <w:bCs/>
              </w:rPr>
              <w:t>redacted</w:t>
            </w:r>
          </w:p>
        </w:tc>
        <w:tc>
          <w:tcPr>
            <w:tcW w:w="1073" w:type="dxa"/>
            <w:vAlign w:val="center"/>
          </w:tcPr>
          <w:p w14:paraId="66A45CA3" w14:textId="77777777" w:rsidR="0093608E" w:rsidRPr="00B85EDE" w:rsidRDefault="0093608E">
            <w:pPr>
              <w:pStyle w:val="TableText"/>
              <w:keepNext/>
              <w:jc w:val="center"/>
            </w:pPr>
            <w:r w:rsidRPr="00B85EDE">
              <w:t>0.039</w:t>
            </w:r>
          </w:p>
        </w:tc>
        <w:tc>
          <w:tcPr>
            <w:tcW w:w="1218" w:type="dxa"/>
            <w:vAlign w:val="center"/>
          </w:tcPr>
          <w:p w14:paraId="4A82D512" w14:textId="5CA3546D" w:rsidR="0093608E" w:rsidRPr="00B85EDE" w:rsidRDefault="0093608E">
            <w:pPr>
              <w:pStyle w:val="TableText"/>
              <w:keepNext/>
              <w:jc w:val="center"/>
            </w:pPr>
            <w:r w:rsidRPr="00B85EDE">
              <w:t>$</w:t>
            </w:r>
            <w:r w:rsidR="00C5456C" w:rsidRPr="00B85EDE">
              <w:rPr>
                <w:b/>
                <w:bCs/>
              </w:rPr>
              <w:t>redacted</w:t>
            </w:r>
          </w:p>
        </w:tc>
        <w:tc>
          <w:tcPr>
            <w:tcW w:w="981" w:type="dxa"/>
            <w:vAlign w:val="center"/>
          </w:tcPr>
          <w:p w14:paraId="1834F70C" w14:textId="77777777" w:rsidR="0093608E" w:rsidRPr="00205340" w:rsidRDefault="0093608E">
            <w:pPr>
              <w:pStyle w:val="TableText"/>
              <w:keepNext/>
              <w:jc w:val="center"/>
            </w:pPr>
            <w:r w:rsidRPr="00205340">
              <w:t>1500%</w:t>
            </w:r>
          </w:p>
        </w:tc>
      </w:tr>
      <w:tr w:rsidR="0093608E" w:rsidRPr="00205340" w14:paraId="051110A8" w14:textId="77777777">
        <w:trPr>
          <w:trHeight w:val="345"/>
        </w:trPr>
        <w:tc>
          <w:tcPr>
            <w:tcW w:w="9067" w:type="dxa"/>
            <w:gridSpan w:val="5"/>
          </w:tcPr>
          <w:p w14:paraId="7C7DE6ED" w14:textId="77777777" w:rsidR="0093608E" w:rsidRPr="00B85EDE" w:rsidRDefault="0093608E">
            <w:pPr>
              <w:pStyle w:val="TableText"/>
              <w:keepNext/>
              <w:tabs>
                <w:tab w:val="left" w:pos="2160"/>
              </w:tabs>
            </w:pPr>
            <w:r w:rsidRPr="00B85EDE">
              <w:t>Difference in % of patients with target joint bleeds in the &lt;5 6MBR health state across treatments (base case: difference assumed)</w:t>
            </w:r>
          </w:p>
        </w:tc>
      </w:tr>
      <w:tr w:rsidR="004D521D" w:rsidRPr="00205340" w14:paraId="1BFB2147" w14:textId="77777777">
        <w:trPr>
          <w:trHeight w:val="345"/>
        </w:trPr>
        <w:tc>
          <w:tcPr>
            <w:tcW w:w="4577" w:type="dxa"/>
          </w:tcPr>
          <w:p w14:paraId="7AB8A890" w14:textId="77777777" w:rsidR="0093608E" w:rsidRPr="00205340" w:rsidRDefault="0093608E" w:rsidP="005C116D">
            <w:pPr>
              <w:pStyle w:val="TableText"/>
              <w:keepNext/>
              <w:numPr>
                <w:ilvl w:val="0"/>
                <w:numId w:val="16"/>
              </w:numPr>
            </w:pPr>
            <w:r w:rsidRPr="00205340">
              <w:t xml:space="preserve">No difference across treatment arms </w:t>
            </w:r>
            <w:r w:rsidRPr="00205340">
              <w:rPr>
                <w:b/>
                <w:bCs/>
                <w:i/>
                <w:iCs/>
              </w:rPr>
              <w:t>#2</w:t>
            </w:r>
          </w:p>
        </w:tc>
        <w:tc>
          <w:tcPr>
            <w:tcW w:w="1218" w:type="dxa"/>
          </w:tcPr>
          <w:p w14:paraId="19278A9C" w14:textId="6CD57451" w:rsidR="0093608E" w:rsidRPr="00B85EDE" w:rsidRDefault="0093608E">
            <w:pPr>
              <w:pStyle w:val="TableText"/>
              <w:keepNext/>
              <w:jc w:val="center"/>
            </w:pPr>
            <w:r w:rsidRPr="00B85EDE">
              <w:t>$</w:t>
            </w:r>
            <w:r w:rsidR="0079318A" w:rsidRPr="00B85EDE">
              <w:rPr>
                <w:b/>
                <w:bCs/>
              </w:rPr>
              <w:t>redacted</w:t>
            </w:r>
          </w:p>
        </w:tc>
        <w:tc>
          <w:tcPr>
            <w:tcW w:w="1073" w:type="dxa"/>
          </w:tcPr>
          <w:p w14:paraId="1CFD4489" w14:textId="77777777" w:rsidR="0093608E" w:rsidRPr="00B85EDE" w:rsidRDefault="0093608E">
            <w:pPr>
              <w:pStyle w:val="TableText"/>
              <w:keepNext/>
              <w:jc w:val="center"/>
            </w:pPr>
            <w:r w:rsidRPr="00B85EDE">
              <w:t>0.597</w:t>
            </w:r>
          </w:p>
        </w:tc>
        <w:tc>
          <w:tcPr>
            <w:tcW w:w="1218" w:type="dxa"/>
          </w:tcPr>
          <w:p w14:paraId="3B3B08A6" w14:textId="60E855AE" w:rsidR="0093608E" w:rsidRPr="00B85EDE" w:rsidRDefault="0093608E">
            <w:pPr>
              <w:pStyle w:val="TableText"/>
              <w:keepNext/>
              <w:jc w:val="center"/>
            </w:pPr>
            <w:r w:rsidRPr="00B85EDE">
              <w:t>$</w:t>
            </w:r>
            <w:r w:rsidR="0079318A" w:rsidRPr="00B85EDE">
              <w:rPr>
                <w:b/>
                <w:bCs/>
              </w:rPr>
              <w:t>redacted</w:t>
            </w:r>
          </w:p>
        </w:tc>
        <w:tc>
          <w:tcPr>
            <w:tcW w:w="981" w:type="dxa"/>
          </w:tcPr>
          <w:p w14:paraId="62C789B7" w14:textId="77777777" w:rsidR="0093608E" w:rsidRPr="00205340" w:rsidRDefault="0093608E">
            <w:pPr>
              <w:pStyle w:val="TableText"/>
              <w:keepNext/>
              <w:jc w:val="center"/>
            </w:pPr>
            <w:r w:rsidRPr="00205340">
              <w:t>5%</w:t>
            </w:r>
          </w:p>
        </w:tc>
      </w:tr>
      <w:tr w:rsidR="0093608E" w:rsidRPr="00205340" w14:paraId="68112C38" w14:textId="77777777">
        <w:trPr>
          <w:trHeight w:val="345"/>
        </w:trPr>
        <w:tc>
          <w:tcPr>
            <w:tcW w:w="9067" w:type="dxa"/>
            <w:gridSpan w:val="5"/>
            <w:vAlign w:val="center"/>
          </w:tcPr>
          <w:p w14:paraId="0C385492" w14:textId="7B934F9D" w:rsidR="0093608E" w:rsidRPr="00B85EDE" w:rsidRDefault="0093608E">
            <w:pPr>
              <w:pStyle w:val="TableText"/>
              <w:keepNext/>
              <w:rPr>
                <w:rFonts w:cs="Calibri"/>
                <w:szCs w:val="20"/>
              </w:rPr>
            </w:pPr>
            <w:r w:rsidRPr="00B85EDE">
              <w:t>% of patients with target joint bleeds in the ≥5 6MBR health state beyond the observed period (base case: 9.1%)</w:t>
            </w:r>
          </w:p>
        </w:tc>
      </w:tr>
      <w:tr w:rsidR="004D521D" w:rsidRPr="00205340" w14:paraId="184F2CC4" w14:textId="77777777">
        <w:trPr>
          <w:trHeight w:val="345"/>
        </w:trPr>
        <w:tc>
          <w:tcPr>
            <w:tcW w:w="4577" w:type="dxa"/>
            <w:vAlign w:val="center"/>
          </w:tcPr>
          <w:p w14:paraId="75DA4F9C" w14:textId="4E752CA0" w:rsidR="0093608E" w:rsidRPr="00205340" w:rsidRDefault="0093608E" w:rsidP="005C116D">
            <w:pPr>
              <w:pStyle w:val="TableText"/>
              <w:keepNext/>
              <w:numPr>
                <w:ilvl w:val="0"/>
                <w:numId w:val="16"/>
              </w:numPr>
            </w:pPr>
            <w:r w:rsidRPr="00205340">
              <w:t>18.2% (last observed data point</w:t>
            </w:r>
            <w:r w:rsidR="00347C62" w:rsidRPr="00205340">
              <w:t xml:space="preserve"> in BASIS</w:t>
            </w:r>
            <w:r w:rsidRPr="00205340">
              <w:t>)</w:t>
            </w:r>
          </w:p>
        </w:tc>
        <w:tc>
          <w:tcPr>
            <w:tcW w:w="1218" w:type="dxa"/>
            <w:vAlign w:val="center"/>
          </w:tcPr>
          <w:p w14:paraId="532D09C2" w14:textId="7C477B67" w:rsidR="0093608E" w:rsidRPr="00B85EDE" w:rsidRDefault="0093608E">
            <w:pPr>
              <w:pStyle w:val="TableText"/>
              <w:keepNext/>
              <w:jc w:val="center"/>
            </w:pPr>
            <w:r w:rsidRPr="00B85EDE">
              <w:t>$</w:t>
            </w:r>
            <w:r w:rsidR="0079318A" w:rsidRPr="00B85EDE">
              <w:rPr>
                <w:b/>
                <w:bCs/>
              </w:rPr>
              <w:t>redacted</w:t>
            </w:r>
          </w:p>
        </w:tc>
        <w:tc>
          <w:tcPr>
            <w:tcW w:w="1073" w:type="dxa"/>
            <w:vAlign w:val="center"/>
          </w:tcPr>
          <w:p w14:paraId="01DC3B83" w14:textId="77777777" w:rsidR="0093608E" w:rsidRPr="00B85EDE" w:rsidRDefault="0093608E">
            <w:pPr>
              <w:pStyle w:val="TableText"/>
              <w:keepNext/>
              <w:jc w:val="center"/>
            </w:pPr>
            <w:r w:rsidRPr="00B85EDE">
              <w:t>0.593</w:t>
            </w:r>
          </w:p>
        </w:tc>
        <w:tc>
          <w:tcPr>
            <w:tcW w:w="1218" w:type="dxa"/>
            <w:vAlign w:val="center"/>
          </w:tcPr>
          <w:p w14:paraId="78E3B082" w14:textId="68C99220" w:rsidR="0093608E" w:rsidRPr="00B85EDE" w:rsidRDefault="0093608E">
            <w:pPr>
              <w:pStyle w:val="TableText"/>
              <w:keepNext/>
              <w:jc w:val="center"/>
            </w:pPr>
            <w:r w:rsidRPr="00B85EDE">
              <w:t>$</w:t>
            </w:r>
            <w:r w:rsidR="0079318A" w:rsidRPr="00B85EDE">
              <w:rPr>
                <w:b/>
                <w:bCs/>
              </w:rPr>
              <w:t>redacted</w:t>
            </w:r>
          </w:p>
        </w:tc>
        <w:tc>
          <w:tcPr>
            <w:tcW w:w="981" w:type="dxa"/>
            <w:vAlign w:val="center"/>
          </w:tcPr>
          <w:p w14:paraId="51F7539A" w14:textId="77777777" w:rsidR="0093608E" w:rsidRPr="00205340" w:rsidRDefault="0093608E">
            <w:pPr>
              <w:pStyle w:val="TableText"/>
              <w:keepNext/>
              <w:jc w:val="center"/>
            </w:pPr>
            <w:r w:rsidRPr="00205340">
              <w:t>6%</w:t>
            </w:r>
          </w:p>
        </w:tc>
      </w:tr>
      <w:tr w:rsidR="004D521D" w:rsidRPr="00205340" w14:paraId="1ECC914E" w14:textId="77777777">
        <w:trPr>
          <w:trHeight w:val="345"/>
        </w:trPr>
        <w:tc>
          <w:tcPr>
            <w:tcW w:w="4577" w:type="dxa"/>
            <w:vAlign w:val="center"/>
          </w:tcPr>
          <w:p w14:paraId="30750B4F" w14:textId="17E7474D" w:rsidR="0093608E" w:rsidRPr="00205340" w:rsidRDefault="0093608E" w:rsidP="005C116D">
            <w:pPr>
              <w:pStyle w:val="TableText"/>
              <w:keepNext/>
              <w:numPr>
                <w:ilvl w:val="0"/>
                <w:numId w:val="16"/>
              </w:numPr>
            </w:pPr>
            <w:r w:rsidRPr="00205340">
              <w:t>55% (comparator arm</w:t>
            </w:r>
            <w:r w:rsidR="00347C62" w:rsidRPr="00205340">
              <w:t xml:space="preserve"> in BASIS</w:t>
            </w:r>
            <w:r w:rsidRPr="00205340">
              <w:t>)</w:t>
            </w:r>
          </w:p>
        </w:tc>
        <w:tc>
          <w:tcPr>
            <w:tcW w:w="1218" w:type="dxa"/>
            <w:vAlign w:val="center"/>
          </w:tcPr>
          <w:p w14:paraId="153FA0B5" w14:textId="6FE5478D" w:rsidR="0093608E" w:rsidRPr="00B85EDE" w:rsidRDefault="0093608E">
            <w:pPr>
              <w:pStyle w:val="TableText"/>
              <w:keepNext/>
              <w:jc w:val="center"/>
            </w:pPr>
            <w:r w:rsidRPr="00B85EDE">
              <w:t>$</w:t>
            </w:r>
            <w:r w:rsidR="0079318A" w:rsidRPr="00B85EDE">
              <w:rPr>
                <w:b/>
                <w:bCs/>
              </w:rPr>
              <w:t>redacted</w:t>
            </w:r>
          </w:p>
        </w:tc>
        <w:tc>
          <w:tcPr>
            <w:tcW w:w="1073" w:type="dxa"/>
            <w:vAlign w:val="center"/>
          </w:tcPr>
          <w:p w14:paraId="4504EC69" w14:textId="77777777" w:rsidR="0093608E" w:rsidRPr="00B85EDE" w:rsidRDefault="0093608E">
            <w:pPr>
              <w:pStyle w:val="TableText"/>
              <w:keepNext/>
              <w:jc w:val="center"/>
            </w:pPr>
            <w:r w:rsidRPr="00B85EDE">
              <w:t>0.516</w:t>
            </w:r>
          </w:p>
        </w:tc>
        <w:tc>
          <w:tcPr>
            <w:tcW w:w="1218" w:type="dxa"/>
            <w:vAlign w:val="center"/>
          </w:tcPr>
          <w:p w14:paraId="68EE5BDF" w14:textId="28236202" w:rsidR="0093608E" w:rsidRPr="00B85EDE" w:rsidRDefault="0093608E">
            <w:pPr>
              <w:pStyle w:val="TableText"/>
              <w:keepNext/>
              <w:jc w:val="center"/>
            </w:pPr>
            <w:r w:rsidRPr="00B85EDE">
              <w:t>$</w:t>
            </w:r>
            <w:r w:rsidR="0079318A" w:rsidRPr="00B85EDE">
              <w:rPr>
                <w:b/>
                <w:bCs/>
              </w:rPr>
              <w:t>redacted</w:t>
            </w:r>
          </w:p>
        </w:tc>
        <w:tc>
          <w:tcPr>
            <w:tcW w:w="981" w:type="dxa"/>
            <w:vAlign w:val="center"/>
          </w:tcPr>
          <w:p w14:paraId="1B477126" w14:textId="77777777" w:rsidR="0093608E" w:rsidRPr="00205340" w:rsidRDefault="0093608E">
            <w:pPr>
              <w:pStyle w:val="TableText"/>
              <w:keepNext/>
              <w:jc w:val="center"/>
            </w:pPr>
            <w:r w:rsidRPr="00205340">
              <w:t>22%</w:t>
            </w:r>
          </w:p>
        </w:tc>
      </w:tr>
      <w:tr w:rsidR="0093608E" w:rsidRPr="00205340" w14:paraId="7650AE23" w14:textId="77777777">
        <w:trPr>
          <w:trHeight w:val="345"/>
        </w:trPr>
        <w:tc>
          <w:tcPr>
            <w:tcW w:w="9067" w:type="dxa"/>
            <w:gridSpan w:val="5"/>
            <w:vAlign w:val="center"/>
          </w:tcPr>
          <w:p w14:paraId="28EF104A" w14:textId="77777777" w:rsidR="0093608E" w:rsidRPr="00B85EDE" w:rsidRDefault="0093608E">
            <w:pPr>
              <w:pStyle w:val="TableText"/>
              <w:keepNext/>
            </w:pPr>
            <w:r w:rsidRPr="00B85EDE">
              <w:t>Chronic haemophilic arthropathy health state (base case: included)</w:t>
            </w:r>
          </w:p>
        </w:tc>
      </w:tr>
      <w:tr w:rsidR="004D521D" w:rsidRPr="00205340" w14:paraId="101D86AE" w14:textId="77777777">
        <w:trPr>
          <w:trHeight w:val="345"/>
        </w:trPr>
        <w:tc>
          <w:tcPr>
            <w:tcW w:w="4577" w:type="dxa"/>
            <w:vAlign w:val="center"/>
          </w:tcPr>
          <w:p w14:paraId="10356AF4" w14:textId="77777777" w:rsidR="0093608E" w:rsidRPr="00205340" w:rsidRDefault="0093608E" w:rsidP="005C116D">
            <w:pPr>
              <w:pStyle w:val="TableText"/>
              <w:keepNext/>
              <w:numPr>
                <w:ilvl w:val="0"/>
                <w:numId w:val="16"/>
              </w:numPr>
            </w:pPr>
            <w:r w:rsidRPr="00205340">
              <w:t>Excluded</w:t>
            </w:r>
          </w:p>
        </w:tc>
        <w:tc>
          <w:tcPr>
            <w:tcW w:w="1218" w:type="dxa"/>
            <w:vAlign w:val="center"/>
          </w:tcPr>
          <w:p w14:paraId="6C54DE64" w14:textId="62DD722A" w:rsidR="0093608E" w:rsidRPr="00B85EDE" w:rsidRDefault="0093608E">
            <w:pPr>
              <w:pStyle w:val="TableText"/>
              <w:keepNext/>
              <w:jc w:val="center"/>
            </w:pPr>
            <w:r w:rsidRPr="00B85EDE">
              <w:t>$</w:t>
            </w:r>
            <w:r w:rsidR="0079318A" w:rsidRPr="00B85EDE">
              <w:rPr>
                <w:b/>
                <w:bCs/>
              </w:rPr>
              <w:t>redacted</w:t>
            </w:r>
          </w:p>
        </w:tc>
        <w:tc>
          <w:tcPr>
            <w:tcW w:w="1073" w:type="dxa"/>
            <w:vAlign w:val="center"/>
          </w:tcPr>
          <w:p w14:paraId="0EE494AC" w14:textId="77777777" w:rsidR="0093608E" w:rsidRPr="00B85EDE" w:rsidRDefault="0093608E">
            <w:pPr>
              <w:pStyle w:val="TableText"/>
              <w:keepNext/>
              <w:jc w:val="center"/>
            </w:pPr>
            <w:r w:rsidRPr="00B85EDE">
              <w:t>0.361</w:t>
            </w:r>
          </w:p>
        </w:tc>
        <w:tc>
          <w:tcPr>
            <w:tcW w:w="1218" w:type="dxa"/>
            <w:vAlign w:val="center"/>
          </w:tcPr>
          <w:p w14:paraId="72284527" w14:textId="4C0AE1C7" w:rsidR="0093608E" w:rsidRPr="00B85EDE" w:rsidRDefault="0093608E">
            <w:pPr>
              <w:pStyle w:val="TableText"/>
              <w:keepNext/>
              <w:jc w:val="center"/>
            </w:pPr>
            <w:r w:rsidRPr="00B85EDE">
              <w:t>$</w:t>
            </w:r>
            <w:r w:rsidR="0079318A" w:rsidRPr="00B85EDE">
              <w:rPr>
                <w:b/>
                <w:bCs/>
              </w:rPr>
              <w:t>redacted</w:t>
            </w:r>
          </w:p>
        </w:tc>
        <w:tc>
          <w:tcPr>
            <w:tcW w:w="981" w:type="dxa"/>
            <w:vAlign w:val="center"/>
          </w:tcPr>
          <w:p w14:paraId="0DF1CBA1" w14:textId="77777777" w:rsidR="0093608E" w:rsidRPr="00205340" w:rsidRDefault="0093608E">
            <w:pPr>
              <w:pStyle w:val="TableText"/>
              <w:keepNext/>
              <w:jc w:val="center"/>
            </w:pPr>
            <w:r w:rsidRPr="00205340">
              <w:t>74%</w:t>
            </w:r>
          </w:p>
        </w:tc>
      </w:tr>
      <w:tr w:rsidR="0093608E" w:rsidRPr="00205340" w14:paraId="26BA75BE" w14:textId="77777777">
        <w:trPr>
          <w:trHeight w:val="345"/>
        </w:trPr>
        <w:tc>
          <w:tcPr>
            <w:tcW w:w="9067" w:type="dxa"/>
            <w:gridSpan w:val="5"/>
            <w:vAlign w:val="center"/>
          </w:tcPr>
          <w:p w14:paraId="57C4749C" w14:textId="6D34CF48" w:rsidR="0093608E" w:rsidRPr="00B85EDE" w:rsidRDefault="0093608E">
            <w:pPr>
              <w:pStyle w:val="TableText"/>
              <w:keepNext/>
            </w:pPr>
            <w:r w:rsidRPr="00B85EDE">
              <w:t>% of patients with marstacimab dose escalations (base case: 4.7%, BASIS)</w:t>
            </w:r>
          </w:p>
        </w:tc>
      </w:tr>
      <w:tr w:rsidR="004D521D" w:rsidRPr="00205340" w14:paraId="468D36B4" w14:textId="77777777">
        <w:trPr>
          <w:trHeight w:val="345"/>
        </w:trPr>
        <w:tc>
          <w:tcPr>
            <w:tcW w:w="4577" w:type="dxa"/>
            <w:vAlign w:val="center"/>
          </w:tcPr>
          <w:p w14:paraId="5A43B12B" w14:textId="77777777" w:rsidR="0093608E" w:rsidRPr="00205340" w:rsidRDefault="0093608E" w:rsidP="005C116D">
            <w:pPr>
              <w:pStyle w:val="TableText"/>
              <w:keepNext/>
              <w:numPr>
                <w:ilvl w:val="0"/>
                <w:numId w:val="16"/>
              </w:numPr>
            </w:pPr>
            <w:r w:rsidRPr="00205340">
              <w:t>14%, BASIS LTE</w:t>
            </w:r>
          </w:p>
        </w:tc>
        <w:tc>
          <w:tcPr>
            <w:tcW w:w="1218" w:type="dxa"/>
            <w:vAlign w:val="center"/>
          </w:tcPr>
          <w:p w14:paraId="71F0B2D5" w14:textId="2E67B33A" w:rsidR="0093608E" w:rsidRPr="00B85EDE" w:rsidRDefault="0093608E">
            <w:pPr>
              <w:pStyle w:val="TableText"/>
              <w:keepNext/>
              <w:jc w:val="center"/>
            </w:pPr>
            <w:r w:rsidRPr="00B85EDE">
              <w:t>$</w:t>
            </w:r>
            <w:r w:rsidR="00BE336D" w:rsidRPr="00B85EDE">
              <w:rPr>
                <w:b/>
                <w:bCs/>
              </w:rPr>
              <w:t>redacted</w:t>
            </w:r>
          </w:p>
        </w:tc>
        <w:tc>
          <w:tcPr>
            <w:tcW w:w="1073" w:type="dxa"/>
            <w:vAlign w:val="center"/>
          </w:tcPr>
          <w:p w14:paraId="3A098B04" w14:textId="77777777" w:rsidR="0093608E" w:rsidRPr="00B85EDE" w:rsidRDefault="0093608E">
            <w:pPr>
              <w:pStyle w:val="TableText"/>
              <w:keepNext/>
              <w:jc w:val="center"/>
            </w:pPr>
            <w:r w:rsidRPr="00B85EDE">
              <w:t>0.628</w:t>
            </w:r>
          </w:p>
        </w:tc>
        <w:tc>
          <w:tcPr>
            <w:tcW w:w="1218" w:type="dxa"/>
            <w:vAlign w:val="center"/>
          </w:tcPr>
          <w:p w14:paraId="1B26F930" w14:textId="783CD752" w:rsidR="0093608E" w:rsidRPr="00B85EDE" w:rsidRDefault="0093608E">
            <w:pPr>
              <w:pStyle w:val="TableText"/>
              <w:keepNext/>
              <w:jc w:val="center"/>
            </w:pPr>
            <w:r w:rsidRPr="00B85EDE">
              <w:t>$</w:t>
            </w:r>
            <w:r w:rsidR="00BE336D" w:rsidRPr="00B85EDE">
              <w:rPr>
                <w:b/>
                <w:bCs/>
              </w:rPr>
              <w:t>redacted</w:t>
            </w:r>
          </w:p>
        </w:tc>
        <w:tc>
          <w:tcPr>
            <w:tcW w:w="981" w:type="dxa"/>
            <w:vAlign w:val="center"/>
          </w:tcPr>
          <w:p w14:paraId="41326D05" w14:textId="77777777" w:rsidR="0093608E" w:rsidRPr="00205340" w:rsidRDefault="0093608E">
            <w:pPr>
              <w:pStyle w:val="TableText"/>
              <w:keepNext/>
              <w:jc w:val="center"/>
            </w:pPr>
            <w:r w:rsidRPr="00205340">
              <w:t>34%</w:t>
            </w:r>
          </w:p>
        </w:tc>
      </w:tr>
      <w:tr w:rsidR="0093608E" w:rsidRPr="00205340" w14:paraId="4F49B0E0" w14:textId="77777777">
        <w:trPr>
          <w:trHeight w:val="345"/>
        </w:trPr>
        <w:tc>
          <w:tcPr>
            <w:tcW w:w="9067" w:type="dxa"/>
            <w:gridSpan w:val="5"/>
            <w:vAlign w:val="center"/>
          </w:tcPr>
          <w:p w14:paraId="327861B8" w14:textId="77777777" w:rsidR="0093608E" w:rsidRPr="00B85EDE" w:rsidRDefault="0093608E">
            <w:pPr>
              <w:pStyle w:val="TableText"/>
              <w:keepNext/>
            </w:pPr>
            <w:r w:rsidRPr="00B85EDE">
              <w:t>Factor administration cost (base case: $643)</w:t>
            </w:r>
          </w:p>
        </w:tc>
      </w:tr>
      <w:tr w:rsidR="004D521D" w:rsidRPr="00205340" w14:paraId="283E228C" w14:textId="77777777">
        <w:trPr>
          <w:trHeight w:val="345"/>
        </w:trPr>
        <w:tc>
          <w:tcPr>
            <w:tcW w:w="4577" w:type="dxa"/>
            <w:vAlign w:val="center"/>
          </w:tcPr>
          <w:p w14:paraId="2FE13952" w14:textId="316CBE29" w:rsidR="00B73FBC" w:rsidRPr="00205340" w:rsidRDefault="003E102B" w:rsidP="005C116D">
            <w:pPr>
              <w:pStyle w:val="TableText"/>
              <w:keepNext/>
              <w:numPr>
                <w:ilvl w:val="0"/>
                <w:numId w:val="16"/>
              </w:numPr>
            </w:pPr>
            <w:r w:rsidRPr="00205340">
              <w:t>$0 (</w:t>
            </w:r>
            <w:r w:rsidR="003C5C1B" w:rsidRPr="00205340">
              <w:t>self-administration)</w:t>
            </w:r>
          </w:p>
        </w:tc>
        <w:tc>
          <w:tcPr>
            <w:tcW w:w="1218" w:type="dxa"/>
            <w:vAlign w:val="center"/>
          </w:tcPr>
          <w:p w14:paraId="6E60D8ED" w14:textId="46DE24F7" w:rsidR="00B73FBC" w:rsidRPr="00B85EDE" w:rsidRDefault="00B6476F">
            <w:pPr>
              <w:pStyle w:val="TableText"/>
              <w:keepNext/>
              <w:jc w:val="center"/>
            </w:pPr>
            <w:r w:rsidRPr="00B85EDE">
              <w:t>$</w:t>
            </w:r>
            <w:r w:rsidR="00BE336D" w:rsidRPr="00B85EDE">
              <w:rPr>
                <w:b/>
                <w:bCs/>
              </w:rPr>
              <w:t>redacted</w:t>
            </w:r>
          </w:p>
        </w:tc>
        <w:tc>
          <w:tcPr>
            <w:tcW w:w="1073" w:type="dxa"/>
            <w:vAlign w:val="center"/>
          </w:tcPr>
          <w:p w14:paraId="146EE9A5" w14:textId="1AF5A779" w:rsidR="00B73FBC" w:rsidRPr="00B85EDE" w:rsidRDefault="000719FF">
            <w:pPr>
              <w:pStyle w:val="TableText"/>
              <w:keepNext/>
              <w:jc w:val="center"/>
            </w:pPr>
            <w:r w:rsidRPr="00B85EDE">
              <w:t>0.628</w:t>
            </w:r>
          </w:p>
        </w:tc>
        <w:tc>
          <w:tcPr>
            <w:tcW w:w="1218" w:type="dxa"/>
            <w:vAlign w:val="center"/>
          </w:tcPr>
          <w:p w14:paraId="7E0627FE" w14:textId="66715542" w:rsidR="00B73FBC" w:rsidRPr="00B85EDE" w:rsidRDefault="00F260B9">
            <w:pPr>
              <w:pStyle w:val="TableText"/>
              <w:keepNext/>
              <w:jc w:val="center"/>
            </w:pPr>
            <w:r w:rsidRPr="00B85EDE">
              <w:t>$</w:t>
            </w:r>
            <w:r w:rsidR="00BE336D" w:rsidRPr="00B85EDE">
              <w:rPr>
                <w:b/>
                <w:bCs/>
              </w:rPr>
              <w:t>redacted</w:t>
            </w:r>
          </w:p>
        </w:tc>
        <w:tc>
          <w:tcPr>
            <w:tcW w:w="981" w:type="dxa"/>
            <w:vAlign w:val="center"/>
          </w:tcPr>
          <w:p w14:paraId="4D393F4C" w14:textId="482A2B5D" w:rsidR="00B73FBC" w:rsidRPr="00205340" w:rsidRDefault="00F260B9">
            <w:pPr>
              <w:pStyle w:val="TableText"/>
              <w:keepNext/>
              <w:jc w:val="center"/>
            </w:pPr>
            <w:r w:rsidRPr="00205340">
              <w:t>122%</w:t>
            </w:r>
          </w:p>
        </w:tc>
      </w:tr>
      <w:tr w:rsidR="004D521D" w:rsidRPr="00205340" w14:paraId="0795D951" w14:textId="77777777">
        <w:trPr>
          <w:trHeight w:val="345"/>
        </w:trPr>
        <w:tc>
          <w:tcPr>
            <w:tcW w:w="4577" w:type="dxa"/>
            <w:vAlign w:val="center"/>
          </w:tcPr>
          <w:p w14:paraId="591363D4" w14:textId="77777777" w:rsidR="0093608E" w:rsidRPr="00205340" w:rsidRDefault="0093608E" w:rsidP="005C116D">
            <w:pPr>
              <w:pStyle w:val="TableText"/>
              <w:keepNext/>
              <w:numPr>
                <w:ilvl w:val="0"/>
                <w:numId w:val="16"/>
              </w:numPr>
            </w:pPr>
            <w:r w:rsidRPr="00205340">
              <w:t>$352 ($291 of pharmacy costs removed)</w:t>
            </w:r>
          </w:p>
        </w:tc>
        <w:tc>
          <w:tcPr>
            <w:tcW w:w="1218" w:type="dxa"/>
            <w:vAlign w:val="center"/>
          </w:tcPr>
          <w:p w14:paraId="57E9AFC7" w14:textId="28BCCC04" w:rsidR="0093608E" w:rsidRPr="00B85EDE" w:rsidRDefault="0093608E">
            <w:pPr>
              <w:pStyle w:val="TableText"/>
              <w:keepNext/>
              <w:jc w:val="center"/>
            </w:pPr>
            <w:r w:rsidRPr="00B85EDE">
              <w:t>$</w:t>
            </w:r>
            <w:r w:rsidR="00BE336D" w:rsidRPr="00B85EDE">
              <w:rPr>
                <w:b/>
                <w:bCs/>
              </w:rPr>
              <w:t>redacted</w:t>
            </w:r>
          </w:p>
        </w:tc>
        <w:tc>
          <w:tcPr>
            <w:tcW w:w="1073" w:type="dxa"/>
            <w:vAlign w:val="center"/>
          </w:tcPr>
          <w:p w14:paraId="3B09577C" w14:textId="77777777" w:rsidR="0093608E" w:rsidRPr="00B85EDE" w:rsidRDefault="0093608E">
            <w:pPr>
              <w:pStyle w:val="TableText"/>
              <w:keepNext/>
              <w:jc w:val="center"/>
            </w:pPr>
            <w:r w:rsidRPr="00B85EDE">
              <w:t>0.628</w:t>
            </w:r>
          </w:p>
        </w:tc>
        <w:tc>
          <w:tcPr>
            <w:tcW w:w="1218" w:type="dxa"/>
            <w:vAlign w:val="center"/>
          </w:tcPr>
          <w:p w14:paraId="706E02FD" w14:textId="60D81D4A" w:rsidR="0093608E" w:rsidRPr="00B85EDE" w:rsidRDefault="0093608E">
            <w:pPr>
              <w:pStyle w:val="TableText"/>
              <w:keepNext/>
              <w:jc w:val="center"/>
            </w:pPr>
            <w:r w:rsidRPr="00B85EDE">
              <w:t>$</w:t>
            </w:r>
            <w:r w:rsidR="00BE336D" w:rsidRPr="00B85EDE">
              <w:rPr>
                <w:b/>
                <w:bCs/>
              </w:rPr>
              <w:t>redacted</w:t>
            </w:r>
          </w:p>
        </w:tc>
        <w:tc>
          <w:tcPr>
            <w:tcW w:w="981" w:type="dxa"/>
            <w:vAlign w:val="center"/>
          </w:tcPr>
          <w:p w14:paraId="4775A709" w14:textId="77777777" w:rsidR="0093608E" w:rsidRPr="00205340" w:rsidRDefault="0093608E">
            <w:pPr>
              <w:pStyle w:val="TableText"/>
              <w:keepNext/>
              <w:jc w:val="center"/>
            </w:pPr>
            <w:r w:rsidRPr="00205340">
              <w:t>55%</w:t>
            </w:r>
          </w:p>
        </w:tc>
      </w:tr>
      <w:tr w:rsidR="004D521D" w:rsidRPr="00205340" w14:paraId="1D486F19" w14:textId="77777777">
        <w:trPr>
          <w:trHeight w:val="345"/>
        </w:trPr>
        <w:tc>
          <w:tcPr>
            <w:tcW w:w="4577" w:type="dxa"/>
            <w:vAlign w:val="center"/>
          </w:tcPr>
          <w:p w14:paraId="1ABEB220" w14:textId="77777777" w:rsidR="0093608E" w:rsidRPr="00205340" w:rsidRDefault="0093608E" w:rsidP="005C116D">
            <w:pPr>
              <w:pStyle w:val="TableText"/>
              <w:keepNext/>
              <w:numPr>
                <w:ilvl w:val="0"/>
                <w:numId w:val="16"/>
              </w:numPr>
            </w:pPr>
            <w:r w:rsidRPr="00205340">
              <w:t>$453 (nurse consult)</w:t>
            </w:r>
          </w:p>
        </w:tc>
        <w:tc>
          <w:tcPr>
            <w:tcW w:w="1218" w:type="dxa"/>
            <w:vAlign w:val="center"/>
          </w:tcPr>
          <w:p w14:paraId="20C423DC" w14:textId="2209A16A" w:rsidR="0093608E" w:rsidRPr="00B85EDE" w:rsidRDefault="0093608E">
            <w:pPr>
              <w:pStyle w:val="TableText"/>
              <w:keepNext/>
              <w:jc w:val="center"/>
            </w:pPr>
            <w:r w:rsidRPr="00B85EDE">
              <w:t>$</w:t>
            </w:r>
            <w:r w:rsidR="00BE336D" w:rsidRPr="00B85EDE">
              <w:rPr>
                <w:b/>
                <w:bCs/>
              </w:rPr>
              <w:t>redacted</w:t>
            </w:r>
          </w:p>
        </w:tc>
        <w:tc>
          <w:tcPr>
            <w:tcW w:w="1073" w:type="dxa"/>
            <w:vAlign w:val="center"/>
          </w:tcPr>
          <w:p w14:paraId="1FA0652C" w14:textId="77777777" w:rsidR="0093608E" w:rsidRPr="00B85EDE" w:rsidRDefault="0093608E">
            <w:pPr>
              <w:pStyle w:val="TableText"/>
              <w:keepNext/>
              <w:jc w:val="center"/>
            </w:pPr>
            <w:r w:rsidRPr="00B85EDE">
              <w:t>0.628</w:t>
            </w:r>
          </w:p>
        </w:tc>
        <w:tc>
          <w:tcPr>
            <w:tcW w:w="1218" w:type="dxa"/>
            <w:vAlign w:val="center"/>
          </w:tcPr>
          <w:p w14:paraId="67560FF0" w14:textId="2FC622F8" w:rsidR="0093608E" w:rsidRPr="00B85EDE" w:rsidRDefault="0093608E">
            <w:pPr>
              <w:pStyle w:val="TableText"/>
              <w:keepNext/>
              <w:jc w:val="center"/>
            </w:pPr>
            <w:r w:rsidRPr="00B85EDE">
              <w:t>$</w:t>
            </w:r>
            <w:r w:rsidR="00BE336D" w:rsidRPr="00B85EDE">
              <w:rPr>
                <w:b/>
                <w:bCs/>
              </w:rPr>
              <w:t>redacted</w:t>
            </w:r>
          </w:p>
        </w:tc>
        <w:tc>
          <w:tcPr>
            <w:tcW w:w="981" w:type="dxa"/>
            <w:vAlign w:val="center"/>
          </w:tcPr>
          <w:p w14:paraId="6BAE6AE9" w14:textId="77777777" w:rsidR="0093608E" w:rsidRPr="00205340" w:rsidRDefault="0093608E">
            <w:pPr>
              <w:pStyle w:val="TableText"/>
              <w:keepNext/>
              <w:jc w:val="center"/>
            </w:pPr>
            <w:r w:rsidRPr="00205340">
              <w:t>36%</w:t>
            </w:r>
          </w:p>
        </w:tc>
      </w:tr>
      <w:tr w:rsidR="0093608E" w:rsidRPr="00205340" w14:paraId="2B3880D8" w14:textId="77777777">
        <w:trPr>
          <w:trHeight w:val="345"/>
        </w:trPr>
        <w:tc>
          <w:tcPr>
            <w:tcW w:w="9067" w:type="dxa"/>
            <w:gridSpan w:val="5"/>
            <w:vAlign w:val="center"/>
          </w:tcPr>
          <w:p w14:paraId="7EDACEB2" w14:textId="77777777" w:rsidR="0093608E" w:rsidRPr="00B85EDE" w:rsidRDefault="0093608E">
            <w:pPr>
              <w:pStyle w:val="TableText"/>
              <w:keepNext/>
            </w:pPr>
            <w:r w:rsidRPr="00B85EDE">
              <w:t>Cost of breakthrough bleeds (base case: based on international dosing recommendations)</w:t>
            </w:r>
          </w:p>
        </w:tc>
      </w:tr>
      <w:tr w:rsidR="004D521D" w:rsidRPr="00205340" w14:paraId="38D1EBC1" w14:textId="77777777">
        <w:trPr>
          <w:trHeight w:val="345"/>
        </w:trPr>
        <w:tc>
          <w:tcPr>
            <w:tcW w:w="4577" w:type="dxa"/>
            <w:vAlign w:val="center"/>
          </w:tcPr>
          <w:p w14:paraId="31B3B3D0" w14:textId="1E010142" w:rsidR="0093608E" w:rsidRPr="00205340" w:rsidRDefault="0093608E" w:rsidP="005C116D">
            <w:pPr>
              <w:pStyle w:val="TableText"/>
              <w:keepNext/>
              <w:numPr>
                <w:ilvl w:val="0"/>
                <w:numId w:val="16"/>
              </w:numPr>
            </w:pPr>
            <w:r w:rsidRPr="00205340">
              <w:t>Exclude factor cost from comparator arm (keep administration costs)</w:t>
            </w:r>
          </w:p>
        </w:tc>
        <w:tc>
          <w:tcPr>
            <w:tcW w:w="1218" w:type="dxa"/>
            <w:vAlign w:val="center"/>
          </w:tcPr>
          <w:p w14:paraId="56060821" w14:textId="398AD81F" w:rsidR="0093608E" w:rsidRPr="00B85EDE" w:rsidRDefault="0093608E">
            <w:pPr>
              <w:pStyle w:val="TableText"/>
              <w:keepNext/>
              <w:jc w:val="center"/>
            </w:pPr>
            <w:r w:rsidRPr="00B85EDE">
              <w:t>$</w:t>
            </w:r>
            <w:r w:rsidR="00BE336D" w:rsidRPr="00B85EDE">
              <w:rPr>
                <w:b/>
                <w:bCs/>
              </w:rPr>
              <w:t>redacted</w:t>
            </w:r>
          </w:p>
        </w:tc>
        <w:tc>
          <w:tcPr>
            <w:tcW w:w="1073" w:type="dxa"/>
            <w:vAlign w:val="center"/>
          </w:tcPr>
          <w:p w14:paraId="4072C476" w14:textId="77777777" w:rsidR="0093608E" w:rsidRPr="00B85EDE" w:rsidRDefault="0093608E">
            <w:pPr>
              <w:pStyle w:val="TableText"/>
              <w:keepNext/>
              <w:jc w:val="center"/>
            </w:pPr>
            <w:r w:rsidRPr="00B85EDE">
              <w:t>0.628</w:t>
            </w:r>
          </w:p>
        </w:tc>
        <w:tc>
          <w:tcPr>
            <w:tcW w:w="1218" w:type="dxa"/>
            <w:vAlign w:val="center"/>
          </w:tcPr>
          <w:p w14:paraId="0DE7C0FB" w14:textId="03B0C196" w:rsidR="0093608E" w:rsidRPr="00B85EDE" w:rsidRDefault="0093608E">
            <w:pPr>
              <w:pStyle w:val="TableText"/>
              <w:keepNext/>
              <w:jc w:val="center"/>
            </w:pPr>
            <w:r w:rsidRPr="00B85EDE">
              <w:t>$</w:t>
            </w:r>
            <w:r w:rsidR="00BE336D" w:rsidRPr="00B85EDE">
              <w:rPr>
                <w:b/>
                <w:bCs/>
              </w:rPr>
              <w:t>redacted</w:t>
            </w:r>
          </w:p>
        </w:tc>
        <w:tc>
          <w:tcPr>
            <w:tcW w:w="981" w:type="dxa"/>
            <w:vAlign w:val="center"/>
          </w:tcPr>
          <w:p w14:paraId="0EE3160F" w14:textId="77777777" w:rsidR="0093608E" w:rsidRPr="00205340" w:rsidRDefault="0093608E">
            <w:pPr>
              <w:pStyle w:val="TableText"/>
              <w:keepNext/>
              <w:jc w:val="center"/>
            </w:pPr>
            <w:r w:rsidRPr="00205340">
              <w:t>13%</w:t>
            </w:r>
          </w:p>
        </w:tc>
      </w:tr>
      <w:tr w:rsidR="002C6BE8" w:rsidRPr="00205340" w14:paraId="479CE96B" w14:textId="77777777" w:rsidTr="002C6BE8">
        <w:trPr>
          <w:trHeight w:val="345"/>
        </w:trPr>
        <w:tc>
          <w:tcPr>
            <w:tcW w:w="9067" w:type="dxa"/>
            <w:gridSpan w:val="5"/>
            <w:vAlign w:val="center"/>
          </w:tcPr>
          <w:p w14:paraId="4B278EC5" w14:textId="131DDFBF" w:rsidR="002C6BE8" w:rsidRPr="00B85EDE" w:rsidRDefault="002C6BE8" w:rsidP="002C6BE8">
            <w:pPr>
              <w:pStyle w:val="TableText"/>
              <w:keepNext/>
            </w:pPr>
            <w:r w:rsidRPr="00B85EDE">
              <w:t>Multivariate analyses</w:t>
            </w:r>
          </w:p>
        </w:tc>
      </w:tr>
      <w:tr w:rsidR="0065629D" w:rsidRPr="00205340" w14:paraId="32F470C6" w14:textId="77777777">
        <w:trPr>
          <w:trHeight w:val="345"/>
        </w:trPr>
        <w:tc>
          <w:tcPr>
            <w:tcW w:w="4577" w:type="dxa"/>
            <w:vAlign w:val="center"/>
          </w:tcPr>
          <w:p w14:paraId="239E4690" w14:textId="568CA156" w:rsidR="008746A2" w:rsidRPr="00205340" w:rsidRDefault="008746A2" w:rsidP="008746A2">
            <w:pPr>
              <w:pStyle w:val="TableText"/>
              <w:keepNext/>
              <w:rPr>
                <w:b/>
                <w:bCs/>
                <w:i/>
                <w:iCs/>
              </w:rPr>
            </w:pPr>
            <w:r w:rsidRPr="00205340">
              <w:rPr>
                <w:b/>
                <w:bCs/>
                <w:i/>
                <w:iCs/>
              </w:rPr>
              <w:t>#1, #2</w:t>
            </w:r>
          </w:p>
        </w:tc>
        <w:tc>
          <w:tcPr>
            <w:tcW w:w="1218" w:type="dxa"/>
            <w:vAlign w:val="center"/>
          </w:tcPr>
          <w:p w14:paraId="0A05BD23" w14:textId="4818FE8F" w:rsidR="008746A2" w:rsidRPr="00B85EDE" w:rsidRDefault="008746A2" w:rsidP="008746A2">
            <w:pPr>
              <w:pStyle w:val="TableText"/>
              <w:keepNext/>
              <w:jc w:val="center"/>
            </w:pPr>
            <w:r w:rsidRPr="00B85EDE">
              <w:t>$</w:t>
            </w:r>
            <w:r w:rsidR="00BE336D" w:rsidRPr="00B85EDE">
              <w:rPr>
                <w:b/>
                <w:bCs/>
              </w:rPr>
              <w:t>redacted</w:t>
            </w:r>
          </w:p>
        </w:tc>
        <w:tc>
          <w:tcPr>
            <w:tcW w:w="1073" w:type="dxa"/>
            <w:vAlign w:val="center"/>
          </w:tcPr>
          <w:p w14:paraId="19358B62" w14:textId="0E654216" w:rsidR="008746A2" w:rsidRPr="00B85EDE" w:rsidRDefault="008746A2" w:rsidP="008746A2">
            <w:pPr>
              <w:pStyle w:val="TableText"/>
              <w:keepNext/>
              <w:jc w:val="center"/>
            </w:pPr>
            <w:r w:rsidRPr="00B85EDE">
              <w:t>0.000</w:t>
            </w:r>
          </w:p>
        </w:tc>
        <w:tc>
          <w:tcPr>
            <w:tcW w:w="2199" w:type="dxa"/>
            <w:gridSpan w:val="2"/>
            <w:vAlign w:val="center"/>
          </w:tcPr>
          <w:p w14:paraId="0F044C6B" w14:textId="697EBA50" w:rsidR="008746A2" w:rsidRPr="00205340" w:rsidRDefault="008746A2" w:rsidP="008746A2">
            <w:pPr>
              <w:pStyle w:val="TableText"/>
              <w:keepNext/>
              <w:jc w:val="center"/>
            </w:pPr>
            <w:r w:rsidRPr="00205340">
              <w:t>Dominated</w:t>
            </w:r>
          </w:p>
        </w:tc>
      </w:tr>
    </w:tbl>
    <w:p w14:paraId="684E2EB1" w14:textId="21C140F1" w:rsidR="0093608E" w:rsidRPr="00205340" w:rsidRDefault="0093608E" w:rsidP="005C116D">
      <w:pPr>
        <w:pStyle w:val="TableFigureFooter"/>
        <w:spacing w:before="0" w:after="0"/>
      </w:pPr>
      <w:r w:rsidRPr="00205340">
        <w:t>Source: Constructed during the evaluation from</w:t>
      </w:r>
      <w:r w:rsidR="00480B7D" w:rsidRPr="00205340">
        <w:t xml:space="preserve"> the</w:t>
      </w:r>
      <w:r w:rsidRPr="00205340">
        <w:t xml:space="preserve"> “Economic inputs – marstacimab final” Excel workbook provided with the ADAR.</w:t>
      </w:r>
    </w:p>
    <w:p w14:paraId="6D32E69B" w14:textId="73D41A38" w:rsidR="0093608E" w:rsidRPr="00205340" w:rsidRDefault="0093608E" w:rsidP="005C116D">
      <w:pPr>
        <w:pStyle w:val="TableFigureFooter"/>
        <w:spacing w:before="0" w:after="0"/>
      </w:pPr>
      <w:r w:rsidRPr="00205340">
        <w:t xml:space="preserve">ADAR = Applicant Developed Assessment Report; EHL = extended half-life; ICER = incremental cost-effectiveness ratio; LTE = long-term extension; MDT = multidisciplinary team; QALYs = quality-adjusted life year; SMR = standardised mortality rate; 6MBR = </w:t>
      </w:r>
      <w:proofErr w:type="gramStart"/>
      <w:r w:rsidRPr="00205340">
        <w:t>six month</w:t>
      </w:r>
      <w:proofErr w:type="gramEnd"/>
      <w:r w:rsidR="005A571E" w:rsidRPr="00205340">
        <w:t xml:space="preserve"> bleeding rate</w:t>
      </w:r>
    </w:p>
    <w:p w14:paraId="2CB60D9C" w14:textId="523938EC" w:rsidR="0093608E" w:rsidRPr="00205340" w:rsidRDefault="0080090C" w:rsidP="005C116D">
      <w:pPr>
        <w:pStyle w:val="Heading2"/>
        <w:keepNext w:val="0"/>
        <w:keepLines w:val="0"/>
        <w:numPr>
          <w:ilvl w:val="0"/>
          <w:numId w:val="29"/>
        </w:numPr>
        <w:ind w:hanging="720"/>
      </w:pPr>
      <w:bookmarkStart w:id="67" w:name="Title_Table5"/>
      <w:bookmarkStart w:id="68" w:name="_Ref217158222"/>
      <w:bookmarkEnd w:id="67"/>
      <w:r w:rsidRPr="00205340">
        <w:t>Financial/budgetary impacts</w:t>
      </w:r>
      <w:bookmarkEnd w:id="68"/>
    </w:p>
    <w:p w14:paraId="7299D4C5" w14:textId="0CC76B9D" w:rsidR="00DD58C0" w:rsidRPr="00205340" w:rsidRDefault="0080090C" w:rsidP="005C116D">
      <w:pPr>
        <w:spacing w:before="0"/>
        <w:rPr>
          <w:rFonts w:asciiTheme="minorHAnsi" w:hAnsiTheme="minorHAnsi" w:cstheme="minorHAnsi"/>
          <w:i/>
          <w:iCs/>
        </w:rPr>
      </w:pPr>
      <w:r w:rsidRPr="00205340">
        <w:t xml:space="preserve">A combination of epidemiological and market-share approaches was used to estimate the total number of patients with severe HMA and HMB who will receive treatment with marstacimab. The patient cohort </w:t>
      </w:r>
      <w:r w:rsidR="00356A42" w:rsidRPr="00205340">
        <w:t xml:space="preserve">presented in the financial estimates </w:t>
      </w:r>
      <w:r w:rsidRPr="00205340">
        <w:t>was</w:t>
      </w:r>
      <w:r w:rsidR="00356A42" w:rsidRPr="00205340">
        <w:t xml:space="preserve"> limited to</w:t>
      </w:r>
      <w:r w:rsidRPr="00205340">
        <w:t xml:space="preserve"> males 12 years and older.</w:t>
      </w:r>
      <w:r w:rsidR="00DD58C0" w:rsidRPr="00205340">
        <w:t xml:space="preserve"> </w:t>
      </w:r>
      <w:r w:rsidR="00DD58C0" w:rsidRPr="00205340">
        <w:rPr>
          <w:rFonts w:cstheme="minorHAnsi"/>
        </w:rPr>
        <w:t>The proposed listing is gender agnostic; however, the financial model only considers male patients 12 years and older. Th</w:t>
      </w:r>
      <w:r w:rsidR="00D560DA" w:rsidRPr="00205340">
        <w:rPr>
          <w:rFonts w:cstheme="minorHAnsi"/>
        </w:rPr>
        <w:t>e Commentary c</w:t>
      </w:r>
      <w:r w:rsidR="000E02ED" w:rsidRPr="00205340">
        <w:rPr>
          <w:rFonts w:cstheme="minorHAnsi"/>
        </w:rPr>
        <w:t>onsidered</w:t>
      </w:r>
      <w:r w:rsidR="002B6026" w:rsidRPr="00205340">
        <w:rPr>
          <w:rFonts w:cstheme="minorHAnsi"/>
        </w:rPr>
        <w:t xml:space="preserve"> that this</w:t>
      </w:r>
      <w:r w:rsidR="00DD58C0" w:rsidRPr="00205340">
        <w:rPr>
          <w:rFonts w:cstheme="minorHAnsi"/>
        </w:rPr>
        <w:t xml:space="preserve"> approach is appropriate as most patients with severe HMA or HM</w:t>
      </w:r>
      <w:r w:rsidR="006D4D98" w:rsidRPr="00205340">
        <w:rPr>
          <w:rFonts w:cstheme="minorHAnsi"/>
        </w:rPr>
        <w:t>B</w:t>
      </w:r>
      <w:r w:rsidR="00DD58C0" w:rsidRPr="00205340">
        <w:rPr>
          <w:rFonts w:cstheme="minorHAnsi"/>
        </w:rPr>
        <w:t xml:space="preserve"> are male. Females accounted for 0.48% of patients attending </w:t>
      </w:r>
      <w:r w:rsidR="00DD58C0" w:rsidRPr="00205340">
        <w:rPr>
          <w:rFonts w:cstheme="minorHAnsi"/>
        </w:rPr>
        <w:lastRenderedPageBreak/>
        <w:t>haemophilia treatment centres in the United States from January 2012 through September 2020 with factor levels known</w:t>
      </w:r>
      <w:r w:rsidR="0089752C">
        <w:rPr>
          <w:rFonts w:ascii="ZWAdobeF" w:hAnsi="ZWAdobeF" w:cs="ZWAdobeF"/>
          <w:sz w:val="2"/>
          <w:szCs w:val="2"/>
        </w:rPr>
        <w:t>18F</w:t>
      </w:r>
      <w:r w:rsidR="00DD58C0" w:rsidRPr="00205340">
        <w:rPr>
          <w:rStyle w:val="FootnoteReference"/>
          <w:rFonts w:cstheme="minorHAnsi"/>
        </w:rPr>
        <w:footnoteReference w:id="19"/>
      </w:r>
      <w:r w:rsidR="00DD58C0" w:rsidRPr="00205340">
        <w:rPr>
          <w:rFonts w:cstheme="minorHAnsi"/>
        </w:rPr>
        <w:t>.</w:t>
      </w:r>
    </w:p>
    <w:p w14:paraId="1DAE7CB5" w14:textId="6810D00F" w:rsidR="0080090C" w:rsidRPr="00205340" w:rsidRDefault="0080090C" w:rsidP="0080090C">
      <w:r w:rsidRPr="00205340">
        <w:t>The prevalent patients treated for HMA and HMB were drawn from the ABDR 2023-24 data, extrapolated to cover the period 2026-27 to 2031-32 using the ABS population growth projections provided in the medium growth series. This approach applied the overall population growth rate, rather than growth rate for males 12 years and older. The Commentary considered that this would underestimate the growth rate of the population</w:t>
      </w:r>
      <w:r w:rsidR="00356A42" w:rsidRPr="00205340">
        <w:t xml:space="preserve"> as the narrower population is growing more rapidly than the overall Australian population</w:t>
      </w:r>
    </w:p>
    <w:p w14:paraId="49F2F64F" w14:textId="77777777" w:rsidR="0080090C" w:rsidRPr="00205340" w:rsidRDefault="0080090C" w:rsidP="0080090C">
      <w:r w:rsidRPr="00205340">
        <w:t>Patient mortality is drawn from the ABS life tables and is applied in 5-year age brackets. The Commentary considered that this was an appropriate source of mortality rates. Incident patients were derived by applying the mortality rate to the change in prevalent population.</w:t>
      </w:r>
    </w:p>
    <w:p w14:paraId="08E00447" w14:textId="735C39C4" w:rsidR="0080090C" w:rsidRPr="00205340" w:rsidRDefault="0080090C" w:rsidP="0080090C">
      <w:r w:rsidRPr="00205340">
        <w:t xml:space="preserve">Using the incident and prevalent patient population, the financial model used a market-share approach to determine the number of incident </w:t>
      </w:r>
      <w:r w:rsidR="005A48D3" w:rsidRPr="00205340">
        <w:t>patient</w:t>
      </w:r>
      <w:r w:rsidR="0049559D" w:rsidRPr="00205340">
        <w:t>s</w:t>
      </w:r>
      <w:r w:rsidR="005A48D3" w:rsidRPr="00205340">
        <w:t xml:space="preserve"> with </w:t>
      </w:r>
      <w:r w:rsidRPr="00205340">
        <w:t xml:space="preserve">HMA who will receive marstacimab or emicizumab and incident </w:t>
      </w:r>
      <w:r w:rsidR="0049559D" w:rsidRPr="00205340">
        <w:t xml:space="preserve">patients with </w:t>
      </w:r>
      <w:r w:rsidRPr="00205340">
        <w:t>HMB who will receive marstacimab or FIX.</w:t>
      </w:r>
    </w:p>
    <w:p w14:paraId="1510C786" w14:textId="739FF0F5" w:rsidR="0080090C" w:rsidRPr="00205340" w:rsidRDefault="0080090C" w:rsidP="0080090C">
      <w:r w:rsidRPr="00205340">
        <w:t xml:space="preserve">The financial model applied a market-share approach to determine the number of prevalent </w:t>
      </w:r>
      <w:r w:rsidR="005A48D3" w:rsidRPr="00205340">
        <w:t xml:space="preserve">patients with </w:t>
      </w:r>
      <w:r w:rsidRPr="00205340">
        <w:t xml:space="preserve">HMA who would switch from FVIII to emicizumab and marstacimab. There were two errors (one population labelling and one in calculation logic) that were identified </w:t>
      </w:r>
      <w:r w:rsidR="00BD4999" w:rsidRPr="00205340">
        <w:t>by</w:t>
      </w:r>
      <w:r w:rsidRPr="00205340">
        <w:t xml:space="preserve"> the Commentary. </w:t>
      </w:r>
      <w:r w:rsidR="003D43ED" w:rsidRPr="00205340">
        <w:t xml:space="preserve">The errors occur in the proportioning of </w:t>
      </w:r>
      <w:r w:rsidR="005A48D3" w:rsidRPr="00205340">
        <w:t xml:space="preserve">patients with </w:t>
      </w:r>
      <w:r w:rsidR="003D43ED" w:rsidRPr="00205340">
        <w:t xml:space="preserve">HMA between emicizumab and marstacimab. </w:t>
      </w:r>
      <w:r w:rsidRPr="00205340">
        <w:t>However, if emicizumab and marstacimab are cost-minimised (both medicine and administration costs), then these errors have no impact on the overall cost of listing marstacimab</w:t>
      </w:r>
      <w:r w:rsidR="003D43ED" w:rsidRPr="00205340">
        <w:t xml:space="preserve"> because the financial impact is the same regardless of which medicine is provided.</w:t>
      </w:r>
    </w:p>
    <w:p w14:paraId="3FC32E34" w14:textId="59EBDAFE" w:rsidR="0080090C" w:rsidRPr="00205340" w:rsidRDefault="0080090C" w:rsidP="0080090C">
      <w:r w:rsidRPr="00205340">
        <w:t xml:space="preserve">This approach was also applied to determine the number of prevalent </w:t>
      </w:r>
      <w:r w:rsidR="0049559D" w:rsidRPr="00205340">
        <w:t xml:space="preserve">patients with </w:t>
      </w:r>
      <w:r w:rsidRPr="00205340">
        <w:t>HMB who would switch from FIX to marstacimab. The Commentary noted that the calculations were correctly applied</w:t>
      </w:r>
      <w:r w:rsidR="00E01265" w:rsidRPr="00205340">
        <w:t>.</w:t>
      </w:r>
    </w:p>
    <w:p w14:paraId="7F4671CE" w14:textId="4C47CE8A" w:rsidR="0080090C" w:rsidRPr="00205340" w:rsidRDefault="0080090C" w:rsidP="0080090C">
      <w:r w:rsidRPr="00205340">
        <w:t>The financial model assumes that every patient who commences treatment does so at the beginning of the year</w:t>
      </w:r>
      <w:r w:rsidR="000B0D88" w:rsidRPr="00205340">
        <w:t xml:space="preserve"> which </w:t>
      </w:r>
      <w:r w:rsidR="001B5A94" w:rsidRPr="00205340">
        <w:t>assumes that</w:t>
      </w:r>
      <w:r w:rsidR="008A631B" w:rsidRPr="00205340">
        <w:t xml:space="preserve"> each patient will receive </w:t>
      </w:r>
      <w:r w:rsidR="0008474B" w:rsidRPr="00205340">
        <w:t>a full 12 months of treatment</w:t>
      </w:r>
      <w:r w:rsidR="00EB7739" w:rsidRPr="00205340">
        <w:t xml:space="preserve">.  </w:t>
      </w:r>
      <w:r w:rsidRPr="00205340">
        <w:t xml:space="preserve">The Commentary considered that </w:t>
      </w:r>
      <w:r w:rsidR="00EB7739" w:rsidRPr="00205340">
        <w:t>while this appr</w:t>
      </w:r>
      <w:r w:rsidR="00C80F11" w:rsidRPr="00205340">
        <w:t xml:space="preserve">oach </w:t>
      </w:r>
      <w:r w:rsidR="00483EE5" w:rsidRPr="00205340">
        <w:t xml:space="preserve">when applied to large populations </w:t>
      </w:r>
      <w:r w:rsidR="000B7DC4" w:rsidRPr="00205340">
        <w:t>has a small effect (</w:t>
      </w:r>
      <w:r w:rsidR="00E97D95" w:rsidRPr="00205340">
        <w:t xml:space="preserve">proportionately), </w:t>
      </w:r>
      <w:r w:rsidR="002C1AFF" w:rsidRPr="00205340">
        <w:t>in</w:t>
      </w:r>
      <w:r w:rsidRPr="00205340">
        <w:t xml:space="preserve"> small patient </w:t>
      </w:r>
      <w:r w:rsidR="002C1AFF" w:rsidRPr="00205340">
        <w:t>populations</w:t>
      </w:r>
      <w:r w:rsidRPr="00205340">
        <w:t xml:space="preserve">, this </w:t>
      </w:r>
      <w:r w:rsidR="00EB7739" w:rsidRPr="00205340">
        <w:t>may</w:t>
      </w:r>
      <w:r w:rsidRPr="00205340">
        <w:t xml:space="preserve"> overestimate the number of patient years of treatment by approximately 50% in the first year of listing for incident patients. This impact will diminish over time as the proportion of continuing patients increase.</w:t>
      </w:r>
    </w:p>
    <w:p w14:paraId="4C88F494" w14:textId="77777777" w:rsidR="0080090C" w:rsidRPr="00205340" w:rsidRDefault="0080090C" w:rsidP="0080090C">
      <w:r w:rsidRPr="00205340">
        <w:t>The financial model accounted for patients who require dose escalation consistent with the economic model (4.7%). However, this rate was significantly lower than the rate in the BASIS LTE trial (14%). The Commentary considered this underestimated the average cost of marstacimab treatment.</w:t>
      </w:r>
    </w:p>
    <w:p w14:paraId="6C6D4A21" w14:textId="6351E2DA" w:rsidR="0080090C" w:rsidRPr="00205340" w:rsidRDefault="0080090C" w:rsidP="0080090C">
      <w:r w:rsidRPr="00205340">
        <w:t xml:space="preserve">The financial model assumed that all patients would self-administer marstacimab. </w:t>
      </w:r>
      <w:r w:rsidR="009E05D2" w:rsidRPr="00205340">
        <w:t xml:space="preserve">However, the </w:t>
      </w:r>
      <w:r w:rsidR="00B6102F" w:rsidRPr="00205340">
        <w:t>C</w:t>
      </w:r>
      <w:r w:rsidR="009E05D2" w:rsidRPr="00205340">
        <w:t xml:space="preserve">ommentary considered that </w:t>
      </w:r>
      <w:r w:rsidR="00AB0A3A" w:rsidRPr="00205340">
        <w:t xml:space="preserve">there may be a proportion </w:t>
      </w:r>
      <w:r w:rsidR="00144A12" w:rsidRPr="00205340">
        <w:t xml:space="preserve">of </w:t>
      </w:r>
      <w:r w:rsidRPr="00205340">
        <w:t>patients who are unwilling/unable to self-administer continuing to require administration by a healthcare professional. The Commentary considered this overestimated the administration saving associated with listing marstacimab.</w:t>
      </w:r>
    </w:p>
    <w:p w14:paraId="37C1C8CD" w14:textId="77777777" w:rsidR="0080090C" w:rsidRPr="00205340" w:rsidRDefault="0080090C" w:rsidP="0080090C">
      <w:r w:rsidRPr="00205340">
        <w:t xml:space="preserve">The financial model calculated the number of administrations required in the first year of listing and then applied this rate across time. As the initial dosing rate is greater than the continuing dosing rate, the Commentary considered that this will overestimate the number of doses required for incident patients in the second and subsequent years. The Commentary also considered that </w:t>
      </w:r>
      <w:r w:rsidRPr="00205340">
        <w:lastRenderedPageBreak/>
        <w:t>this will overestimate the number of doses required for all prevalent patients who are beyond their first year of treatment.</w:t>
      </w:r>
    </w:p>
    <w:p w14:paraId="20414135" w14:textId="75AA82A8" w:rsidR="0080090C" w:rsidRPr="00205340" w:rsidRDefault="0080090C" w:rsidP="0080090C">
      <w:r w:rsidRPr="00205340">
        <w:t>The financial model applies the administration costs for the administration of FVIII and FIX based on all administration being carried out by haematologists. It is likely that a proportion of these administrations, particularly for patients with a stable condition, would be carried out by haematology clinical nurse specialists</w:t>
      </w:r>
      <w:r w:rsidR="00E567E3" w:rsidRPr="00205340">
        <w:t xml:space="preserve"> or be </w:t>
      </w:r>
      <w:r w:rsidR="005D5C87" w:rsidRPr="00205340">
        <w:t>self-administered</w:t>
      </w:r>
      <w:r w:rsidRPr="00205340">
        <w:t>. As the largest financial component of listing marstacimab is savings associated with administration, this is likely to overestimate the savings that result from listing marstacimab.</w:t>
      </w:r>
      <w:r w:rsidR="00E567E3" w:rsidRPr="00205340">
        <w:t xml:space="preserve"> </w:t>
      </w:r>
      <w:r w:rsidR="0024730C" w:rsidRPr="00205340">
        <w:t>The commentary has tested various proportions of self-administration ($0 per administration) of FIX</w:t>
      </w:r>
      <w:r w:rsidR="002F4313" w:rsidRPr="00205340">
        <w:t xml:space="preserve"> </w:t>
      </w:r>
      <w:r w:rsidR="00A075F5" w:rsidRPr="00205340">
        <w:t>in</w:t>
      </w:r>
      <w:r w:rsidR="002F4313" w:rsidRPr="00205340">
        <w:t xml:space="preserve"> a sensitivity analysis</w:t>
      </w:r>
      <w:r w:rsidR="0024730C" w:rsidRPr="00205340">
        <w:t xml:space="preserve"> (</w:t>
      </w:r>
      <w:r w:rsidR="00E200C3" w:rsidRPr="00205340">
        <w:fldChar w:fldCharType="begin" w:fldLock="1"/>
      </w:r>
      <w:r w:rsidR="00E200C3" w:rsidRPr="00205340">
        <w:instrText xml:space="preserve"> REF _Ref219286638 \h </w:instrText>
      </w:r>
      <w:r w:rsidR="00205340">
        <w:instrText xml:space="preserve"> \* MERGEFORMAT </w:instrText>
      </w:r>
      <w:r w:rsidR="00E200C3" w:rsidRPr="00205340">
        <w:fldChar w:fldCharType="separate"/>
      </w:r>
      <w:r w:rsidR="00E200C3" w:rsidRPr="00205340">
        <w:t xml:space="preserve">Table </w:t>
      </w:r>
      <w:r w:rsidR="00E200C3" w:rsidRPr="00205340">
        <w:rPr>
          <w:noProof/>
        </w:rPr>
        <w:t>25</w:t>
      </w:r>
      <w:r w:rsidR="00E200C3" w:rsidRPr="00205340">
        <w:fldChar w:fldCharType="end"/>
      </w:r>
      <w:r w:rsidR="00E200C3" w:rsidRPr="00205340">
        <w:t>).</w:t>
      </w:r>
    </w:p>
    <w:p w14:paraId="026F54D7" w14:textId="4F0C960D" w:rsidR="0080090C" w:rsidRPr="00205340" w:rsidRDefault="0080090C" w:rsidP="0080090C">
      <w:r w:rsidRPr="00205340">
        <w:t>As the effective price of emicizumab is not publicly known, the financial model assumed that the cost of emicizumab was equal to the proposed cost of marstacimab once it</w:t>
      </w:r>
      <w:r w:rsidR="00356A42" w:rsidRPr="00205340">
        <w:t xml:space="preserve"> i</w:t>
      </w:r>
      <w:r w:rsidR="00EA16EB" w:rsidRPr="00205340">
        <w:t>s</w:t>
      </w:r>
      <w:r w:rsidRPr="00205340">
        <w:t xml:space="preserve"> listed. The financial impact of applying the effective price of emicizumab to the model is shown in the Committee-in-Confidence section.</w:t>
      </w:r>
    </w:p>
    <w:p w14:paraId="07D896F5" w14:textId="2963613E" w:rsidR="0080090C" w:rsidRPr="00205340" w:rsidRDefault="0080090C" w:rsidP="0080090C">
      <w:r w:rsidRPr="00205340">
        <w:t>The financial implications to the N</w:t>
      </w:r>
      <w:r w:rsidR="00570FA1" w:rsidRPr="00205340">
        <w:t xml:space="preserve">ational </w:t>
      </w:r>
      <w:r w:rsidRPr="00205340">
        <w:t>B</w:t>
      </w:r>
      <w:r w:rsidR="00570FA1" w:rsidRPr="00205340">
        <w:t xml:space="preserve">lood </w:t>
      </w:r>
      <w:r w:rsidRPr="00205340">
        <w:t>A</w:t>
      </w:r>
      <w:r w:rsidR="00570FA1" w:rsidRPr="00205340">
        <w:t>greement</w:t>
      </w:r>
      <w:r w:rsidRPr="00205340">
        <w:t xml:space="preserve"> resulting from the proposed listing of marstacimab are summarised in</w:t>
      </w:r>
      <w:r w:rsidR="00F04910" w:rsidRPr="00205340">
        <w:t xml:space="preserve"> </w:t>
      </w:r>
      <w:r w:rsidR="00F04910" w:rsidRPr="00205340">
        <w:fldChar w:fldCharType="begin" w:fldLock="1"/>
      </w:r>
      <w:r w:rsidR="00F04910" w:rsidRPr="00205340">
        <w:instrText xml:space="preserve"> REF _Ref227157402 \h </w:instrText>
      </w:r>
      <w:r w:rsidR="00205340">
        <w:instrText xml:space="preserve"> \* MERGEFORMAT </w:instrText>
      </w:r>
      <w:r w:rsidR="00F04910" w:rsidRPr="00205340">
        <w:fldChar w:fldCharType="separate"/>
      </w:r>
      <w:r w:rsidR="00F04910" w:rsidRPr="00205340">
        <w:t xml:space="preserve">Table </w:t>
      </w:r>
      <w:r w:rsidR="00F04910" w:rsidRPr="00205340">
        <w:rPr>
          <w:noProof/>
        </w:rPr>
        <w:t>23</w:t>
      </w:r>
      <w:r w:rsidR="00F04910" w:rsidRPr="00205340">
        <w:fldChar w:fldCharType="end"/>
      </w:r>
      <w:r w:rsidRPr="00205340">
        <w:t>.</w:t>
      </w:r>
      <w:bookmarkStart w:id="69" w:name="_Hlk68276814"/>
    </w:p>
    <w:p w14:paraId="47933312" w14:textId="24C4E35D" w:rsidR="00F04910" w:rsidRPr="00205340" w:rsidRDefault="00F04910" w:rsidP="00F04910">
      <w:pPr>
        <w:pStyle w:val="Caption"/>
      </w:pPr>
      <w:bookmarkStart w:id="70" w:name="_Ref227157402"/>
      <w:r w:rsidRPr="00205340">
        <w:t xml:space="preserve">Table </w:t>
      </w:r>
      <w:fldSimple w:instr=" SEQ Table \* ARABIC ">
        <w:r w:rsidR="002C6A9B" w:rsidRPr="00205340">
          <w:rPr>
            <w:noProof/>
          </w:rPr>
          <w:t>23</w:t>
        </w:r>
      </w:fldSimple>
      <w:bookmarkEnd w:id="70"/>
      <w:r w:rsidRPr="00205340">
        <w:t xml:space="preserve"> Financial implications of marstacimab to the National Blood Agreement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left w:w="57" w:type="dxa"/>
          <w:bottom w:w="28" w:type="dxa"/>
          <w:right w:w="57" w:type="dxa"/>
        </w:tblCellMar>
        <w:tblLook w:val="04A0" w:firstRow="1" w:lastRow="0" w:firstColumn="1" w:lastColumn="0" w:noHBand="0" w:noVBand="1"/>
      </w:tblPr>
      <w:tblGrid>
        <w:gridCol w:w="2390"/>
        <w:gridCol w:w="1104"/>
        <w:gridCol w:w="1104"/>
        <w:gridCol w:w="1106"/>
        <w:gridCol w:w="1105"/>
        <w:gridCol w:w="1105"/>
        <w:gridCol w:w="1106"/>
      </w:tblGrid>
      <w:tr w:rsidR="004D521D" w:rsidRPr="00205340" w14:paraId="38100BD5" w14:textId="77777777" w:rsidTr="000153D7">
        <w:trPr>
          <w:cantSplit/>
          <w:tblHeader/>
        </w:trPr>
        <w:tc>
          <w:tcPr>
            <w:tcW w:w="2390" w:type="dxa"/>
            <w:noWrap/>
            <w:vAlign w:val="center"/>
            <w:hideMark/>
          </w:tcPr>
          <w:p w14:paraId="4944A341" w14:textId="77777777" w:rsidR="0080090C" w:rsidRPr="00205340" w:rsidRDefault="0080090C">
            <w:pPr>
              <w:pStyle w:val="TableText"/>
              <w:keepNext/>
              <w:rPr>
                <w:b/>
                <w:bCs/>
              </w:rPr>
            </w:pPr>
          </w:p>
        </w:tc>
        <w:tc>
          <w:tcPr>
            <w:tcW w:w="1104" w:type="dxa"/>
            <w:noWrap/>
            <w:vAlign w:val="center"/>
            <w:hideMark/>
          </w:tcPr>
          <w:p w14:paraId="6937DB30" w14:textId="77777777" w:rsidR="0080090C" w:rsidRPr="00205340" w:rsidRDefault="0080090C">
            <w:pPr>
              <w:pStyle w:val="TableText"/>
              <w:keepNext/>
              <w:jc w:val="center"/>
              <w:rPr>
                <w:b/>
                <w:bCs/>
              </w:rPr>
            </w:pPr>
            <w:r w:rsidRPr="00205340">
              <w:rPr>
                <w:rFonts w:cs="Calibri"/>
                <w:b/>
                <w:bCs/>
                <w:szCs w:val="20"/>
              </w:rPr>
              <w:t>2026/27</w:t>
            </w:r>
          </w:p>
        </w:tc>
        <w:tc>
          <w:tcPr>
            <w:tcW w:w="1104" w:type="dxa"/>
            <w:noWrap/>
            <w:vAlign w:val="center"/>
            <w:hideMark/>
          </w:tcPr>
          <w:p w14:paraId="1EE0B3D4" w14:textId="77777777" w:rsidR="0080090C" w:rsidRPr="00205340" w:rsidRDefault="0080090C">
            <w:pPr>
              <w:pStyle w:val="TableText"/>
              <w:keepNext/>
              <w:jc w:val="center"/>
              <w:rPr>
                <w:b/>
                <w:bCs/>
              </w:rPr>
            </w:pPr>
            <w:r w:rsidRPr="00205340">
              <w:rPr>
                <w:rFonts w:cs="Calibri"/>
                <w:b/>
                <w:bCs/>
                <w:szCs w:val="20"/>
              </w:rPr>
              <w:t>2027/28</w:t>
            </w:r>
          </w:p>
        </w:tc>
        <w:tc>
          <w:tcPr>
            <w:tcW w:w="1106" w:type="dxa"/>
            <w:noWrap/>
            <w:vAlign w:val="center"/>
            <w:hideMark/>
          </w:tcPr>
          <w:p w14:paraId="2D5F9B5E" w14:textId="77777777" w:rsidR="0080090C" w:rsidRPr="00205340" w:rsidRDefault="0080090C">
            <w:pPr>
              <w:pStyle w:val="TableText"/>
              <w:keepNext/>
              <w:jc w:val="center"/>
              <w:rPr>
                <w:b/>
                <w:bCs/>
              </w:rPr>
            </w:pPr>
            <w:r w:rsidRPr="00205340">
              <w:rPr>
                <w:rFonts w:cs="Calibri"/>
                <w:b/>
                <w:bCs/>
                <w:szCs w:val="20"/>
              </w:rPr>
              <w:t>2028/29</w:t>
            </w:r>
          </w:p>
        </w:tc>
        <w:tc>
          <w:tcPr>
            <w:tcW w:w="1105" w:type="dxa"/>
            <w:noWrap/>
            <w:vAlign w:val="center"/>
            <w:hideMark/>
          </w:tcPr>
          <w:p w14:paraId="47D82656" w14:textId="77777777" w:rsidR="0080090C" w:rsidRPr="00205340" w:rsidRDefault="0080090C">
            <w:pPr>
              <w:pStyle w:val="TableText"/>
              <w:keepNext/>
              <w:jc w:val="center"/>
              <w:rPr>
                <w:b/>
                <w:bCs/>
              </w:rPr>
            </w:pPr>
            <w:r w:rsidRPr="00205340">
              <w:rPr>
                <w:rFonts w:cs="Calibri"/>
                <w:b/>
                <w:bCs/>
                <w:szCs w:val="20"/>
              </w:rPr>
              <w:t>2029/30</w:t>
            </w:r>
          </w:p>
        </w:tc>
        <w:tc>
          <w:tcPr>
            <w:tcW w:w="1105" w:type="dxa"/>
            <w:noWrap/>
            <w:vAlign w:val="center"/>
            <w:hideMark/>
          </w:tcPr>
          <w:p w14:paraId="4A438C21" w14:textId="77777777" w:rsidR="0080090C" w:rsidRPr="00205340" w:rsidRDefault="0080090C">
            <w:pPr>
              <w:pStyle w:val="TableText"/>
              <w:keepNext/>
              <w:jc w:val="center"/>
              <w:rPr>
                <w:b/>
                <w:bCs/>
              </w:rPr>
            </w:pPr>
            <w:r w:rsidRPr="00205340">
              <w:rPr>
                <w:rFonts w:cs="Calibri"/>
                <w:b/>
                <w:bCs/>
                <w:szCs w:val="20"/>
              </w:rPr>
              <w:t>2030/31</w:t>
            </w:r>
          </w:p>
        </w:tc>
        <w:tc>
          <w:tcPr>
            <w:tcW w:w="1106" w:type="dxa"/>
            <w:noWrap/>
            <w:vAlign w:val="center"/>
            <w:hideMark/>
          </w:tcPr>
          <w:p w14:paraId="1C63B47E" w14:textId="77777777" w:rsidR="0080090C" w:rsidRPr="00205340" w:rsidRDefault="0080090C">
            <w:pPr>
              <w:pStyle w:val="TableText"/>
              <w:keepNext/>
              <w:jc w:val="center"/>
              <w:rPr>
                <w:b/>
                <w:bCs/>
              </w:rPr>
            </w:pPr>
            <w:r w:rsidRPr="00205340">
              <w:rPr>
                <w:rFonts w:cs="Calibri"/>
                <w:b/>
                <w:bCs/>
                <w:szCs w:val="20"/>
              </w:rPr>
              <w:t>2031/32</w:t>
            </w:r>
          </w:p>
        </w:tc>
      </w:tr>
      <w:tr w:rsidR="0080090C" w:rsidRPr="00205340" w14:paraId="305A1502" w14:textId="77777777">
        <w:trPr>
          <w:cantSplit/>
        </w:trPr>
        <w:tc>
          <w:tcPr>
            <w:tcW w:w="9020" w:type="dxa"/>
            <w:gridSpan w:val="7"/>
            <w:noWrap/>
          </w:tcPr>
          <w:p w14:paraId="5AA2BDD9" w14:textId="77777777" w:rsidR="0080090C" w:rsidRPr="00205340" w:rsidRDefault="0080090C">
            <w:pPr>
              <w:pStyle w:val="TableText"/>
              <w:keepNext/>
              <w:rPr>
                <w:rFonts w:cs="Calibri"/>
                <w:b/>
                <w:bCs/>
                <w:szCs w:val="20"/>
              </w:rPr>
            </w:pPr>
            <w:r w:rsidRPr="00205340">
              <w:rPr>
                <w:rFonts w:cs="Calibri"/>
                <w:b/>
                <w:bCs/>
                <w:szCs w:val="20"/>
              </w:rPr>
              <w:t>Estimated use and cost of the proposed health technology</w:t>
            </w:r>
          </w:p>
        </w:tc>
      </w:tr>
      <w:tr w:rsidR="004D521D" w:rsidRPr="00205340" w14:paraId="3C895F7B" w14:textId="77777777" w:rsidTr="000153D7">
        <w:trPr>
          <w:cantSplit/>
        </w:trPr>
        <w:tc>
          <w:tcPr>
            <w:tcW w:w="2390" w:type="dxa"/>
            <w:noWrap/>
          </w:tcPr>
          <w:p w14:paraId="0AE4CC24" w14:textId="77777777" w:rsidR="0080090C" w:rsidRPr="00205340" w:rsidRDefault="0080090C">
            <w:pPr>
              <w:pStyle w:val="TableText"/>
              <w:keepNext/>
            </w:pPr>
            <w:r w:rsidRPr="00205340">
              <w:t>People eligible for marstacimab – HMA/HMB</w:t>
            </w:r>
          </w:p>
        </w:tc>
        <w:tc>
          <w:tcPr>
            <w:tcW w:w="1104" w:type="dxa"/>
            <w:noWrap/>
          </w:tcPr>
          <w:p w14:paraId="06782F76" w14:textId="77777777" w:rsidR="0080090C" w:rsidRPr="00205340" w:rsidRDefault="0080090C">
            <w:pPr>
              <w:pStyle w:val="TableText"/>
              <w:keepNext/>
              <w:jc w:val="center"/>
              <w:rPr>
                <w:rFonts w:cs="Calibri"/>
                <w:szCs w:val="20"/>
              </w:rPr>
            </w:pPr>
            <w:r w:rsidRPr="00205340">
              <w:t>718</w:t>
            </w:r>
          </w:p>
        </w:tc>
        <w:tc>
          <w:tcPr>
            <w:tcW w:w="1104" w:type="dxa"/>
            <w:noWrap/>
          </w:tcPr>
          <w:p w14:paraId="4BC1860D" w14:textId="77777777" w:rsidR="0080090C" w:rsidRPr="00205340" w:rsidRDefault="0080090C">
            <w:pPr>
              <w:pStyle w:val="TableText"/>
              <w:keepNext/>
              <w:jc w:val="center"/>
              <w:rPr>
                <w:rFonts w:cs="Calibri"/>
                <w:szCs w:val="20"/>
              </w:rPr>
            </w:pPr>
            <w:r w:rsidRPr="00205340">
              <w:t>728</w:t>
            </w:r>
          </w:p>
        </w:tc>
        <w:tc>
          <w:tcPr>
            <w:tcW w:w="1106" w:type="dxa"/>
            <w:noWrap/>
          </w:tcPr>
          <w:p w14:paraId="5A4085CD" w14:textId="77777777" w:rsidR="0080090C" w:rsidRPr="00205340" w:rsidRDefault="0080090C">
            <w:pPr>
              <w:pStyle w:val="TableText"/>
              <w:keepNext/>
              <w:jc w:val="center"/>
              <w:rPr>
                <w:rFonts w:cs="Calibri"/>
                <w:szCs w:val="20"/>
              </w:rPr>
            </w:pPr>
            <w:r w:rsidRPr="00205340">
              <w:t>737</w:t>
            </w:r>
          </w:p>
        </w:tc>
        <w:tc>
          <w:tcPr>
            <w:tcW w:w="1105" w:type="dxa"/>
            <w:noWrap/>
          </w:tcPr>
          <w:p w14:paraId="7859E495" w14:textId="77777777" w:rsidR="0080090C" w:rsidRPr="00205340" w:rsidRDefault="0080090C">
            <w:pPr>
              <w:pStyle w:val="TableText"/>
              <w:keepNext/>
              <w:jc w:val="center"/>
              <w:rPr>
                <w:rFonts w:cs="Calibri"/>
                <w:szCs w:val="20"/>
              </w:rPr>
            </w:pPr>
            <w:r w:rsidRPr="00205340">
              <w:t>746</w:t>
            </w:r>
          </w:p>
        </w:tc>
        <w:tc>
          <w:tcPr>
            <w:tcW w:w="1105" w:type="dxa"/>
            <w:noWrap/>
          </w:tcPr>
          <w:p w14:paraId="2BA3238A" w14:textId="77777777" w:rsidR="0080090C" w:rsidRPr="00205340" w:rsidRDefault="0080090C">
            <w:pPr>
              <w:pStyle w:val="TableText"/>
              <w:keepNext/>
              <w:jc w:val="center"/>
              <w:rPr>
                <w:rFonts w:cs="Calibri"/>
                <w:szCs w:val="20"/>
              </w:rPr>
            </w:pPr>
            <w:r w:rsidRPr="00205340">
              <w:t>755</w:t>
            </w:r>
          </w:p>
        </w:tc>
        <w:tc>
          <w:tcPr>
            <w:tcW w:w="1106" w:type="dxa"/>
            <w:noWrap/>
          </w:tcPr>
          <w:p w14:paraId="2C971EE7" w14:textId="77777777" w:rsidR="0080090C" w:rsidRPr="00205340" w:rsidRDefault="0080090C">
            <w:pPr>
              <w:pStyle w:val="TableText"/>
              <w:keepNext/>
              <w:jc w:val="center"/>
              <w:rPr>
                <w:rFonts w:cs="Calibri"/>
                <w:szCs w:val="20"/>
              </w:rPr>
            </w:pPr>
            <w:r w:rsidRPr="00205340">
              <w:t>763</w:t>
            </w:r>
          </w:p>
        </w:tc>
      </w:tr>
      <w:tr w:rsidR="0080090C" w:rsidRPr="00205340" w14:paraId="6DF8E7AD" w14:textId="77777777">
        <w:trPr>
          <w:cantSplit/>
        </w:trPr>
        <w:tc>
          <w:tcPr>
            <w:tcW w:w="9020" w:type="dxa"/>
            <w:gridSpan w:val="7"/>
            <w:noWrap/>
          </w:tcPr>
          <w:p w14:paraId="7D20CA2C" w14:textId="77777777" w:rsidR="0080090C" w:rsidRPr="00205340" w:rsidRDefault="0080090C">
            <w:pPr>
              <w:pStyle w:val="TableText"/>
              <w:keepNext/>
              <w:rPr>
                <w:rFonts w:cs="Calibri"/>
                <w:b/>
                <w:bCs/>
                <w:szCs w:val="20"/>
              </w:rPr>
            </w:pPr>
            <w:r w:rsidRPr="00205340">
              <w:rPr>
                <w:b/>
                <w:bCs/>
              </w:rPr>
              <w:t>Patients with HMA</w:t>
            </w:r>
          </w:p>
        </w:tc>
      </w:tr>
      <w:tr w:rsidR="004D521D" w:rsidRPr="00205340" w14:paraId="29F5CFD1" w14:textId="77777777" w:rsidTr="000153D7">
        <w:trPr>
          <w:cantSplit/>
        </w:trPr>
        <w:tc>
          <w:tcPr>
            <w:tcW w:w="2390" w:type="dxa"/>
            <w:noWrap/>
            <w:hideMark/>
          </w:tcPr>
          <w:p w14:paraId="00DCD50F" w14:textId="77777777" w:rsidR="0080090C" w:rsidRPr="00205340" w:rsidRDefault="0080090C">
            <w:pPr>
              <w:pStyle w:val="TableText"/>
              <w:keepNext/>
            </w:pPr>
            <w:r w:rsidRPr="00205340">
              <w:t xml:space="preserve">Incident patients with severe HMA treated with marstacimab </w:t>
            </w:r>
          </w:p>
        </w:tc>
        <w:tc>
          <w:tcPr>
            <w:tcW w:w="1104" w:type="dxa"/>
            <w:noWrap/>
            <w:vAlign w:val="center"/>
            <w:hideMark/>
          </w:tcPr>
          <w:p w14:paraId="32E641A5" w14:textId="1E874A1F" w:rsidR="0080090C" w:rsidRPr="006459F6" w:rsidRDefault="00DF546B">
            <w:pPr>
              <w:pStyle w:val="TableText"/>
              <w:keepNext/>
              <w:jc w:val="center"/>
              <w:rPr>
                <w:highlight w:val="yellow"/>
              </w:rPr>
            </w:pPr>
            <w:r>
              <w:rPr>
                <w:b/>
                <w:bCs/>
              </w:rPr>
              <w:t>redacted</w:t>
            </w:r>
          </w:p>
        </w:tc>
        <w:tc>
          <w:tcPr>
            <w:tcW w:w="1104" w:type="dxa"/>
            <w:noWrap/>
            <w:vAlign w:val="center"/>
            <w:hideMark/>
          </w:tcPr>
          <w:p w14:paraId="46711C53" w14:textId="4056289D" w:rsidR="0080090C" w:rsidRPr="006459F6" w:rsidRDefault="00DF546B">
            <w:pPr>
              <w:pStyle w:val="TableText"/>
              <w:keepNext/>
              <w:jc w:val="center"/>
              <w:rPr>
                <w:highlight w:val="yellow"/>
              </w:rPr>
            </w:pPr>
            <w:r>
              <w:rPr>
                <w:b/>
                <w:bCs/>
              </w:rPr>
              <w:t>redacted</w:t>
            </w:r>
          </w:p>
        </w:tc>
        <w:tc>
          <w:tcPr>
            <w:tcW w:w="1106" w:type="dxa"/>
            <w:noWrap/>
            <w:vAlign w:val="center"/>
            <w:hideMark/>
          </w:tcPr>
          <w:p w14:paraId="7C588922" w14:textId="6D7C475F" w:rsidR="0080090C" w:rsidRPr="006459F6" w:rsidRDefault="00DF546B">
            <w:pPr>
              <w:pStyle w:val="TableText"/>
              <w:keepNext/>
              <w:jc w:val="center"/>
              <w:rPr>
                <w:highlight w:val="yellow"/>
              </w:rPr>
            </w:pPr>
            <w:r>
              <w:rPr>
                <w:b/>
                <w:bCs/>
              </w:rPr>
              <w:t>redacted</w:t>
            </w:r>
          </w:p>
        </w:tc>
        <w:tc>
          <w:tcPr>
            <w:tcW w:w="1105" w:type="dxa"/>
            <w:noWrap/>
            <w:vAlign w:val="center"/>
            <w:hideMark/>
          </w:tcPr>
          <w:p w14:paraId="6B91D1F0" w14:textId="05A10D79" w:rsidR="0080090C" w:rsidRPr="006459F6" w:rsidRDefault="00DF546B">
            <w:pPr>
              <w:pStyle w:val="TableText"/>
              <w:keepNext/>
              <w:jc w:val="center"/>
              <w:rPr>
                <w:highlight w:val="yellow"/>
              </w:rPr>
            </w:pPr>
            <w:r>
              <w:rPr>
                <w:b/>
                <w:bCs/>
              </w:rPr>
              <w:t>redacted</w:t>
            </w:r>
          </w:p>
        </w:tc>
        <w:tc>
          <w:tcPr>
            <w:tcW w:w="1105" w:type="dxa"/>
            <w:noWrap/>
            <w:vAlign w:val="center"/>
            <w:hideMark/>
          </w:tcPr>
          <w:p w14:paraId="542FD64D" w14:textId="1E02E260" w:rsidR="0080090C" w:rsidRPr="006459F6" w:rsidRDefault="00DF546B">
            <w:pPr>
              <w:pStyle w:val="TableText"/>
              <w:keepNext/>
              <w:jc w:val="center"/>
              <w:rPr>
                <w:highlight w:val="yellow"/>
              </w:rPr>
            </w:pPr>
            <w:r>
              <w:rPr>
                <w:b/>
                <w:bCs/>
              </w:rPr>
              <w:t>redacted</w:t>
            </w:r>
          </w:p>
        </w:tc>
        <w:tc>
          <w:tcPr>
            <w:tcW w:w="1106" w:type="dxa"/>
            <w:noWrap/>
            <w:vAlign w:val="center"/>
            <w:hideMark/>
          </w:tcPr>
          <w:p w14:paraId="4A3D3A63" w14:textId="7218E260" w:rsidR="0080090C" w:rsidRPr="006459F6" w:rsidRDefault="00DF546B">
            <w:pPr>
              <w:pStyle w:val="TableText"/>
              <w:keepNext/>
              <w:jc w:val="center"/>
              <w:rPr>
                <w:highlight w:val="yellow"/>
              </w:rPr>
            </w:pPr>
            <w:r>
              <w:rPr>
                <w:b/>
                <w:bCs/>
              </w:rPr>
              <w:t>redacted</w:t>
            </w:r>
          </w:p>
        </w:tc>
      </w:tr>
      <w:tr w:rsidR="004D521D" w:rsidRPr="00205340" w14:paraId="5231F394" w14:textId="77777777" w:rsidTr="000153D7">
        <w:trPr>
          <w:cantSplit/>
        </w:trPr>
        <w:tc>
          <w:tcPr>
            <w:tcW w:w="2390" w:type="dxa"/>
            <w:noWrap/>
          </w:tcPr>
          <w:p w14:paraId="56325553" w14:textId="77777777" w:rsidR="0080090C" w:rsidRPr="00205340" w:rsidRDefault="0080090C">
            <w:pPr>
              <w:pStyle w:val="TableText"/>
              <w:keepNext/>
            </w:pPr>
            <w:r w:rsidRPr="00205340">
              <w:t xml:space="preserve">Remaining prevalent patients with severe HMA treated with marstacimab </w:t>
            </w:r>
          </w:p>
        </w:tc>
        <w:tc>
          <w:tcPr>
            <w:tcW w:w="1104" w:type="dxa"/>
            <w:noWrap/>
            <w:vAlign w:val="center"/>
          </w:tcPr>
          <w:p w14:paraId="6400272B" w14:textId="24693EAF" w:rsidR="0080090C" w:rsidRPr="006459F6" w:rsidRDefault="00DF546B">
            <w:pPr>
              <w:pStyle w:val="TableText"/>
              <w:keepNext/>
              <w:jc w:val="center"/>
              <w:rPr>
                <w:highlight w:val="yellow"/>
              </w:rPr>
            </w:pPr>
            <w:r>
              <w:rPr>
                <w:b/>
                <w:bCs/>
              </w:rPr>
              <w:t>redacted</w:t>
            </w:r>
          </w:p>
        </w:tc>
        <w:tc>
          <w:tcPr>
            <w:tcW w:w="1104" w:type="dxa"/>
            <w:noWrap/>
            <w:vAlign w:val="center"/>
          </w:tcPr>
          <w:p w14:paraId="74EB8A8A" w14:textId="1FAB7D22" w:rsidR="0080090C" w:rsidRPr="006459F6" w:rsidRDefault="00DF546B">
            <w:pPr>
              <w:pStyle w:val="TableText"/>
              <w:keepNext/>
              <w:jc w:val="center"/>
              <w:rPr>
                <w:highlight w:val="yellow"/>
              </w:rPr>
            </w:pPr>
            <w:r>
              <w:rPr>
                <w:b/>
                <w:bCs/>
              </w:rPr>
              <w:t>redacted</w:t>
            </w:r>
          </w:p>
        </w:tc>
        <w:tc>
          <w:tcPr>
            <w:tcW w:w="1106" w:type="dxa"/>
            <w:noWrap/>
            <w:vAlign w:val="center"/>
          </w:tcPr>
          <w:p w14:paraId="0B2EBBE2" w14:textId="3840803F" w:rsidR="0080090C" w:rsidRPr="006459F6" w:rsidRDefault="00DF546B">
            <w:pPr>
              <w:pStyle w:val="TableText"/>
              <w:keepNext/>
              <w:jc w:val="center"/>
              <w:rPr>
                <w:highlight w:val="yellow"/>
              </w:rPr>
            </w:pPr>
            <w:r>
              <w:rPr>
                <w:b/>
                <w:bCs/>
              </w:rPr>
              <w:t>redacted</w:t>
            </w:r>
          </w:p>
        </w:tc>
        <w:tc>
          <w:tcPr>
            <w:tcW w:w="1105" w:type="dxa"/>
            <w:noWrap/>
            <w:vAlign w:val="center"/>
          </w:tcPr>
          <w:p w14:paraId="1AEA885F" w14:textId="1AED2CFD" w:rsidR="0080090C" w:rsidRPr="006459F6" w:rsidRDefault="00DF546B">
            <w:pPr>
              <w:pStyle w:val="TableText"/>
              <w:keepNext/>
              <w:jc w:val="center"/>
              <w:rPr>
                <w:highlight w:val="yellow"/>
              </w:rPr>
            </w:pPr>
            <w:r>
              <w:rPr>
                <w:b/>
                <w:bCs/>
              </w:rPr>
              <w:t>redacted</w:t>
            </w:r>
          </w:p>
        </w:tc>
        <w:tc>
          <w:tcPr>
            <w:tcW w:w="1105" w:type="dxa"/>
            <w:noWrap/>
            <w:vAlign w:val="center"/>
          </w:tcPr>
          <w:p w14:paraId="327E71FD" w14:textId="42E48233" w:rsidR="0080090C" w:rsidRPr="006459F6" w:rsidRDefault="00DF546B">
            <w:pPr>
              <w:pStyle w:val="TableText"/>
              <w:keepNext/>
              <w:jc w:val="center"/>
              <w:rPr>
                <w:highlight w:val="yellow"/>
              </w:rPr>
            </w:pPr>
            <w:r>
              <w:rPr>
                <w:b/>
                <w:bCs/>
              </w:rPr>
              <w:t>redacted</w:t>
            </w:r>
          </w:p>
        </w:tc>
        <w:tc>
          <w:tcPr>
            <w:tcW w:w="1106" w:type="dxa"/>
            <w:noWrap/>
            <w:vAlign w:val="center"/>
          </w:tcPr>
          <w:p w14:paraId="37E7C9B5" w14:textId="1DFF3826" w:rsidR="0080090C" w:rsidRPr="006459F6" w:rsidRDefault="00DF546B">
            <w:pPr>
              <w:pStyle w:val="TableText"/>
              <w:keepNext/>
              <w:jc w:val="center"/>
              <w:rPr>
                <w:highlight w:val="yellow"/>
              </w:rPr>
            </w:pPr>
            <w:r>
              <w:rPr>
                <w:b/>
                <w:bCs/>
              </w:rPr>
              <w:t>redacted</w:t>
            </w:r>
          </w:p>
        </w:tc>
      </w:tr>
      <w:tr w:rsidR="004D521D" w:rsidRPr="00205340" w14:paraId="3BCC2DBD" w14:textId="77777777" w:rsidTr="000153D7">
        <w:trPr>
          <w:cantSplit/>
        </w:trPr>
        <w:tc>
          <w:tcPr>
            <w:tcW w:w="2390" w:type="dxa"/>
            <w:noWrap/>
          </w:tcPr>
          <w:p w14:paraId="615A51E6" w14:textId="77777777" w:rsidR="0080090C" w:rsidRPr="00205340" w:rsidRDefault="0080090C">
            <w:pPr>
              <w:pStyle w:val="TableText"/>
              <w:keepNext/>
            </w:pPr>
            <w:r w:rsidRPr="00205340">
              <w:t>Total patients treated with marstacimab for HMA</w:t>
            </w:r>
          </w:p>
        </w:tc>
        <w:tc>
          <w:tcPr>
            <w:tcW w:w="1104" w:type="dxa"/>
            <w:noWrap/>
            <w:vAlign w:val="center"/>
          </w:tcPr>
          <w:p w14:paraId="6104DC4A" w14:textId="03BC81CE" w:rsidR="0080090C" w:rsidRPr="006459F6" w:rsidRDefault="00DF546B">
            <w:pPr>
              <w:pStyle w:val="TableText"/>
              <w:keepNext/>
              <w:jc w:val="center"/>
              <w:rPr>
                <w:b/>
                <w:bCs/>
                <w:highlight w:val="yellow"/>
              </w:rPr>
            </w:pPr>
            <w:r>
              <w:rPr>
                <w:b/>
                <w:bCs/>
              </w:rPr>
              <w:t>redacted</w:t>
            </w:r>
          </w:p>
        </w:tc>
        <w:tc>
          <w:tcPr>
            <w:tcW w:w="1104" w:type="dxa"/>
            <w:noWrap/>
            <w:vAlign w:val="center"/>
          </w:tcPr>
          <w:p w14:paraId="1283E6C4" w14:textId="0BE5C127" w:rsidR="0080090C" w:rsidRPr="006459F6" w:rsidRDefault="00DF546B">
            <w:pPr>
              <w:pStyle w:val="TableText"/>
              <w:keepNext/>
              <w:jc w:val="center"/>
              <w:rPr>
                <w:b/>
                <w:bCs/>
                <w:highlight w:val="yellow"/>
              </w:rPr>
            </w:pPr>
            <w:r>
              <w:rPr>
                <w:b/>
                <w:bCs/>
              </w:rPr>
              <w:t>redacted</w:t>
            </w:r>
          </w:p>
        </w:tc>
        <w:tc>
          <w:tcPr>
            <w:tcW w:w="1106" w:type="dxa"/>
            <w:noWrap/>
            <w:vAlign w:val="center"/>
          </w:tcPr>
          <w:p w14:paraId="6938A58C" w14:textId="3DFE90CB" w:rsidR="0080090C" w:rsidRPr="006459F6" w:rsidRDefault="00DF546B">
            <w:pPr>
              <w:pStyle w:val="TableText"/>
              <w:keepNext/>
              <w:jc w:val="center"/>
              <w:rPr>
                <w:b/>
                <w:bCs/>
                <w:highlight w:val="yellow"/>
              </w:rPr>
            </w:pPr>
            <w:r>
              <w:rPr>
                <w:b/>
                <w:bCs/>
              </w:rPr>
              <w:t>redacted</w:t>
            </w:r>
          </w:p>
        </w:tc>
        <w:tc>
          <w:tcPr>
            <w:tcW w:w="1105" w:type="dxa"/>
            <w:noWrap/>
            <w:vAlign w:val="center"/>
          </w:tcPr>
          <w:p w14:paraId="3D33DC7A" w14:textId="6E0A3F7B" w:rsidR="0080090C" w:rsidRPr="006459F6" w:rsidRDefault="00DF546B">
            <w:pPr>
              <w:pStyle w:val="TableText"/>
              <w:keepNext/>
              <w:jc w:val="center"/>
              <w:rPr>
                <w:b/>
                <w:bCs/>
                <w:highlight w:val="yellow"/>
              </w:rPr>
            </w:pPr>
            <w:r>
              <w:rPr>
                <w:b/>
                <w:bCs/>
              </w:rPr>
              <w:t>redacted</w:t>
            </w:r>
          </w:p>
        </w:tc>
        <w:tc>
          <w:tcPr>
            <w:tcW w:w="1105" w:type="dxa"/>
            <w:noWrap/>
            <w:vAlign w:val="center"/>
          </w:tcPr>
          <w:p w14:paraId="099E0E63" w14:textId="7D7BF76C" w:rsidR="0080090C" w:rsidRPr="006459F6" w:rsidRDefault="00DF546B">
            <w:pPr>
              <w:pStyle w:val="TableText"/>
              <w:keepNext/>
              <w:jc w:val="center"/>
              <w:rPr>
                <w:b/>
                <w:bCs/>
                <w:highlight w:val="yellow"/>
              </w:rPr>
            </w:pPr>
            <w:r>
              <w:rPr>
                <w:b/>
                <w:bCs/>
              </w:rPr>
              <w:t>redacted</w:t>
            </w:r>
          </w:p>
        </w:tc>
        <w:tc>
          <w:tcPr>
            <w:tcW w:w="1106" w:type="dxa"/>
            <w:noWrap/>
            <w:vAlign w:val="center"/>
          </w:tcPr>
          <w:p w14:paraId="0F9AAC2F" w14:textId="66D9E8C3" w:rsidR="0080090C" w:rsidRPr="006459F6" w:rsidRDefault="00DF546B">
            <w:pPr>
              <w:pStyle w:val="TableText"/>
              <w:keepNext/>
              <w:jc w:val="center"/>
              <w:rPr>
                <w:b/>
                <w:bCs/>
                <w:highlight w:val="yellow"/>
              </w:rPr>
            </w:pPr>
            <w:r>
              <w:rPr>
                <w:b/>
                <w:bCs/>
              </w:rPr>
              <w:t>redacted</w:t>
            </w:r>
          </w:p>
        </w:tc>
      </w:tr>
      <w:tr w:rsidR="0080090C" w:rsidRPr="00205340" w14:paraId="5792E347" w14:textId="77777777">
        <w:trPr>
          <w:cantSplit/>
        </w:trPr>
        <w:tc>
          <w:tcPr>
            <w:tcW w:w="9020" w:type="dxa"/>
            <w:gridSpan w:val="7"/>
            <w:noWrap/>
          </w:tcPr>
          <w:p w14:paraId="23037B03" w14:textId="77777777" w:rsidR="0080090C" w:rsidRPr="00205340" w:rsidRDefault="0080090C">
            <w:pPr>
              <w:pStyle w:val="TableText"/>
              <w:keepNext/>
              <w:rPr>
                <w:rFonts w:cs="Calibri"/>
                <w:b/>
                <w:bCs/>
                <w:szCs w:val="20"/>
              </w:rPr>
            </w:pPr>
            <w:r w:rsidRPr="00205340">
              <w:rPr>
                <w:b/>
                <w:bCs/>
              </w:rPr>
              <w:t>Patients with HMB</w:t>
            </w:r>
          </w:p>
        </w:tc>
      </w:tr>
      <w:tr w:rsidR="004D521D" w:rsidRPr="00205340" w14:paraId="1B1830B8" w14:textId="77777777" w:rsidTr="00272102">
        <w:trPr>
          <w:cantSplit/>
        </w:trPr>
        <w:tc>
          <w:tcPr>
            <w:tcW w:w="2390" w:type="dxa"/>
            <w:noWrap/>
          </w:tcPr>
          <w:p w14:paraId="3925F5AF" w14:textId="77777777" w:rsidR="0080090C" w:rsidRPr="00205340" w:rsidRDefault="0080090C">
            <w:pPr>
              <w:pStyle w:val="TableText"/>
              <w:keepNext/>
              <w:rPr>
                <w:i/>
                <w:iCs/>
              </w:rPr>
            </w:pPr>
            <w:r w:rsidRPr="00205340">
              <w:t>Incident patients with severe HMB treated with marstacimab</w:t>
            </w:r>
          </w:p>
        </w:tc>
        <w:tc>
          <w:tcPr>
            <w:tcW w:w="1104" w:type="dxa"/>
            <w:noWrap/>
            <w:vAlign w:val="center"/>
          </w:tcPr>
          <w:p w14:paraId="004EFAB8" w14:textId="03F371FF" w:rsidR="0080090C" w:rsidRPr="006459F6" w:rsidRDefault="00DF546B">
            <w:pPr>
              <w:pStyle w:val="TableText"/>
              <w:keepNext/>
              <w:jc w:val="center"/>
              <w:rPr>
                <w:rFonts w:cs="Calibri"/>
                <w:i/>
                <w:iCs/>
                <w:szCs w:val="20"/>
                <w:highlight w:val="yellow"/>
              </w:rPr>
            </w:pPr>
            <w:r>
              <w:rPr>
                <w:b/>
                <w:bCs/>
              </w:rPr>
              <w:t>redacted</w:t>
            </w:r>
          </w:p>
        </w:tc>
        <w:tc>
          <w:tcPr>
            <w:tcW w:w="1104" w:type="dxa"/>
            <w:noWrap/>
            <w:vAlign w:val="center"/>
          </w:tcPr>
          <w:p w14:paraId="70F50489" w14:textId="6F1365D6" w:rsidR="0080090C" w:rsidRPr="006459F6" w:rsidRDefault="00DF546B">
            <w:pPr>
              <w:pStyle w:val="TableText"/>
              <w:keepNext/>
              <w:jc w:val="center"/>
              <w:rPr>
                <w:rFonts w:cs="Calibri"/>
                <w:i/>
                <w:iCs/>
                <w:szCs w:val="20"/>
                <w:highlight w:val="yellow"/>
              </w:rPr>
            </w:pPr>
            <w:r>
              <w:rPr>
                <w:b/>
                <w:bCs/>
              </w:rPr>
              <w:t>redacted</w:t>
            </w:r>
          </w:p>
        </w:tc>
        <w:tc>
          <w:tcPr>
            <w:tcW w:w="1106" w:type="dxa"/>
            <w:noWrap/>
            <w:vAlign w:val="center"/>
          </w:tcPr>
          <w:p w14:paraId="02BBF59C" w14:textId="309AD0D9" w:rsidR="0080090C" w:rsidRPr="006459F6" w:rsidRDefault="00DF546B">
            <w:pPr>
              <w:pStyle w:val="TableText"/>
              <w:keepNext/>
              <w:jc w:val="center"/>
              <w:rPr>
                <w:rFonts w:cs="Calibri"/>
                <w:i/>
                <w:iCs/>
                <w:szCs w:val="20"/>
                <w:highlight w:val="yellow"/>
              </w:rPr>
            </w:pPr>
            <w:r>
              <w:rPr>
                <w:b/>
                <w:bCs/>
              </w:rPr>
              <w:t>redacted</w:t>
            </w:r>
          </w:p>
        </w:tc>
        <w:tc>
          <w:tcPr>
            <w:tcW w:w="1105" w:type="dxa"/>
            <w:noWrap/>
            <w:vAlign w:val="center"/>
          </w:tcPr>
          <w:p w14:paraId="7FCA0A81" w14:textId="529B341C" w:rsidR="0080090C" w:rsidRPr="006459F6" w:rsidRDefault="00DF546B">
            <w:pPr>
              <w:pStyle w:val="TableText"/>
              <w:keepNext/>
              <w:jc w:val="center"/>
              <w:rPr>
                <w:rFonts w:cs="Calibri"/>
                <w:i/>
                <w:iCs/>
                <w:szCs w:val="20"/>
                <w:highlight w:val="yellow"/>
              </w:rPr>
            </w:pPr>
            <w:r>
              <w:rPr>
                <w:b/>
                <w:bCs/>
              </w:rPr>
              <w:t>redacted</w:t>
            </w:r>
          </w:p>
        </w:tc>
        <w:tc>
          <w:tcPr>
            <w:tcW w:w="1105" w:type="dxa"/>
            <w:noWrap/>
            <w:vAlign w:val="center"/>
          </w:tcPr>
          <w:p w14:paraId="0501F6D9" w14:textId="4D45F873" w:rsidR="0080090C" w:rsidRPr="006459F6" w:rsidRDefault="00DF546B">
            <w:pPr>
              <w:pStyle w:val="TableText"/>
              <w:keepNext/>
              <w:jc w:val="center"/>
              <w:rPr>
                <w:rFonts w:cs="Calibri"/>
                <w:i/>
                <w:iCs/>
                <w:szCs w:val="20"/>
                <w:highlight w:val="yellow"/>
              </w:rPr>
            </w:pPr>
            <w:r>
              <w:rPr>
                <w:b/>
                <w:bCs/>
              </w:rPr>
              <w:t>redacted</w:t>
            </w:r>
          </w:p>
        </w:tc>
        <w:tc>
          <w:tcPr>
            <w:tcW w:w="1106" w:type="dxa"/>
            <w:noWrap/>
            <w:vAlign w:val="center"/>
          </w:tcPr>
          <w:p w14:paraId="37679050" w14:textId="2B568A83" w:rsidR="0080090C" w:rsidRPr="006459F6" w:rsidRDefault="00DF546B">
            <w:pPr>
              <w:pStyle w:val="TableText"/>
              <w:keepNext/>
              <w:jc w:val="center"/>
              <w:rPr>
                <w:rFonts w:cs="Calibri"/>
                <w:i/>
                <w:iCs/>
                <w:szCs w:val="20"/>
                <w:highlight w:val="yellow"/>
              </w:rPr>
            </w:pPr>
            <w:r>
              <w:rPr>
                <w:b/>
                <w:bCs/>
              </w:rPr>
              <w:t>redacted</w:t>
            </w:r>
          </w:p>
        </w:tc>
      </w:tr>
      <w:tr w:rsidR="004D521D" w:rsidRPr="00205340" w14:paraId="4FE6BB37" w14:textId="77777777" w:rsidTr="00272102">
        <w:trPr>
          <w:cantSplit/>
        </w:trPr>
        <w:tc>
          <w:tcPr>
            <w:tcW w:w="2390" w:type="dxa"/>
            <w:noWrap/>
          </w:tcPr>
          <w:p w14:paraId="0A11CCA7" w14:textId="77777777" w:rsidR="0080090C" w:rsidRPr="00205340" w:rsidRDefault="0080090C">
            <w:pPr>
              <w:pStyle w:val="TableText"/>
              <w:keepNext/>
              <w:rPr>
                <w:i/>
                <w:iCs/>
              </w:rPr>
            </w:pPr>
            <w:r w:rsidRPr="00205340">
              <w:t>Remaining prevalent patients with severe HMB treated with marstacimab</w:t>
            </w:r>
          </w:p>
        </w:tc>
        <w:tc>
          <w:tcPr>
            <w:tcW w:w="1104" w:type="dxa"/>
            <w:noWrap/>
            <w:vAlign w:val="center"/>
          </w:tcPr>
          <w:p w14:paraId="67E4D2EB" w14:textId="2EEBD801" w:rsidR="0080090C" w:rsidRPr="006459F6" w:rsidRDefault="00DF546B">
            <w:pPr>
              <w:pStyle w:val="TableText"/>
              <w:keepNext/>
              <w:jc w:val="center"/>
              <w:rPr>
                <w:rFonts w:cs="Calibri"/>
                <w:i/>
                <w:iCs/>
                <w:szCs w:val="20"/>
                <w:highlight w:val="yellow"/>
              </w:rPr>
            </w:pPr>
            <w:r>
              <w:rPr>
                <w:b/>
                <w:bCs/>
              </w:rPr>
              <w:t>redacted</w:t>
            </w:r>
          </w:p>
        </w:tc>
        <w:tc>
          <w:tcPr>
            <w:tcW w:w="1104" w:type="dxa"/>
            <w:noWrap/>
            <w:vAlign w:val="center"/>
          </w:tcPr>
          <w:p w14:paraId="507C80AC" w14:textId="09FEC418" w:rsidR="0080090C" w:rsidRPr="006459F6" w:rsidRDefault="00DF546B">
            <w:pPr>
              <w:pStyle w:val="TableText"/>
              <w:keepNext/>
              <w:jc w:val="center"/>
              <w:rPr>
                <w:rFonts w:cs="Calibri"/>
                <w:i/>
                <w:iCs/>
                <w:szCs w:val="20"/>
                <w:highlight w:val="yellow"/>
              </w:rPr>
            </w:pPr>
            <w:r>
              <w:rPr>
                <w:b/>
                <w:bCs/>
              </w:rPr>
              <w:t>redacted</w:t>
            </w:r>
          </w:p>
        </w:tc>
        <w:tc>
          <w:tcPr>
            <w:tcW w:w="1106" w:type="dxa"/>
            <w:noWrap/>
            <w:vAlign w:val="center"/>
          </w:tcPr>
          <w:p w14:paraId="536137A0" w14:textId="6A5C765C" w:rsidR="0080090C" w:rsidRPr="006459F6" w:rsidRDefault="00DF546B">
            <w:pPr>
              <w:pStyle w:val="TableText"/>
              <w:keepNext/>
              <w:jc w:val="center"/>
              <w:rPr>
                <w:rFonts w:cs="Calibri"/>
                <w:i/>
                <w:iCs/>
                <w:szCs w:val="20"/>
                <w:highlight w:val="yellow"/>
              </w:rPr>
            </w:pPr>
            <w:r>
              <w:rPr>
                <w:b/>
                <w:bCs/>
              </w:rPr>
              <w:t>redacted</w:t>
            </w:r>
          </w:p>
        </w:tc>
        <w:tc>
          <w:tcPr>
            <w:tcW w:w="1105" w:type="dxa"/>
            <w:noWrap/>
            <w:vAlign w:val="center"/>
          </w:tcPr>
          <w:p w14:paraId="539FD99A" w14:textId="6E8F3A7A" w:rsidR="0080090C" w:rsidRPr="006459F6" w:rsidRDefault="00DF546B">
            <w:pPr>
              <w:pStyle w:val="TableText"/>
              <w:keepNext/>
              <w:jc w:val="center"/>
              <w:rPr>
                <w:rFonts w:cs="Calibri"/>
                <w:i/>
                <w:iCs/>
                <w:szCs w:val="20"/>
                <w:highlight w:val="yellow"/>
              </w:rPr>
            </w:pPr>
            <w:r>
              <w:rPr>
                <w:b/>
                <w:bCs/>
              </w:rPr>
              <w:t>redacted</w:t>
            </w:r>
          </w:p>
        </w:tc>
        <w:tc>
          <w:tcPr>
            <w:tcW w:w="1105" w:type="dxa"/>
            <w:noWrap/>
            <w:vAlign w:val="center"/>
          </w:tcPr>
          <w:p w14:paraId="366BD90A" w14:textId="5C05D45A" w:rsidR="0080090C" w:rsidRPr="006459F6" w:rsidRDefault="00DF546B">
            <w:pPr>
              <w:pStyle w:val="TableText"/>
              <w:keepNext/>
              <w:jc w:val="center"/>
              <w:rPr>
                <w:rFonts w:cs="Calibri"/>
                <w:i/>
                <w:iCs/>
                <w:szCs w:val="20"/>
                <w:highlight w:val="yellow"/>
              </w:rPr>
            </w:pPr>
            <w:r>
              <w:rPr>
                <w:b/>
                <w:bCs/>
              </w:rPr>
              <w:t>redacted</w:t>
            </w:r>
          </w:p>
        </w:tc>
        <w:tc>
          <w:tcPr>
            <w:tcW w:w="1106" w:type="dxa"/>
            <w:noWrap/>
            <w:vAlign w:val="center"/>
          </w:tcPr>
          <w:p w14:paraId="62722448" w14:textId="3897BF1C" w:rsidR="0080090C" w:rsidRPr="006459F6" w:rsidRDefault="00DF546B">
            <w:pPr>
              <w:pStyle w:val="TableText"/>
              <w:keepNext/>
              <w:jc w:val="center"/>
              <w:rPr>
                <w:rFonts w:cs="Calibri"/>
                <w:i/>
                <w:iCs/>
                <w:szCs w:val="20"/>
                <w:highlight w:val="yellow"/>
              </w:rPr>
            </w:pPr>
            <w:r>
              <w:rPr>
                <w:b/>
                <w:bCs/>
              </w:rPr>
              <w:t>redacted</w:t>
            </w:r>
          </w:p>
        </w:tc>
      </w:tr>
      <w:tr w:rsidR="004D521D" w:rsidRPr="00205340" w14:paraId="49A53D1A" w14:textId="77777777" w:rsidTr="00272102">
        <w:trPr>
          <w:cantSplit/>
        </w:trPr>
        <w:tc>
          <w:tcPr>
            <w:tcW w:w="2390" w:type="dxa"/>
            <w:noWrap/>
          </w:tcPr>
          <w:p w14:paraId="61A91DBF" w14:textId="77777777" w:rsidR="0080090C" w:rsidRPr="00205340" w:rsidRDefault="0080090C">
            <w:pPr>
              <w:pStyle w:val="TableText"/>
              <w:keepNext/>
              <w:rPr>
                <w:i/>
                <w:iCs/>
              </w:rPr>
            </w:pPr>
            <w:r w:rsidRPr="00205340">
              <w:t>Total patients treated with marstacimab for HMB</w:t>
            </w:r>
          </w:p>
        </w:tc>
        <w:tc>
          <w:tcPr>
            <w:tcW w:w="1104" w:type="dxa"/>
            <w:noWrap/>
            <w:vAlign w:val="center"/>
          </w:tcPr>
          <w:p w14:paraId="2FE71063" w14:textId="39BD3F97" w:rsidR="0080090C" w:rsidRPr="006459F6" w:rsidRDefault="00DF546B">
            <w:pPr>
              <w:pStyle w:val="TableText"/>
              <w:keepNext/>
              <w:jc w:val="center"/>
              <w:rPr>
                <w:rFonts w:cs="Calibri"/>
                <w:b/>
                <w:bCs/>
                <w:i/>
                <w:iCs/>
                <w:szCs w:val="20"/>
                <w:highlight w:val="yellow"/>
              </w:rPr>
            </w:pPr>
            <w:r>
              <w:rPr>
                <w:b/>
                <w:bCs/>
              </w:rPr>
              <w:t>redacted</w:t>
            </w:r>
          </w:p>
        </w:tc>
        <w:tc>
          <w:tcPr>
            <w:tcW w:w="1104" w:type="dxa"/>
            <w:noWrap/>
            <w:vAlign w:val="center"/>
          </w:tcPr>
          <w:p w14:paraId="4E6C844D" w14:textId="2F3DC5EA" w:rsidR="0080090C" w:rsidRPr="006459F6" w:rsidRDefault="00DF546B">
            <w:pPr>
              <w:pStyle w:val="TableText"/>
              <w:keepNext/>
              <w:jc w:val="center"/>
              <w:rPr>
                <w:rFonts w:cs="Calibri"/>
                <w:b/>
                <w:bCs/>
                <w:i/>
                <w:iCs/>
                <w:szCs w:val="20"/>
                <w:highlight w:val="yellow"/>
              </w:rPr>
            </w:pPr>
            <w:r>
              <w:rPr>
                <w:b/>
                <w:bCs/>
              </w:rPr>
              <w:t>redacted</w:t>
            </w:r>
          </w:p>
        </w:tc>
        <w:tc>
          <w:tcPr>
            <w:tcW w:w="1106" w:type="dxa"/>
            <w:noWrap/>
            <w:vAlign w:val="center"/>
          </w:tcPr>
          <w:p w14:paraId="341C4BC0" w14:textId="218FC962" w:rsidR="0080090C" w:rsidRPr="006459F6" w:rsidRDefault="00DF546B">
            <w:pPr>
              <w:pStyle w:val="TableText"/>
              <w:keepNext/>
              <w:jc w:val="center"/>
              <w:rPr>
                <w:rFonts w:cs="Calibri"/>
                <w:b/>
                <w:bCs/>
                <w:i/>
                <w:iCs/>
                <w:szCs w:val="20"/>
                <w:highlight w:val="yellow"/>
              </w:rPr>
            </w:pPr>
            <w:r>
              <w:rPr>
                <w:b/>
                <w:bCs/>
              </w:rPr>
              <w:t>redacted</w:t>
            </w:r>
          </w:p>
        </w:tc>
        <w:tc>
          <w:tcPr>
            <w:tcW w:w="1105" w:type="dxa"/>
            <w:noWrap/>
            <w:vAlign w:val="center"/>
          </w:tcPr>
          <w:p w14:paraId="3C92CD0E" w14:textId="106517B0" w:rsidR="0080090C" w:rsidRPr="006459F6" w:rsidRDefault="00DF546B">
            <w:pPr>
              <w:pStyle w:val="TableText"/>
              <w:keepNext/>
              <w:jc w:val="center"/>
              <w:rPr>
                <w:rFonts w:cs="Calibri"/>
                <w:b/>
                <w:bCs/>
                <w:i/>
                <w:iCs/>
                <w:szCs w:val="20"/>
                <w:highlight w:val="yellow"/>
              </w:rPr>
            </w:pPr>
            <w:r>
              <w:rPr>
                <w:b/>
                <w:bCs/>
              </w:rPr>
              <w:t>redacted</w:t>
            </w:r>
          </w:p>
        </w:tc>
        <w:tc>
          <w:tcPr>
            <w:tcW w:w="1105" w:type="dxa"/>
            <w:noWrap/>
            <w:vAlign w:val="center"/>
          </w:tcPr>
          <w:p w14:paraId="66D176CA" w14:textId="34C760A6" w:rsidR="0080090C" w:rsidRPr="006459F6" w:rsidRDefault="00DF546B">
            <w:pPr>
              <w:pStyle w:val="TableText"/>
              <w:keepNext/>
              <w:jc w:val="center"/>
              <w:rPr>
                <w:rFonts w:cs="Calibri"/>
                <w:b/>
                <w:bCs/>
                <w:i/>
                <w:iCs/>
                <w:szCs w:val="20"/>
                <w:highlight w:val="yellow"/>
              </w:rPr>
            </w:pPr>
            <w:r>
              <w:rPr>
                <w:b/>
                <w:bCs/>
              </w:rPr>
              <w:t>redacted</w:t>
            </w:r>
          </w:p>
        </w:tc>
        <w:tc>
          <w:tcPr>
            <w:tcW w:w="1106" w:type="dxa"/>
            <w:noWrap/>
            <w:vAlign w:val="center"/>
          </w:tcPr>
          <w:p w14:paraId="0CC70205" w14:textId="43DA7B4F" w:rsidR="0080090C" w:rsidRPr="006459F6" w:rsidRDefault="00DF546B">
            <w:pPr>
              <w:pStyle w:val="TableText"/>
              <w:keepNext/>
              <w:jc w:val="center"/>
              <w:rPr>
                <w:rFonts w:cs="Calibri"/>
                <w:b/>
                <w:bCs/>
                <w:i/>
                <w:iCs/>
                <w:szCs w:val="20"/>
                <w:highlight w:val="yellow"/>
              </w:rPr>
            </w:pPr>
            <w:r>
              <w:rPr>
                <w:b/>
                <w:bCs/>
              </w:rPr>
              <w:t>redacted</w:t>
            </w:r>
          </w:p>
        </w:tc>
      </w:tr>
      <w:tr w:rsidR="004D521D" w:rsidRPr="00205340" w14:paraId="093A683C" w14:textId="77777777" w:rsidTr="00272102">
        <w:trPr>
          <w:cantSplit/>
        </w:trPr>
        <w:tc>
          <w:tcPr>
            <w:tcW w:w="2390" w:type="dxa"/>
            <w:noWrap/>
          </w:tcPr>
          <w:p w14:paraId="6325ECA1" w14:textId="77777777" w:rsidR="0080090C" w:rsidRPr="00205340" w:rsidRDefault="0080090C">
            <w:pPr>
              <w:pStyle w:val="TableText"/>
              <w:keepNext/>
            </w:pPr>
            <w:r w:rsidRPr="00205340">
              <w:t>Total patients treated with marstacimab for HMA/HMB</w:t>
            </w:r>
          </w:p>
        </w:tc>
        <w:tc>
          <w:tcPr>
            <w:tcW w:w="1104" w:type="dxa"/>
            <w:noWrap/>
            <w:vAlign w:val="center"/>
          </w:tcPr>
          <w:p w14:paraId="40F3C2B1" w14:textId="0E34E56B" w:rsidR="0080090C" w:rsidRPr="006459F6" w:rsidRDefault="00DF546B">
            <w:pPr>
              <w:pStyle w:val="TableText"/>
              <w:keepNext/>
              <w:jc w:val="center"/>
              <w:rPr>
                <w:rFonts w:cs="Calibri"/>
                <w:b/>
                <w:bCs/>
                <w:szCs w:val="20"/>
                <w:highlight w:val="yellow"/>
              </w:rPr>
            </w:pPr>
            <w:r>
              <w:rPr>
                <w:b/>
                <w:bCs/>
              </w:rPr>
              <w:t>redacted</w:t>
            </w:r>
          </w:p>
        </w:tc>
        <w:tc>
          <w:tcPr>
            <w:tcW w:w="1104" w:type="dxa"/>
            <w:noWrap/>
            <w:vAlign w:val="center"/>
          </w:tcPr>
          <w:p w14:paraId="6280D0D9" w14:textId="4A4B58ED" w:rsidR="0080090C" w:rsidRPr="006459F6" w:rsidRDefault="00DF546B">
            <w:pPr>
              <w:pStyle w:val="TableText"/>
              <w:keepNext/>
              <w:jc w:val="center"/>
              <w:rPr>
                <w:rFonts w:cs="Calibri"/>
                <w:b/>
                <w:bCs/>
                <w:szCs w:val="20"/>
                <w:highlight w:val="yellow"/>
              </w:rPr>
            </w:pPr>
            <w:r>
              <w:rPr>
                <w:b/>
                <w:bCs/>
              </w:rPr>
              <w:t>redacted</w:t>
            </w:r>
          </w:p>
        </w:tc>
        <w:tc>
          <w:tcPr>
            <w:tcW w:w="1106" w:type="dxa"/>
            <w:noWrap/>
            <w:vAlign w:val="center"/>
          </w:tcPr>
          <w:p w14:paraId="02D8F8CA" w14:textId="151BFF66" w:rsidR="0080090C" w:rsidRPr="006459F6" w:rsidRDefault="00DF546B">
            <w:pPr>
              <w:pStyle w:val="TableText"/>
              <w:keepNext/>
              <w:jc w:val="center"/>
              <w:rPr>
                <w:rFonts w:cs="Calibri"/>
                <w:b/>
                <w:bCs/>
                <w:szCs w:val="20"/>
                <w:highlight w:val="yellow"/>
              </w:rPr>
            </w:pPr>
            <w:r>
              <w:rPr>
                <w:b/>
                <w:bCs/>
              </w:rPr>
              <w:t>redacted</w:t>
            </w:r>
          </w:p>
        </w:tc>
        <w:tc>
          <w:tcPr>
            <w:tcW w:w="1105" w:type="dxa"/>
            <w:noWrap/>
            <w:vAlign w:val="center"/>
          </w:tcPr>
          <w:p w14:paraId="58CD1CB2" w14:textId="27E154A4" w:rsidR="0080090C" w:rsidRPr="006459F6" w:rsidRDefault="00DF546B">
            <w:pPr>
              <w:pStyle w:val="TableText"/>
              <w:keepNext/>
              <w:jc w:val="center"/>
              <w:rPr>
                <w:rFonts w:cs="Calibri"/>
                <w:b/>
                <w:bCs/>
                <w:szCs w:val="20"/>
                <w:highlight w:val="yellow"/>
              </w:rPr>
            </w:pPr>
            <w:r>
              <w:rPr>
                <w:b/>
                <w:bCs/>
              </w:rPr>
              <w:t>redacted</w:t>
            </w:r>
          </w:p>
        </w:tc>
        <w:tc>
          <w:tcPr>
            <w:tcW w:w="1105" w:type="dxa"/>
            <w:noWrap/>
            <w:vAlign w:val="center"/>
          </w:tcPr>
          <w:p w14:paraId="4FD2C529" w14:textId="417D8E93" w:rsidR="0080090C" w:rsidRPr="006459F6" w:rsidRDefault="00DF546B">
            <w:pPr>
              <w:pStyle w:val="TableText"/>
              <w:keepNext/>
              <w:jc w:val="center"/>
              <w:rPr>
                <w:rFonts w:cs="Calibri"/>
                <w:b/>
                <w:bCs/>
                <w:szCs w:val="20"/>
                <w:highlight w:val="yellow"/>
              </w:rPr>
            </w:pPr>
            <w:r>
              <w:rPr>
                <w:b/>
                <w:bCs/>
              </w:rPr>
              <w:t>redacted</w:t>
            </w:r>
          </w:p>
        </w:tc>
        <w:tc>
          <w:tcPr>
            <w:tcW w:w="1106" w:type="dxa"/>
            <w:noWrap/>
            <w:vAlign w:val="center"/>
          </w:tcPr>
          <w:p w14:paraId="63E2A756" w14:textId="13667C02" w:rsidR="0080090C" w:rsidRPr="006459F6" w:rsidRDefault="00DF546B">
            <w:pPr>
              <w:pStyle w:val="TableText"/>
              <w:keepNext/>
              <w:jc w:val="center"/>
              <w:rPr>
                <w:rFonts w:cs="Calibri"/>
                <w:b/>
                <w:bCs/>
                <w:szCs w:val="20"/>
                <w:highlight w:val="yellow"/>
              </w:rPr>
            </w:pPr>
            <w:r>
              <w:rPr>
                <w:b/>
                <w:bCs/>
              </w:rPr>
              <w:t>redacted</w:t>
            </w:r>
          </w:p>
        </w:tc>
      </w:tr>
      <w:tr w:rsidR="004D521D" w:rsidRPr="00205340" w14:paraId="71EB0D6D" w14:textId="77777777" w:rsidTr="00272102">
        <w:trPr>
          <w:cantSplit/>
        </w:trPr>
        <w:tc>
          <w:tcPr>
            <w:tcW w:w="2390" w:type="dxa"/>
            <w:noWrap/>
          </w:tcPr>
          <w:p w14:paraId="20BD7F0B" w14:textId="4EF52599" w:rsidR="0080090C" w:rsidRPr="00205340" w:rsidRDefault="0080090C">
            <w:pPr>
              <w:pStyle w:val="TableText"/>
              <w:keepNext/>
            </w:pPr>
            <w:r w:rsidRPr="00205340">
              <w:t>Total number of units dispensed</w:t>
            </w:r>
            <w:r w:rsidR="00272102" w:rsidRPr="00205340">
              <w:t xml:space="preserve"> </w:t>
            </w:r>
            <w:r w:rsidR="00272102" w:rsidRPr="00205340">
              <w:rPr>
                <w:vertAlign w:val="superscript"/>
              </w:rPr>
              <w:t>a</w:t>
            </w:r>
          </w:p>
        </w:tc>
        <w:tc>
          <w:tcPr>
            <w:tcW w:w="1104" w:type="dxa"/>
            <w:noWrap/>
            <w:vAlign w:val="center"/>
          </w:tcPr>
          <w:p w14:paraId="20BF9A25" w14:textId="785A5B72" w:rsidR="0080090C" w:rsidRPr="00CC1875" w:rsidRDefault="00DF546B">
            <w:pPr>
              <w:pStyle w:val="TableText"/>
              <w:keepNext/>
              <w:jc w:val="center"/>
              <w:rPr>
                <w:rFonts w:cs="Calibri"/>
                <w:i/>
                <w:iCs/>
                <w:szCs w:val="20"/>
                <w:highlight w:val="yellow"/>
              </w:rPr>
            </w:pPr>
            <w:r>
              <w:rPr>
                <w:b/>
                <w:bCs/>
              </w:rPr>
              <w:t>redacted</w:t>
            </w:r>
          </w:p>
        </w:tc>
        <w:tc>
          <w:tcPr>
            <w:tcW w:w="1104" w:type="dxa"/>
            <w:noWrap/>
            <w:vAlign w:val="center"/>
          </w:tcPr>
          <w:p w14:paraId="71894C6A" w14:textId="35B62155" w:rsidR="0080090C" w:rsidRPr="00CC1875" w:rsidRDefault="00DF546B">
            <w:pPr>
              <w:pStyle w:val="TableText"/>
              <w:keepNext/>
              <w:jc w:val="center"/>
              <w:rPr>
                <w:rFonts w:cs="Calibri"/>
                <w:i/>
                <w:iCs/>
                <w:szCs w:val="20"/>
                <w:highlight w:val="yellow"/>
              </w:rPr>
            </w:pPr>
            <w:r>
              <w:rPr>
                <w:b/>
                <w:bCs/>
              </w:rPr>
              <w:t>redacted</w:t>
            </w:r>
          </w:p>
        </w:tc>
        <w:tc>
          <w:tcPr>
            <w:tcW w:w="1106" w:type="dxa"/>
            <w:noWrap/>
            <w:vAlign w:val="center"/>
          </w:tcPr>
          <w:p w14:paraId="3B456995" w14:textId="7D5AF53F" w:rsidR="0080090C" w:rsidRPr="00CC1875" w:rsidRDefault="00DF546B">
            <w:pPr>
              <w:pStyle w:val="TableText"/>
              <w:keepNext/>
              <w:jc w:val="center"/>
              <w:rPr>
                <w:rFonts w:cs="Calibri"/>
                <w:i/>
                <w:iCs/>
                <w:szCs w:val="20"/>
                <w:highlight w:val="yellow"/>
              </w:rPr>
            </w:pPr>
            <w:r>
              <w:rPr>
                <w:b/>
                <w:bCs/>
              </w:rPr>
              <w:t>redacted</w:t>
            </w:r>
          </w:p>
        </w:tc>
        <w:tc>
          <w:tcPr>
            <w:tcW w:w="1105" w:type="dxa"/>
            <w:noWrap/>
            <w:vAlign w:val="center"/>
          </w:tcPr>
          <w:p w14:paraId="70F04255" w14:textId="6F745CF7" w:rsidR="0080090C" w:rsidRPr="00CC1875" w:rsidRDefault="00DF546B">
            <w:pPr>
              <w:pStyle w:val="TableText"/>
              <w:keepNext/>
              <w:jc w:val="center"/>
              <w:rPr>
                <w:rFonts w:cs="Calibri"/>
                <w:i/>
                <w:iCs/>
                <w:szCs w:val="20"/>
                <w:highlight w:val="yellow"/>
              </w:rPr>
            </w:pPr>
            <w:r>
              <w:rPr>
                <w:b/>
                <w:bCs/>
              </w:rPr>
              <w:t>redacted</w:t>
            </w:r>
          </w:p>
        </w:tc>
        <w:tc>
          <w:tcPr>
            <w:tcW w:w="1105" w:type="dxa"/>
            <w:noWrap/>
            <w:vAlign w:val="center"/>
          </w:tcPr>
          <w:p w14:paraId="4C2DA27A" w14:textId="4F3FBB07" w:rsidR="0080090C" w:rsidRPr="00CC1875" w:rsidRDefault="00DF546B">
            <w:pPr>
              <w:pStyle w:val="TableText"/>
              <w:keepNext/>
              <w:jc w:val="center"/>
              <w:rPr>
                <w:rFonts w:cs="Calibri"/>
                <w:i/>
                <w:iCs/>
                <w:szCs w:val="20"/>
                <w:highlight w:val="yellow"/>
              </w:rPr>
            </w:pPr>
            <w:r>
              <w:rPr>
                <w:b/>
                <w:bCs/>
              </w:rPr>
              <w:t>redacted</w:t>
            </w:r>
          </w:p>
        </w:tc>
        <w:tc>
          <w:tcPr>
            <w:tcW w:w="1106" w:type="dxa"/>
            <w:noWrap/>
            <w:vAlign w:val="center"/>
          </w:tcPr>
          <w:p w14:paraId="0DBEF5DE" w14:textId="30C6AEBB" w:rsidR="0080090C" w:rsidRPr="00CC1875" w:rsidRDefault="00DF546B">
            <w:pPr>
              <w:pStyle w:val="TableText"/>
              <w:keepNext/>
              <w:jc w:val="center"/>
              <w:rPr>
                <w:rFonts w:cs="Calibri"/>
                <w:i/>
                <w:iCs/>
                <w:szCs w:val="20"/>
                <w:highlight w:val="yellow"/>
              </w:rPr>
            </w:pPr>
            <w:r>
              <w:rPr>
                <w:b/>
                <w:bCs/>
              </w:rPr>
              <w:t>redacted</w:t>
            </w:r>
          </w:p>
        </w:tc>
      </w:tr>
      <w:tr w:rsidR="004D521D" w:rsidRPr="00205340" w14:paraId="19E284F0" w14:textId="77777777" w:rsidTr="00272102">
        <w:trPr>
          <w:cantSplit/>
        </w:trPr>
        <w:tc>
          <w:tcPr>
            <w:tcW w:w="2390" w:type="dxa"/>
            <w:noWrap/>
          </w:tcPr>
          <w:p w14:paraId="616F0F3F" w14:textId="6171ED8B" w:rsidR="0080090C" w:rsidRPr="00205340" w:rsidRDefault="0080090C" w:rsidP="00946693">
            <w:pPr>
              <w:pStyle w:val="TableText"/>
              <w:rPr>
                <w:b/>
                <w:bCs/>
              </w:rPr>
            </w:pPr>
            <w:r w:rsidRPr="00205340">
              <w:rPr>
                <w:b/>
                <w:bCs/>
              </w:rPr>
              <w:t xml:space="preserve">Cost to the </w:t>
            </w:r>
            <w:r w:rsidR="00A90D09" w:rsidRPr="00205340">
              <w:t>National Blood Agreement</w:t>
            </w:r>
            <w:r w:rsidR="00A90D09" w:rsidRPr="00205340" w:rsidDel="00A90D09">
              <w:rPr>
                <w:b/>
                <w:bCs/>
              </w:rPr>
              <w:t xml:space="preserve"> </w:t>
            </w:r>
            <w:r w:rsidR="00272102" w:rsidRPr="00205340">
              <w:rPr>
                <w:b/>
                <w:bCs/>
                <w:vertAlign w:val="superscript"/>
              </w:rPr>
              <w:t>b</w:t>
            </w:r>
          </w:p>
        </w:tc>
        <w:tc>
          <w:tcPr>
            <w:tcW w:w="1104" w:type="dxa"/>
            <w:noWrap/>
          </w:tcPr>
          <w:p w14:paraId="7CA8DF71" w14:textId="0CDA36A4" w:rsidR="0080090C" w:rsidRPr="00133610" w:rsidRDefault="0080090C" w:rsidP="00946693">
            <w:pPr>
              <w:pStyle w:val="TableText"/>
              <w:jc w:val="center"/>
              <w:rPr>
                <w:b/>
                <w:bCs/>
              </w:rPr>
            </w:pPr>
            <w:r w:rsidRPr="00133610">
              <w:rPr>
                <w:b/>
                <w:bCs/>
              </w:rPr>
              <w:t>$</w:t>
            </w:r>
            <w:r w:rsidR="00DF546B" w:rsidRPr="00133610">
              <w:rPr>
                <w:b/>
                <w:bCs/>
              </w:rPr>
              <w:t>redacted</w:t>
            </w:r>
          </w:p>
        </w:tc>
        <w:tc>
          <w:tcPr>
            <w:tcW w:w="1104" w:type="dxa"/>
            <w:noWrap/>
          </w:tcPr>
          <w:p w14:paraId="7590E00B" w14:textId="1A5FCCCB" w:rsidR="0080090C" w:rsidRPr="00133610" w:rsidRDefault="0080090C" w:rsidP="00946693">
            <w:pPr>
              <w:pStyle w:val="TableText"/>
              <w:jc w:val="center"/>
              <w:rPr>
                <w:b/>
                <w:bCs/>
              </w:rPr>
            </w:pPr>
            <w:r w:rsidRPr="00133610">
              <w:rPr>
                <w:b/>
                <w:bCs/>
              </w:rPr>
              <w:t>$</w:t>
            </w:r>
            <w:r w:rsidR="00DF546B" w:rsidRPr="00133610">
              <w:rPr>
                <w:b/>
                <w:bCs/>
              </w:rPr>
              <w:t>redacted</w:t>
            </w:r>
          </w:p>
        </w:tc>
        <w:tc>
          <w:tcPr>
            <w:tcW w:w="1106" w:type="dxa"/>
            <w:noWrap/>
          </w:tcPr>
          <w:p w14:paraId="51EFF8B6" w14:textId="37105864" w:rsidR="0080090C" w:rsidRPr="00133610" w:rsidRDefault="0080090C" w:rsidP="00946693">
            <w:pPr>
              <w:pStyle w:val="TableText"/>
              <w:jc w:val="center"/>
              <w:rPr>
                <w:b/>
                <w:bCs/>
              </w:rPr>
            </w:pPr>
            <w:r w:rsidRPr="00133610">
              <w:rPr>
                <w:b/>
                <w:bCs/>
              </w:rPr>
              <w:t>$</w:t>
            </w:r>
            <w:r w:rsidR="00DF546B" w:rsidRPr="00133610">
              <w:rPr>
                <w:b/>
                <w:bCs/>
              </w:rPr>
              <w:t>redacted</w:t>
            </w:r>
          </w:p>
        </w:tc>
        <w:tc>
          <w:tcPr>
            <w:tcW w:w="1105" w:type="dxa"/>
            <w:noWrap/>
          </w:tcPr>
          <w:p w14:paraId="7E253B8D" w14:textId="34283741" w:rsidR="0080090C" w:rsidRPr="00133610" w:rsidRDefault="0080090C" w:rsidP="00946693">
            <w:pPr>
              <w:pStyle w:val="TableText"/>
              <w:jc w:val="center"/>
              <w:rPr>
                <w:b/>
                <w:bCs/>
              </w:rPr>
            </w:pPr>
            <w:r w:rsidRPr="00133610">
              <w:rPr>
                <w:b/>
                <w:bCs/>
              </w:rPr>
              <w:t>$</w:t>
            </w:r>
            <w:r w:rsidR="00DF546B" w:rsidRPr="00133610">
              <w:rPr>
                <w:b/>
                <w:bCs/>
              </w:rPr>
              <w:t>redacted</w:t>
            </w:r>
          </w:p>
        </w:tc>
        <w:tc>
          <w:tcPr>
            <w:tcW w:w="1105" w:type="dxa"/>
            <w:noWrap/>
          </w:tcPr>
          <w:p w14:paraId="756A7D77" w14:textId="561E65C8" w:rsidR="0080090C" w:rsidRPr="00133610" w:rsidRDefault="0080090C" w:rsidP="00946693">
            <w:pPr>
              <w:pStyle w:val="TableText"/>
              <w:jc w:val="center"/>
              <w:rPr>
                <w:b/>
                <w:bCs/>
              </w:rPr>
            </w:pPr>
            <w:r w:rsidRPr="00133610">
              <w:rPr>
                <w:b/>
                <w:bCs/>
              </w:rPr>
              <w:t>$</w:t>
            </w:r>
            <w:r w:rsidR="00DF546B" w:rsidRPr="00133610">
              <w:rPr>
                <w:b/>
                <w:bCs/>
              </w:rPr>
              <w:t>redacted</w:t>
            </w:r>
          </w:p>
        </w:tc>
        <w:tc>
          <w:tcPr>
            <w:tcW w:w="1106" w:type="dxa"/>
            <w:noWrap/>
          </w:tcPr>
          <w:p w14:paraId="115C3824" w14:textId="2759B440" w:rsidR="0080090C" w:rsidRPr="00133610" w:rsidRDefault="0080090C" w:rsidP="00946693">
            <w:pPr>
              <w:pStyle w:val="TableText"/>
              <w:jc w:val="center"/>
              <w:rPr>
                <w:b/>
                <w:bCs/>
              </w:rPr>
            </w:pPr>
            <w:r w:rsidRPr="00133610">
              <w:rPr>
                <w:b/>
                <w:bCs/>
              </w:rPr>
              <w:t>$</w:t>
            </w:r>
            <w:r w:rsidR="00DF546B" w:rsidRPr="00133610">
              <w:rPr>
                <w:b/>
                <w:bCs/>
              </w:rPr>
              <w:t>redacted</w:t>
            </w:r>
          </w:p>
        </w:tc>
      </w:tr>
    </w:tbl>
    <w:p w14:paraId="7FE75ACD" w14:textId="77777777" w:rsidR="00272102" w:rsidRPr="00205340" w:rsidRDefault="00272102" w:rsidP="00272102">
      <w:pPr>
        <w:pStyle w:val="TableFigureFooter"/>
        <w:spacing w:before="0" w:after="240"/>
        <w:contextualSpacing/>
      </w:pPr>
      <w:r w:rsidRPr="00205340">
        <w:t>Source: Table 56 of the financial model provided with the submission.</w:t>
      </w:r>
      <w:r w:rsidRPr="00205340">
        <w:br/>
      </w:r>
      <w:proofErr w:type="gramStart"/>
      <w:r w:rsidRPr="00205340">
        <w:rPr>
          <w:vertAlign w:val="superscript"/>
        </w:rPr>
        <w:t>a</w:t>
      </w:r>
      <w:proofErr w:type="gramEnd"/>
      <w:r w:rsidRPr="00205340">
        <w:t xml:space="preserve"> Assuming dose escalation, 1.05 doses per administration x 52 doses with compliance (98.08%) = 53.42 dose/patient/year</w:t>
      </w:r>
    </w:p>
    <w:p w14:paraId="699379F5" w14:textId="2EFB0E4C" w:rsidR="00272102" w:rsidRPr="00205340" w:rsidRDefault="00272102" w:rsidP="00272102">
      <w:pPr>
        <w:pStyle w:val="TableFigureFooter"/>
      </w:pPr>
      <w:r w:rsidRPr="00205340">
        <w:rPr>
          <w:vertAlign w:val="superscript"/>
        </w:rPr>
        <w:t>b</w:t>
      </w:r>
      <w:r w:rsidRPr="00205340">
        <w:t xml:space="preserve"> </w:t>
      </w:r>
      <w:r w:rsidRPr="0092007B">
        <w:t>Assumes $</w:t>
      </w:r>
      <w:r w:rsidR="00DF546B" w:rsidRPr="0092007B">
        <w:rPr>
          <w:b/>
          <w:bCs/>
        </w:rPr>
        <w:t>redacted</w:t>
      </w:r>
      <w:r w:rsidR="00DF546B" w:rsidRPr="0092007B" w:rsidDel="00DF546B">
        <w:t xml:space="preserve"> </w:t>
      </w:r>
      <w:r w:rsidRPr="0092007B">
        <w:t>per unit</w:t>
      </w:r>
    </w:p>
    <w:p w14:paraId="6A6ED50D" w14:textId="46B9336D" w:rsidR="00F04910" w:rsidRPr="00205340" w:rsidRDefault="00F04910" w:rsidP="00F04910">
      <w:pPr>
        <w:pStyle w:val="Caption"/>
      </w:pPr>
      <w:r w:rsidRPr="00205340">
        <w:lastRenderedPageBreak/>
        <w:t xml:space="preserve">Table </w:t>
      </w:r>
      <w:fldSimple w:instr=" SEQ Table \* ARABIC ">
        <w:r w:rsidR="002C6A9B" w:rsidRPr="00205340">
          <w:rPr>
            <w:noProof/>
          </w:rPr>
          <w:t>24</w:t>
        </w:r>
      </w:fldSimple>
      <w:r w:rsidRPr="00205340">
        <w:t xml:space="preserve"> Changes in use and cost of other health technologies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57" w:type="dxa"/>
          <w:bottom w:w="28" w:type="dxa"/>
          <w:right w:w="57" w:type="dxa"/>
        </w:tblCellMar>
        <w:tblLook w:val="04A0" w:firstRow="1" w:lastRow="0" w:firstColumn="1" w:lastColumn="0" w:noHBand="0" w:noVBand="1"/>
      </w:tblPr>
      <w:tblGrid>
        <w:gridCol w:w="2412"/>
        <w:gridCol w:w="1101"/>
        <w:gridCol w:w="1101"/>
        <w:gridCol w:w="1102"/>
        <w:gridCol w:w="1101"/>
        <w:gridCol w:w="1101"/>
        <w:gridCol w:w="1102"/>
      </w:tblGrid>
      <w:tr w:rsidR="00272102" w:rsidRPr="00205340" w14:paraId="749A794C" w14:textId="77777777" w:rsidTr="00272102">
        <w:trPr>
          <w:cantSplit/>
        </w:trPr>
        <w:tc>
          <w:tcPr>
            <w:tcW w:w="2412" w:type="dxa"/>
            <w:noWrap/>
            <w:vAlign w:val="center"/>
          </w:tcPr>
          <w:p w14:paraId="5C347F14" w14:textId="77777777" w:rsidR="00272102" w:rsidRPr="00205340" w:rsidRDefault="00272102" w:rsidP="00454CED">
            <w:pPr>
              <w:pStyle w:val="TableText"/>
              <w:keepNext/>
            </w:pPr>
          </w:p>
        </w:tc>
        <w:tc>
          <w:tcPr>
            <w:tcW w:w="1101" w:type="dxa"/>
            <w:noWrap/>
            <w:vAlign w:val="center"/>
          </w:tcPr>
          <w:p w14:paraId="64FBFD4D" w14:textId="77777777" w:rsidR="00272102" w:rsidRPr="00205340" w:rsidRDefault="00272102" w:rsidP="00454CED">
            <w:pPr>
              <w:pStyle w:val="TableText"/>
              <w:keepNext/>
              <w:jc w:val="center"/>
            </w:pPr>
            <w:r w:rsidRPr="00205340">
              <w:rPr>
                <w:rFonts w:cs="Calibri"/>
                <w:b/>
                <w:bCs/>
                <w:szCs w:val="20"/>
              </w:rPr>
              <w:t>2026/27</w:t>
            </w:r>
          </w:p>
        </w:tc>
        <w:tc>
          <w:tcPr>
            <w:tcW w:w="1101" w:type="dxa"/>
            <w:noWrap/>
            <w:vAlign w:val="center"/>
          </w:tcPr>
          <w:p w14:paraId="3231676A" w14:textId="77777777" w:rsidR="00272102" w:rsidRPr="00205340" w:rsidRDefault="00272102" w:rsidP="00454CED">
            <w:pPr>
              <w:pStyle w:val="TableText"/>
              <w:keepNext/>
              <w:jc w:val="center"/>
            </w:pPr>
            <w:r w:rsidRPr="00205340">
              <w:rPr>
                <w:rFonts w:cs="Calibri"/>
                <w:b/>
                <w:bCs/>
                <w:szCs w:val="20"/>
              </w:rPr>
              <w:t>2027/28</w:t>
            </w:r>
          </w:p>
        </w:tc>
        <w:tc>
          <w:tcPr>
            <w:tcW w:w="1102" w:type="dxa"/>
            <w:noWrap/>
            <w:vAlign w:val="center"/>
          </w:tcPr>
          <w:p w14:paraId="2C590B53" w14:textId="77777777" w:rsidR="00272102" w:rsidRPr="00205340" w:rsidRDefault="00272102" w:rsidP="00454CED">
            <w:pPr>
              <w:pStyle w:val="TableText"/>
              <w:keepNext/>
              <w:jc w:val="center"/>
            </w:pPr>
            <w:r w:rsidRPr="00205340">
              <w:rPr>
                <w:rFonts w:cs="Calibri"/>
                <w:b/>
                <w:bCs/>
                <w:szCs w:val="20"/>
              </w:rPr>
              <w:t>2028/29</w:t>
            </w:r>
          </w:p>
        </w:tc>
        <w:tc>
          <w:tcPr>
            <w:tcW w:w="1101" w:type="dxa"/>
            <w:noWrap/>
            <w:vAlign w:val="center"/>
          </w:tcPr>
          <w:p w14:paraId="6F14435F" w14:textId="77777777" w:rsidR="00272102" w:rsidRPr="00205340" w:rsidRDefault="00272102" w:rsidP="00454CED">
            <w:pPr>
              <w:pStyle w:val="TableText"/>
              <w:keepNext/>
              <w:jc w:val="center"/>
            </w:pPr>
            <w:r w:rsidRPr="00205340">
              <w:rPr>
                <w:rFonts w:cs="Calibri"/>
                <w:b/>
                <w:bCs/>
                <w:szCs w:val="20"/>
              </w:rPr>
              <w:t>2029/30</w:t>
            </w:r>
          </w:p>
        </w:tc>
        <w:tc>
          <w:tcPr>
            <w:tcW w:w="1101" w:type="dxa"/>
            <w:noWrap/>
            <w:vAlign w:val="center"/>
          </w:tcPr>
          <w:p w14:paraId="776973A4" w14:textId="77777777" w:rsidR="00272102" w:rsidRPr="00205340" w:rsidRDefault="00272102" w:rsidP="00454CED">
            <w:pPr>
              <w:pStyle w:val="TableText"/>
              <w:keepNext/>
              <w:jc w:val="center"/>
            </w:pPr>
            <w:r w:rsidRPr="00205340">
              <w:rPr>
                <w:rFonts w:cs="Calibri"/>
                <w:b/>
                <w:bCs/>
                <w:szCs w:val="20"/>
              </w:rPr>
              <w:t>2030/31</w:t>
            </w:r>
          </w:p>
        </w:tc>
        <w:tc>
          <w:tcPr>
            <w:tcW w:w="1102" w:type="dxa"/>
            <w:noWrap/>
            <w:vAlign w:val="center"/>
          </w:tcPr>
          <w:p w14:paraId="23865C95" w14:textId="77777777" w:rsidR="00272102" w:rsidRPr="00205340" w:rsidRDefault="00272102" w:rsidP="00454CED">
            <w:pPr>
              <w:pStyle w:val="TableText"/>
              <w:keepNext/>
              <w:jc w:val="center"/>
            </w:pPr>
            <w:r w:rsidRPr="00205340">
              <w:rPr>
                <w:rFonts w:cs="Calibri"/>
                <w:b/>
                <w:bCs/>
                <w:szCs w:val="20"/>
              </w:rPr>
              <w:t>2031/32</w:t>
            </w:r>
          </w:p>
        </w:tc>
      </w:tr>
      <w:tr w:rsidR="00272102" w:rsidRPr="00205340" w14:paraId="6EFF3069" w14:textId="77777777" w:rsidTr="00272102">
        <w:trPr>
          <w:cantSplit/>
        </w:trPr>
        <w:tc>
          <w:tcPr>
            <w:tcW w:w="9020" w:type="dxa"/>
            <w:gridSpan w:val="7"/>
            <w:noWrap/>
          </w:tcPr>
          <w:p w14:paraId="652C4926" w14:textId="77777777" w:rsidR="00272102" w:rsidRPr="00205340" w:rsidRDefault="00272102" w:rsidP="00454CED">
            <w:pPr>
              <w:pStyle w:val="TableText"/>
              <w:keepNext/>
              <w:rPr>
                <w:b/>
                <w:bCs/>
              </w:rPr>
            </w:pPr>
            <w:r w:rsidRPr="00205340">
              <w:rPr>
                <w:b/>
                <w:bCs/>
              </w:rPr>
              <w:t>Change in use and cost of other health technologies</w:t>
            </w:r>
          </w:p>
        </w:tc>
      </w:tr>
      <w:tr w:rsidR="00272102" w:rsidRPr="00205340" w14:paraId="06E28EC9" w14:textId="77777777" w:rsidTr="00272102">
        <w:trPr>
          <w:cantSplit/>
        </w:trPr>
        <w:tc>
          <w:tcPr>
            <w:tcW w:w="2412" w:type="dxa"/>
            <w:noWrap/>
          </w:tcPr>
          <w:p w14:paraId="4EF124C7" w14:textId="77777777" w:rsidR="00272102" w:rsidRPr="00205340" w:rsidRDefault="00272102" w:rsidP="00454CED">
            <w:pPr>
              <w:pStyle w:val="TableText"/>
              <w:keepNext/>
              <w:rPr>
                <w:b/>
                <w:bCs/>
              </w:rPr>
            </w:pPr>
            <w:r w:rsidRPr="00205340">
              <w:t>Reduction in people who use emicizumab</w:t>
            </w:r>
          </w:p>
        </w:tc>
        <w:tc>
          <w:tcPr>
            <w:tcW w:w="1101" w:type="dxa"/>
            <w:noWrap/>
            <w:vAlign w:val="center"/>
          </w:tcPr>
          <w:p w14:paraId="141CD138" w14:textId="5B282E84" w:rsidR="00272102" w:rsidRPr="00242800" w:rsidRDefault="009A1E87" w:rsidP="00454CED">
            <w:pPr>
              <w:pStyle w:val="TableText"/>
              <w:keepNext/>
              <w:jc w:val="center"/>
              <w:rPr>
                <w:b/>
                <w:bCs/>
                <w:highlight w:val="yellow"/>
              </w:rPr>
            </w:pPr>
            <w:r>
              <w:rPr>
                <w:b/>
                <w:bCs/>
              </w:rPr>
              <w:t>redacted</w:t>
            </w:r>
            <w:r w:rsidR="00272102" w:rsidRPr="00242800">
              <w:rPr>
                <w:highlight w:val="yellow"/>
              </w:rPr>
              <w:t xml:space="preserve"> </w:t>
            </w:r>
          </w:p>
        </w:tc>
        <w:tc>
          <w:tcPr>
            <w:tcW w:w="1101" w:type="dxa"/>
            <w:noWrap/>
            <w:vAlign w:val="center"/>
          </w:tcPr>
          <w:p w14:paraId="30930C8A" w14:textId="403F9E59" w:rsidR="00272102" w:rsidRPr="00242800" w:rsidRDefault="009A1E87" w:rsidP="00454CED">
            <w:pPr>
              <w:pStyle w:val="TableText"/>
              <w:keepNext/>
              <w:jc w:val="center"/>
              <w:rPr>
                <w:b/>
                <w:bCs/>
                <w:highlight w:val="yellow"/>
              </w:rPr>
            </w:pPr>
            <w:r>
              <w:rPr>
                <w:b/>
                <w:bCs/>
              </w:rPr>
              <w:t>redacted</w:t>
            </w:r>
          </w:p>
        </w:tc>
        <w:tc>
          <w:tcPr>
            <w:tcW w:w="1102" w:type="dxa"/>
            <w:noWrap/>
            <w:vAlign w:val="center"/>
          </w:tcPr>
          <w:p w14:paraId="1454D0A5" w14:textId="40F8BCAC" w:rsidR="00272102" w:rsidRPr="00242800" w:rsidRDefault="009A1E87" w:rsidP="00454CED">
            <w:pPr>
              <w:pStyle w:val="TableText"/>
              <w:keepNext/>
              <w:jc w:val="center"/>
              <w:rPr>
                <w:b/>
                <w:bCs/>
                <w:highlight w:val="yellow"/>
              </w:rPr>
            </w:pPr>
            <w:r>
              <w:rPr>
                <w:b/>
                <w:bCs/>
              </w:rPr>
              <w:t>redacted</w:t>
            </w:r>
            <w:r w:rsidR="00272102" w:rsidRPr="00242800">
              <w:rPr>
                <w:highlight w:val="yellow"/>
              </w:rPr>
              <w:t xml:space="preserve"> </w:t>
            </w:r>
          </w:p>
        </w:tc>
        <w:tc>
          <w:tcPr>
            <w:tcW w:w="1101" w:type="dxa"/>
            <w:noWrap/>
            <w:vAlign w:val="center"/>
          </w:tcPr>
          <w:p w14:paraId="14D4FA7F" w14:textId="6E5C0D4D" w:rsidR="00272102" w:rsidRPr="00242800" w:rsidRDefault="009A1E87" w:rsidP="00454CED">
            <w:pPr>
              <w:pStyle w:val="TableText"/>
              <w:keepNext/>
              <w:jc w:val="center"/>
              <w:rPr>
                <w:b/>
                <w:bCs/>
                <w:highlight w:val="yellow"/>
              </w:rPr>
            </w:pPr>
            <w:r>
              <w:rPr>
                <w:b/>
                <w:bCs/>
              </w:rPr>
              <w:t>redacted</w:t>
            </w:r>
          </w:p>
        </w:tc>
        <w:tc>
          <w:tcPr>
            <w:tcW w:w="1101" w:type="dxa"/>
            <w:noWrap/>
            <w:vAlign w:val="center"/>
          </w:tcPr>
          <w:p w14:paraId="499AA896" w14:textId="26302328" w:rsidR="00272102" w:rsidRPr="00242800" w:rsidRDefault="009A1E87" w:rsidP="00454CED">
            <w:pPr>
              <w:pStyle w:val="TableText"/>
              <w:keepNext/>
              <w:jc w:val="center"/>
              <w:rPr>
                <w:b/>
                <w:bCs/>
                <w:highlight w:val="yellow"/>
              </w:rPr>
            </w:pPr>
            <w:r>
              <w:rPr>
                <w:b/>
                <w:bCs/>
              </w:rPr>
              <w:t>redacted</w:t>
            </w:r>
          </w:p>
        </w:tc>
        <w:tc>
          <w:tcPr>
            <w:tcW w:w="1102" w:type="dxa"/>
            <w:noWrap/>
            <w:vAlign w:val="center"/>
          </w:tcPr>
          <w:p w14:paraId="4D426326" w14:textId="26B3EA37" w:rsidR="00272102" w:rsidRPr="00242800" w:rsidRDefault="009A1E87" w:rsidP="00454CED">
            <w:pPr>
              <w:pStyle w:val="TableText"/>
              <w:keepNext/>
              <w:jc w:val="center"/>
              <w:rPr>
                <w:b/>
                <w:bCs/>
                <w:highlight w:val="yellow"/>
              </w:rPr>
            </w:pPr>
            <w:r>
              <w:rPr>
                <w:b/>
                <w:bCs/>
              </w:rPr>
              <w:t>redacted</w:t>
            </w:r>
          </w:p>
        </w:tc>
      </w:tr>
      <w:tr w:rsidR="00272102" w:rsidRPr="00205340" w14:paraId="426E9075" w14:textId="77777777" w:rsidTr="00272102">
        <w:trPr>
          <w:cantSplit/>
        </w:trPr>
        <w:tc>
          <w:tcPr>
            <w:tcW w:w="2412" w:type="dxa"/>
            <w:noWrap/>
          </w:tcPr>
          <w:p w14:paraId="3C8C70AA" w14:textId="77777777" w:rsidR="00272102" w:rsidRPr="00205340" w:rsidRDefault="00272102" w:rsidP="00454CED">
            <w:pPr>
              <w:pStyle w:val="TableText"/>
              <w:keepNext/>
            </w:pPr>
            <w:r w:rsidRPr="00205340">
              <w:t xml:space="preserve">Change in cost of emicizumab </w:t>
            </w:r>
            <w:r w:rsidRPr="00205340">
              <w:rPr>
                <w:vertAlign w:val="superscript"/>
              </w:rPr>
              <w:t>a</w:t>
            </w:r>
          </w:p>
        </w:tc>
        <w:tc>
          <w:tcPr>
            <w:tcW w:w="1101" w:type="dxa"/>
            <w:noWrap/>
            <w:vAlign w:val="center"/>
          </w:tcPr>
          <w:p w14:paraId="72CAF3B6" w14:textId="77777777" w:rsidR="00272102" w:rsidRPr="00205340" w:rsidRDefault="00272102" w:rsidP="00454CED">
            <w:pPr>
              <w:pStyle w:val="TableText"/>
              <w:keepNext/>
              <w:jc w:val="center"/>
            </w:pPr>
            <w:r w:rsidRPr="00205340">
              <w:t>-$2,139,206</w:t>
            </w:r>
          </w:p>
        </w:tc>
        <w:tc>
          <w:tcPr>
            <w:tcW w:w="1101" w:type="dxa"/>
            <w:noWrap/>
            <w:vAlign w:val="center"/>
          </w:tcPr>
          <w:p w14:paraId="6EF471AB" w14:textId="77777777" w:rsidR="00272102" w:rsidRPr="00205340" w:rsidRDefault="00272102" w:rsidP="00454CED">
            <w:pPr>
              <w:pStyle w:val="TableText"/>
              <w:keepNext/>
              <w:jc w:val="center"/>
            </w:pPr>
            <w:r w:rsidRPr="00205340">
              <w:t>-$3,020,417</w:t>
            </w:r>
          </w:p>
        </w:tc>
        <w:tc>
          <w:tcPr>
            <w:tcW w:w="1102" w:type="dxa"/>
            <w:noWrap/>
            <w:vAlign w:val="center"/>
          </w:tcPr>
          <w:p w14:paraId="32B9A455" w14:textId="77777777" w:rsidR="00272102" w:rsidRPr="00205340" w:rsidRDefault="00272102" w:rsidP="00454CED">
            <w:pPr>
              <w:pStyle w:val="TableText"/>
              <w:keepNext/>
              <w:jc w:val="center"/>
            </w:pPr>
            <w:r w:rsidRPr="00205340">
              <w:t>-$8,660,031</w:t>
            </w:r>
          </w:p>
        </w:tc>
        <w:tc>
          <w:tcPr>
            <w:tcW w:w="1101" w:type="dxa"/>
            <w:noWrap/>
            <w:vAlign w:val="center"/>
          </w:tcPr>
          <w:p w14:paraId="16E22A6C" w14:textId="77777777" w:rsidR="00272102" w:rsidRPr="00205340" w:rsidRDefault="00272102" w:rsidP="00454CED">
            <w:pPr>
              <w:pStyle w:val="TableText"/>
              <w:keepNext/>
              <w:jc w:val="center"/>
            </w:pPr>
            <w:r w:rsidRPr="00205340">
              <w:t>-$6,386,489</w:t>
            </w:r>
          </w:p>
        </w:tc>
        <w:tc>
          <w:tcPr>
            <w:tcW w:w="1101" w:type="dxa"/>
            <w:noWrap/>
            <w:vAlign w:val="center"/>
          </w:tcPr>
          <w:p w14:paraId="7D822708" w14:textId="77777777" w:rsidR="00272102" w:rsidRPr="00205340" w:rsidRDefault="00272102" w:rsidP="00454CED">
            <w:pPr>
              <w:pStyle w:val="TableText"/>
              <w:keepNext/>
              <w:jc w:val="center"/>
            </w:pPr>
            <w:r w:rsidRPr="00205340">
              <w:t>-$11,794,768</w:t>
            </w:r>
          </w:p>
        </w:tc>
        <w:tc>
          <w:tcPr>
            <w:tcW w:w="1102" w:type="dxa"/>
            <w:noWrap/>
            <w:vAlign w:val="center"/>
          </w:tcPr>
          <w:p w14:paraId="052047C9" w14:textId="77777777" w:rsidR="00272102" w:rsidRPr="00205340" w:rsidRDefault="00272102" w:rsidP="00454CED">
            <w:pPr>
              <w:pStyle w:val="TableText"/>
              <w:keepNext/>
              <w:jc w:val="center"/>
            </w:pPr>
            <w:r w:rsidRPr="00205340">
              <w:t>-$8,148,117</w:t>
            </w:r>
          </w:p>
        </w:tc>
      </w:tr>
      <w:tr w:rsidR="00272102" w:rsidRPr="00205340" w14:paraId="1D81C87A" w14:textId="77777777" w:rsidTr="00272102">
        <w:trPr>
          <w:cantSplit/>
        </w:trPr>
        <w:tc>
          <w:tcPr>
            <w:tcW w:w="2412" w:type="dxa"/>
            <w:noWrap/>
          </w:tcPr>
          <w:p w14:paraId="26A8B950" w14:textId="77777777" w:rsidR="00272102" w:rsidRPr="00205340" w:rsidRDefault="00272102" w:rsidP="00454CED">
            <w:pPr>
              <w:pStyle w:val="TableText"/>
              <w:keepNext/>
              <w:rPr>
                <w:b/>
                <w:bCs/>
              </w:rPr>
            </w:pPr>
            <w:r w:rsidRPr="00205340">
              <w:t>Reduction in people who use FIX</w:t>
            </w:r>
          </w:p>
        </w:tc>
        <w:tc>
          <w:tcPr>
            <w:tcW w:w="1101" w:type="dxa"/>
            <w:noWrap/>
            <w:vAlign w:val="center"/>
          </w:tcPr>
          <w:p w14:paraId="31D9FF9D" w14:textId="0C1C54E6" w:rsidR="00272102" w:rsidRPr="0092007B" w:rsidRDefault="007F6331" w:rsidP="00454CED">
            <w:pPr>
              <w:pStyle w:val="TableText"/>
              <w:keepNext/>
              <w:jc w:val="center"/>
              <w:rPr>
                <w:b/>
                <w:bCs/>
              </w:rPr>
            </w:pPr>
            <w:r w:rsidRPr="0092007B">
              <w:rPr>
                <w:b/>
                <w:bCs/>
              </w:rPr>
              <w:t>redacted</w:t>
            </w:r>
          </w:p>
        </w:tc>
        <w:tc>
          <w:tcPr>
            <w:tcW w:w="1101" w:type="dxa"/>
            <w:noWrap/>
            <w:vAlign w:val="center"/>
          </w:tcPr>
          <w:p w14:paraId="133003CD" w14:textId="10751080" w:rsidR="00272102" w:rsidRPr="0092007B" w:rsidRDefault="007F6331" w:rsidP="00454CED">
            <w:pPr>
              <w:pStyle w:val="TableText"/>
              <w:keepNext/>
              <w:jc w:val="center"/>
              <w:rPr>
                <w:b/>
                <w:bCs/>
              </w:rPr>
            </w:pPr>
            <w:r w:rsidRPr="0092007B">
              <w:rPr>
                <w:b/>
                <w:bCs/>
              </w:rPr>
              <w:t>redacted</w:t>
            </w:r>
          </w:p>
        </w:tc>
        <w:tc>
          <w:tcPr>
            <w:tcW w:w="1102" w:type="dxa"/>
            <w:noWrap/>
            <w:vAlign w:val="center"/>
          </w:tcPr>
          <w:p w14:paraId="340E9A2D" w14:textId="1256819D" w:rsidR="00272102" w:rsidRPr="0092007B" w:rsidRDefault="007F6331" w:rsidP="00454CED">
            <w:pPr>
              <w:pStyle w:val="TableText"/>
              <w:keepNext/>
              <w:jc w:val="center"/>
              <w:rPr>
                <w:b/>
                <w:bCs/>
              </w:rPr>
            </w:pPr>
            <w:r w:rsidRPr="0092007B">
              <w:rPr>
                <w:b/>
                <w:bCs/>
              </w:rPr>
              <w:t>redacted</w:t>
            </w:r>
          </w:p>
        </w:tc>
        <w:tc>
          <w:tcPr>
            <w:tcW w:w="1101" w:type="dxa"/>
            <w:noWrap/>
            <w:vAlign w:val="center"/>
          </w:tcPr>
          <w:p w14:paraId="2F3D8DDC" w14:textId="3FF38CAD" w:rsidR="00272102" w:rsidRPr="0092007B" w:rsidRDefault="007F6331" w:rsidP="00454CED">
            <w:pPr>
              <w:pStyle w:val="TableText"/>
              <w:keepNext/>
              <w:jc w:val="center"/>
              <w:rPr>
                <w:b/>
                <w:bCs/>
              </w:rPr>
            </w:pPr>
            <w:r w:rsidRPr="0092007B">
              <w:rPr>
                <w:b/>
                <w:bCs/>
              </w:rPr>
              <w:t>redacted</w:t>
            </w:r>
          </w:p>
        </w:tc>
        <w:tc>
          <w:tcPr>
            <w:tcW w:w="1101" w:type="dxa"/>
            <w:noWrap/>
            <w:vAlign w:val="center"/>
          </w:tcPr>
          <w:p w14:paraId="6777FEC5" w14:textId="79ABD345" w:rsidR="00272102" w:rsidRPr="0092007B" w:rsidRDefault="007F6331" w:rsidP="00454CED">
            <w:pPr>
              <w:pStyle w:val="TableText"/>
              <w:keepNext/>
              <w:jc w:val="center"/>
              <w:rPr>
                <w:b/>
                <w:bCs/>
              </w:rPr>
            </w:pPr>
            <w:r w:rsidRPr="0092007B">
              <w:rPr>
                <w:b/>
                <w:bCs/>
              </w:rPr>
              <w:t>redacted</w:t>
            </w:r>
          </w:p>
        </w:tc>
        <w:tc>
          <w:tcPr>
            <w:tcW w:w="1102" w:type="dxa"/>
            <w:noWrap/>
            <w:vAlign w:val="center"/>
          </w:tcPr>
          <w:p w14:paraId="0175C135" w14:textId="584FD95E" w:rsidR="00272102" w:rsidRPr="0092007B" w:rsidRDefault="007F6331" w:rsidP="00454CED">
            <w:pPr>
              <w:pStyle w:val="TableText"/>
              <w:keepNext/>
              <w:jc w:val="center"/>
              <w:rPr>
                <w:b/>
                <w:bCs/>
              </w:rPr>
            </w:pPr>
            <w:r w:rsidRPr="0092007B">
              <w:rPr>
                <w:b/>
                <w:bCs/>
              </w:rPr>
              <w:t>redacted</w:t>
            </w:r>
          </w:p>
        </w:tc>
      </w:tr>
      <w:tr w:rsidR="00272102" w:rsidRPr="00205340" w14:paraId="3FAE62C0" w14:textId="77777777" w:rsidTr="00272102">
        <w:trPr>
          <w:cantSplit/>
        </w:trPr>
        <w:tc>
          <w:tcPr>
            <w:tcW w:w="2412" w:type="dxa"/>
            <w:noWrap/>
          </w:tcPr>
          <w:p w14:paraId="16F4A8F8" w14:textId="77777777" w:rsidR="00272102" w:rsidRPr="00205340" w:rsidRDefault="00272102" w:rsidP="00454CED">
            <w:pPr>
              <w:pStyle w:val="TableText"/>
              <w:keepNext/>
            </w:pPr>
            <w:r w:rsidRPr="00205340">
              <w:t xml:space="preserve">Change in FIX use </w:t>
            </w:r>
            <w:r w:rsidRPr="00205340">
              <w:rPr>
                <w:vertAlign w:val="superscript"/>
              </w:rPr>
              <w:t>b</w:t>
            </w:r>
          </w:p>
        </w:tc>
        <w:tc>
          <w:tcPr>
            <w:tcW w:w="1101" w:type="dxa"/>
            <w:noWrap/>
            <w:vAlign w:val="center"/>
          </w:tcPr>
          <w:p w14:paraId="4302FD5C" w14:textId="02D26A6B" w:rsidR="00272102" w:rsidRPr="0092007B" w:rsidRDefault="00272102" w:rsidP="00454CED">
            <w:pPr>
              <w:pStyle w:val="TableText"/>
              <w:keepNext/>
              <w:jc w:val="center"/>
            </w:pPr>
            <w:r w:rsidRPr="0092007B">
              <w:t>-$</w:t>
            </w:r>
            <w:r w:rsidR="000147DF" w:rsidRPr="0092007B">
              <w:rPr>
                <w:b/>
                <w:bCs/>
              </w:rPr>
              <w:t>redacted</w:t>
            </w:r>
          </w:p>
        </w:tc>
        <w:tc>
          <w:tcPr>
            <w:tcW w:w="1101" w:type="dxa"/>
            <w:noWrap/>
            <w:vAlign w:val="center"/>
          </w:tcPr>
          <w:p w14:paraId="64BE8AA6" w14:textId="54430262" w:rsidR="00272102" w:rsidRPr="0092007B" w:rsidRDefault="00272102" w:rsidP="00454CED">
            <w:pPr>
              <w:pStyle w:val="TableText"/>
              <w:keepNext/>
              <w:jc w:val="center"/>
            </w:pPr>
            <w:r w:rsidRPr="0092007B">
              <w:t>-$</w:t>
            </w:r>
            <w:r w:rsidR="000147DF" w:rsidRPr="0092007B">
              <w:rPr>
                <w:b/>
                <w:bCs/>
              </w:rPr>
              <w:t>redacted</w:t>
            </w:r>
          </w:p>
        </w:tc>
        <w:tc>
          <w:tcPr>
            <w:tcW w:w="1102" w:type="dxa"/>
            <w:noWrap/>
            <w:vAlign w:val="center"/>
          </w:tcPr>
          <w:p w14:paraId="7CD9EAC0" w14:textId="5103C534" w:rsidR="00272102" w:rsidRPr="0092007B" w:rsidRDefault="00272102" w:rsidP="00454CED">
            <w:pPr>
              <w:pStyle w:val="TableText"/>
              <w:keepNext/>
              <w:jc w:val="center"/>
            </w:pPr>
            <w:r w:rsidRPr="0092007B">
              <w:t>-$</w:t>
            </w:r>
            <w:r w:rsidR="000147DF" w:rsidRPr="0092007B">
              <w:rPr>
                <w:b/>
                <w:bCs/>
              </w:rPr>
              <w:t>redacted</w:t>
            </w:r>
          </w:p>
        </w:tc>
        <w:tc>
          <w:tcPr>
            <w:tcW w:w="1101" w:type="dxa"/>
            <w:noWrap/>
            <w:vAlign w:val="center"/>
          </w:tcPr>
          <w:p w14:paraId="4F0FCFE5" w14:textId="65B0FA31" w:rsidR="00272102" w:rsidRPr="0092007B" w:rsidRDefault="00272102" w:rsidP="00454CED">
            <w:pPr>
              <w:pStyle w:val="TableText"/>
              <w:keepNext/>
              <w:jc w:val="center"/>
            </w:pPr>
            <w:r w:rsidRPr="0092007B">
              <w:t>-$</w:t>
            </w:r>
            <w:r w:rsidR="000147DF" w:rsidRPr="0092007B">
              <w:rPr>
                <w:b/>
                <w:bCs/>
              </w:rPr>
              <w:t>redacted</w:t>
            </w:r>
          </w:p>
        </w:tc>
        <w:tc>
          <w:tcPr>
            <w:tcW w:w="1101" w:type="dxa"/>
            <w:noWrap/>
            <w:vAlign w:val="center"/>
          </w:tcPr>
          <w:p w14:paraId="2CA75FAE" w14:textId="2C6B860E" w:rsidR="00272102" w:rsidRPr="0092007B" w:rsidRDefault="00272102" w:rsidP="00454CED">
            <w:pPr>
              <w:pStyle w:val="TableText"/>
              <w:keepNext/>
              <w:jc w:val="center"/>
            </w:pPr>
            <w:r w:rsidRPr="0092007B">
              <w:t>-$</w:t>
            </w:r>
            <w:r w:rsidR="000147DF" w:rsidRPr="0092007B">
              <w:rPr>
                <w:b/>
                <w:bCs/>
              </w:rPr>
              <w:t>redacted</w:t>
            </w:r>
          </w:p>
        </w:tc>
        <w:tc>
          <w:tcPr>
            <w:tcW w:w="1102" w:type="dxa"/>
            <w:noWrap/>
            <w:vAlign w:val="center"/>
          </w:tcPr>
          <w:p w14:paraId="2C0E67BC" w14:textId="4A322ADF" w:rsidR="00272102" w:rsidRPr="0092007B" w:rsidRDefault="00272102" w:rsidP="00454CED">
            <w:pPr>
              <w:pStyle w:val="TableText"/>
              <w:keepNext/>
              <w:jc w:val="center"/>
            </w:pPr>
            <w:r w:rsidRPr="0092007B">
              <w:t>-$</w:t>
            </w:r>
            <w:r w:rsidR="000147DF" w:rsidRPr="0092007B">
              <w:rPr>
                <w:b/>
                <w:bCs/>
              </w:rPr>
              <w:t>redacted</w:t>
            </w:r>
          </w:p>
        </w:tc>
      </w:tr>
      <w:tr w:rsidR="00272102" w:rsidRPr="00205340" w14:paraId="6B384893" w14:textId="77777777" w:rsidTr="00272102">
        <w:trPr>
          <w:cantSplit/>
        </w:trPr>
        <w:tc>
          <w:tcPr>
            <w:tcW w:w="2412" w:type="dxa"/>
            <w:noWrap/>
          </w:tcPr>
          <w:p w14:paraId="200F3638" w14:textId="5AB63A5D" w:rsidR="00272102" w:rsidRPr="00205340" w:rsidRDefault="00272102" w:rsidP="00454CED">
            <w:pPr>
              <w:pStyle w:val="TableText"/>
              <w:keepNext/>
            </w:pPr>
            <w:r w:rsidRPr="00205340">
              <w:t xml:space="preserve">Cost of </w:t>
            </w:r>
            <w:r w:rsidR="002866EA" w:rsidRPr="00205340">
              <w:t xml:space="preserve">treating </w:t>
            </w:r>
            <w:r w:rsidRPr="00205340">
              <w:t xml:space="preserve">BTB for marstacimab patients (HMB) </w:t>
            </w:r>
            <w:r w:rsidRPr="00205340">
              <w:rPr>
                <w:vertAlign w:val="superscript"/>
              </w:rPr>
              <w:t>c</w:t>
            </w:r>
          </w:p>
        </w:tc>
        <w:tc>
          <w:tcPr>
            <w:tcW w:w="1101" w:type="dxa"/>
            <w:noWrap/>
            <w:vAlign w:val="center"/>
          </w:tcPr>
          <w:p w14:paraId="029FCD5A" w14:textId="10C523C2" w:rsidR="00272102" w:rsidRPr="0092007B" w:rsidRDefault="00272102" w:rsidP="00454CED">
            <w:pPr>
              <w:pStyle w:val="TableText"/>
              <w:keepNext/>
              <w:jc w:val="center"/>
            </w:pPr>
            <w:r w:rsidRPr="0092007B">
              <w:t>$</w:t>
            </w:r>
            <w:r w:rsidR="00C45DD9" w:rsidRPr="0092007B">
              <w:rPr>
                <w:b/>
                <w:bCs/>
              </w:rPr>
              <w:t>redacted</w:t>
            </w:r>
          </w:p>
        </w:tc>
        <w:tc>
          <w:tcPr>
            <w:tcW w:w="1101" w:type="dxa"/>
            <w:noWrap/>
            <w:vAlign w:val="center"/>
          </w:tcPr>
          <w:p w14:paraId="4795A25A" w14:textId="438206A7" w:rsidR="00272102" w:rsidRPr="0092007B" w:rsidRDefault="00272102" w:rsidP="00454CED">
            <w:pPr>
              <w:pStyle w:val="TableText"/>
              <w:keepNext/>
              <w:jc w:val="center"/>
            </w:pPr>
            <w:r w:rsidRPr="0092007B">
              <w:t>$</w:t>
            </w:r>
            <w:r w:rsidR="00C45DD9" w:rsidRPr="0092007B">
              <w:rPr>
                <w:b/>
                <w:bCs/>
              </w:rPr>
              <w:t>redacted</w:t>
            </w:r>
          </w:p>
        </w:tc>
        <w:tc>
          <w:tcPr>
            <w:tcW w:w="1102" w:type="dxa"/>
            <w:noWrap/>
            <w:vAlign w:val="center"/>
          </w:tcPr>
          <w:p w14:paraId="52823A6D" w14:textId="2A347507" w:rsidR="00272102" w:rsidRPr="0092007B" w:rsidRDefault="00272102" w:rsidP="00454CED">
            <w:pPr>
              <w:pStyle w:val="TableText"/>
              <w:keepNext/>
              <w:jc w:val="center"/>
            </w:pPr>
            <w:r w:rsidRPr="0092007B">
              <w:t>$</w:t>
            </w:r>
            <w:r w:rsidR="00C45DD9" w:rsidRPr="0092007B">
              <w:rPr>
                <w:b/>
                <w:bCs/>
              </w:rPr>
              <w:t>redacted</w:t>
            </w:r>
          </w:p>
        </w:tc>
        <w:tc>
          <w:tcPr>
            <w:tcW w:w="1101" w:type="dxa"/>
            <w:noWrap/>
            <w:vAlign w:val="center"/>
          </w:tcPr>
          <w:p w14:paraId="69084F5F" w14:textId="4F6A7191" w:rsidR="00272102" w:rsidRPr="0092007B" w:rsidRDefault="00272102" w:rsidP="00454CED">
            <w:pPr>
              <w:pStyle w:val="TableText"/>
              <w:keepNext/>
              <w:jc w:val="center"/>
            </w:pPr>
            <w:r w:rsidRPr="0092007B">
              <w:t>$</w:t>
            </w:r>
            <w:r w:rsidR="00C45DD9" w:rsidRPr="0092007B">
              <w:rPr>
                <w:b/>
                <w:bCs/>
              </w:rPr>
              <w:t>redacted</w:t>
            </w:r>
          </w:p>
        </w:tc>
        <w:tc>
          <w:tcPr>
            <w:tcW w:w="1101" w:type="dxa"/>
            <w:noWrap/>
            <w:vAlign w:val="center"/>
          </w:tcPr>
          <w:p w14:paraId="7ED9DF4D" w14:textId="55A0D44C" w:rsidR="00272102" w:rsidRPr="0092007B" w:rsidRDefault="00272102" w:rsidP="00454CED">
            <w:pPr>
              <w:pStyle w:val="TableText"/>
              <w:keepNext/>
              <w:jc w:val="center"/>
            </w:pPr>
            <w:r w:rsidRPr="0092007B">
              <w:t>$</w:t>
            </w:r>
            <w:r w:rsidR="00C45DD9" w:rsidRPr="0092007B">
              <w:rPr>
                <w:b/>
                <w:bCs/>
              </w:rPr>
              <w:t>redacted</w:t>
            </w:r>
          </w:p>
        </w:tc>
        <w:tc>
          <w:tcPr>
            <w:tcW w:w="1102" w:type="dxa"/>
            <w:noWrap/>
            <w:vAlign w:val="center"/>
          </w:tcPr>
          <w:p w14:paraId="07588D7A" w14:textId="433C96BA" w:rsidR="00272102" w:rsidRPr="0092007B" w:rsidRDefault="00272102" w:rsidP="00454CED">
            <w:pPr>
              <w:pStyle w:val="TableText"/>
              <w:keepNext/>
              <w:jc w:val="center"/>
            </w:pPr>
            <w:r w:rsidRPr="0092007B">
              <w:t>$</w:t>
            </w:r>
            <w:r w:rsidR="00C45DD9" w:rsidRPr="0092007B">
              <w:rPr>
                <w:b/>
                <w:bCs/>
              </w:rPr>
              <w:t>redacted</w:t>
            </w:r>
          </w:p>
        </w:tc>
      </w:tr>
      <w:tr w:rsidR="00272102" w:rsidRPr="00205340" w14:paraId="6DD293A8" w14:textId="77777777" w:rsidTr="00272102">
        <w:trPr>
          <w:cantSplit/>
        </w:trPr>
        <w:tc>
          <w:tcPr>
            <w:tcW w:w="2412" w:type="dxa"/>
            <w:noWrap/>
          </w:tcPr>
          <w:p w14:paraId="694525A3" w14:textId="0379498E" w:rsidR="00272102" w:rsidRPr="00205340" w:rsidRDefault="00272102" w:rsidP="00454CED">
            <w:pPr>
              <w:pStyle w:val="TableText"/>
              <w:keepNext/>
            </w:pPr>
            <w:r w:rsidRPr="00205340">
              <w:t xml:space="preserve">Cost of </w:t>
            </w:r>
            <w:r w:rsidR="002866EA" w:rsidRPr="00205340">
              <w:t xml:space="preserve">treating </w:t>
            </w:r>
            <w:r w:rsidRPr="00205340">
              <w:t xml:space="preserve">BTB for FIX patients (HMB) </w:t>
            </w:r>
            <w:r w:rsidRPr="00205340">
              <w:rPr>
                <w:vertAlign w:val="superscript"/>
              </w:rPr>
              <w:t>d</w:t>
            </w:r>
          </w:p>
        </w:tc>
        <w:tc>
          <w:tcPr>
            <w:tcW w:w="1101" w:type="dxa"/>
            <w:noWrap/>
            <w:vAlign w:val="center"/>
          </w:tcPr>
          <w:p w14:paraId="1CC1D055" w14:textId="216851C5" w:rsidR="00272102" w:rsidRPr="0092007B" w:rsidRDefault="00272102" w:rsidP="00454CED">
            <w:pPr>
              <w:pStyle w:val="TableText"/>
              <w:keepNext/>
              <w:jc w:val="center"/>
            </w:pPr>
            <w:r w:rsidRPr="0092007B">
              <w:t>-$</w:t>
            </w:r>
            <w:r w:rsidR="00C45DD9" w:rsidRPr="0092007B">
              <w:rPr>
                <w:b/>
                <w:bCs/>
              </w:rPr>
              <w:t>redacted</w:t>
            </w:r>
          </w:p>
        </w:tc>
        <w:tc>
          <w:tcPr>
            <w:tcW w:w="1101" w:type="dxa"/>
            <w:noWrap/>
            <w:vAlign w:val="center"/>
          </w:tcPr>
          <w:p w14:paraId="526218DB" w14:textId="62274677" w:rsidR="00272102" w:rsidRPr="0092007B" w:rsidRDefault="00272102" w:rsidP="00454CED">
            <w:pPr>
              <w:pStyle w:val="TableText"/>
              <w:keepNext/>
              <w:jc w:val="center"/>
            </w:pPr>
            <w:r w:rsidRPr="0092007B">
              <w:t>-$</w:t>
            </w:r>
            <w:r w:rsidR="00C45DD9" w:rsidRPr="0092007B">
              <w:rPr>
                <w:b/>
                <w:bCs/>
              </w:rPr>
              <w:t>redacted</w:t>
            </w:r>
          </w:p>
        </w:tc>
        <w:tc>
          <w:tcPr>
            <w:tcW w:w="1102" w:type="dxa"/>
            <w:noWrap/>
            <w:vAlign w:val="center"/>
          </w:tcPr>
          <w:p w14:paraId="18606A72" w14:textId="76B9E3FF" w:rsidR="00272102" w:rsidRPr="0092007B" w:rsidRDefault="00272102" w:rsidP="00454CED">
            <w:pPr>
              <w:pStyle w:val="TableText"/>
              <w:keepNext/>
              <w:jc w:val="center"/>
            </w:pPr>
            <w:r w:rsidRPr="0092007B">
              <w:t>-$</w:t>
            </w:r>
            <w:r w:rsidR="00C45DD9" w:rsidRPr="0092007B">
              <w:rPr>
                <w:b/>
                <w:bCs/>
              </w:rPr>
              <w:t>redacted</w:t>
            </w:r>
          </w:p>
        </w:tc>
        <w:tc>
          <w:tcPr>
            <w:tcW w:w="1101" w:type="dxa"/>
            <w:noWrap/>
            <w:vAlign w:val="center"/>
          </w:tcPr>
          <w:p w14:paraId="45E04592" w14:textId="033C2690" w:rsidR="00272102" w:rsidRPr="0092007B" w:rsidRDefault="00272102" w:rsidP="00454CED">
            <w:pPr>
              <w:pStyle w:val="TableText"/>
              <w:keepNext/>
              <w:jc w:val="center"/>
            </w:pPr>
            <w:r w:rsidRPr="0092007B">
              <w:t>-$</w:t>
            </w:r>
            <w:r w:rsidR="00C45DD9" w:rsidRPr="0092007B">
              <w:rPr>
                <w:b/>
                <w:bCs/>
              </w:rPr>
              <w:t>redacted</w:t>
            </w:r>
          </w:p>
        </w:tc>
        <w:tc>
          <w:tcPr>
            <w:tcW w:w="1101" w:type="dxa"/>
            <w:noWrap/>
            <w:vAlign w:val="center"/>
          </w:tcPr>
          <w:p w14:paraId="47D9C7AF" w14:textId="666632EE" w:rsidR="00272102" w:rsidRPr="0092007B" w:rsidRDefault="00272102" w:rsidP="00454CED">
            <w:pPr>
              <w:pStyle w:val="TableText"/>
              <w:keepNext/>
              <w:jc w:val="center"/>
            </w:pPr>
            <w:r w:rsidRPr="0092007B">
              <w:t>-$</w:t>
            </w:r>
            <w:r w:rsidR="00C45DD9" w:rsidRPr="0092007B">
              <w:rPr>
                <w:b/>
                <w:bCs/>
              </w:rPr>
              <w:t>redacted</w:t>
            </w:r>
          </w:p>
        </w:tc>
        <w:tc>
          <w:tcPr>
            <w:tcW w:w="1102" w:type="dxa"/>
            <w:noWrap/>
            <w:vAlign w:val="center"/>
          </w:tcPr>
          <w:p w14:paraId="08CE4FA8" w14:textId="62097C57" w:rsidR="00272102" w:rsidRPr="0092007B" w:rsidRDefault="00272102" w:rsidP="00454CED">
            <w:pPr>
              <w:pStyle w:val="TableText"/>
              <w:keepNext/>
              <w:jc w:val="center"/>
            </w:pPr>
            <w:r w:rsidRPr="0092007B">
              <w:t>-$</w:t>
            </w:r>
            <w:r w:rsidR="00C45DD9" w:rsidRPr="0092007B">
              <w:rPr>
                <w:b/>
                <w:bCs/>
              </w:rPr>
              <w:t>redacted</w:t>
            </w:r>
          </w:p>
        </w:tc>
      </w:tr>
      <w:tr w:rsidR="00272102" w:rsidRPr="00205340" w14:paraId="4CA99E4A" w14:textId="77777777" w:rsidTr="00272102">
        <w:trPr>
          <w:cantSplit/>
        </w:trPr>
        <w:tc>
          <w:tcPr>
            <w:tcW w:w="2412" w:type="dxa"/>
            <w:noWrap/>
          </w:tcPr>
          <w:p w14:paraId="427773A4" w14:textId="0914E24A" w:rsidR="00272102" w:rsidRPr="00205340" w:rsidRDefault="00272102" w:rsidP="00454CED">
            <w:pPr>
              <w:pStyle w:val="TableText"/>
              <w:keepNext/>
              <w:rPr>
                <w:b/>
                <w:bCs/>
              </w:rPr>
            </w:pPr>
            <w:r w:rsidRPr="00205340">
              <w:t xml:space="preserve">Net changes in other technologies costs to the </w:t>
            </w:r>
            <w:r w:rsidR="00A90D09" w:rsidRPr="00205340">
              <w:t>National Blood Agreement</w:t>
            </w:r>
          </w:p>
        </w:tc>
        <w:tc>
          <w:tcPr>
            <w:tcW w:w="1101" w:type="dxa"/>
            <w:noWrap/>
            <w:vAlign w:val="center"/>
          </w:tcPr>
          <w:p w14:paraId="7B9C2BB9" w14:textId="572116F6" w:rsidR="00272102" w:rsidRPr="0092007B" w:rsidRDefault="00272102" w:rsidP="00454CED">
            <w:pPr>
              <w:pStyle w:val="TableText"/>
              <w:keepNext/>
              <w:jc w:val="center"/>
              <w:rPr>
                <w:b/>
                <w:bCs/>
              </w:rPr>
            </w:pPr>
            <w:r w:rsidRPr="0092007B">
              <w:rPr>
                <w:b/>
                <w:bCs/>
              </w:rPr>
              <w:t>-$</w:t>
            </w:r>
            <w:r w:rsidR="00C45DD9" w:rsidRPr="0092007B">
              <w:rPr>
                <w:b/>
                <w:bCs/>
              </w:rPr>
              <w:t>redacted</w:t>
            </w:r>
          </w:p>
        </w:tc>
        <w:tc>
          <w:tcPr>
            <w:tcW w:w="1101" w:type="dxa"/>
            <w:noWrap/>
            <w:vAlign w:val="center"/>
          </w:tcPr>
          <w:p w14:paraId="31464D8C" w14:textId="3C71AADC" w:rsidR="00272102" w:rsidRPr="0092007B" w:rsidRDefault="00272102" w:rsidP="00454CED">
            <w:pPr>
              <w:pStyle w:val="TableText"/>
              <w:keepNext/>
              <w:jc w:val="center"/>
              <w:rPr>
                <w:b/>
                <w:bCs/>
              </w:rPr>
            </w:pPr>
            <w:r w:rsidRPr="0092007B">
              <w:rPr>
                <w:b/>
                <w:bCs/>
              </w:rPr>
              <w:t>-$</w:t>
            </w:r>
            <w:r w:rsidR="00C45DD9" w:rsidRPr="0092007B">
              <w:rPr>
                <w:b/>
                <w:bCs/>
              </w:rPr>
              <w:t>redacted</w:t>
            </w:r>
          </w:p>
        </w:tc>
        <w:tc>
          <w:tcPr>
            <w:tcW w:w="1102" w:type="dxa"/>
            <w:noWrap/>
            <w:vAlign w:val="center"/>
          </w:tcPr>
          <w:p w14:paraId="7119B8B7" w14:textId="63AB3DDE" w:rsidR="00272102" w:rsidRPr="0092007B" w:rsidRDefault="00272102" w:rsidP="00454CED">
            <w:pPr>
              <w:pStyle w:val="TableText"/>
              <w:keepNext/>
              <w:jc w:val="center"/>
              <w:rPr>
                <w:b/>
                <w:bCs/>
              </w:rPr>
            </w:pPr>
            <w:r w:rsidRPr="0092007B">
              <w:rPr>
                <w:b/>
                <w:bCs/>
              </w:rPr>
              <w:t>-$</w:t>
            </w:r>
            <w:r w:rsidR="00C45DD9" w:rsidRPr="0092007B">
              <w:rPr>
                <w:b/>
                <w:bCs/>
              </w:rPr>
              <w:t>redacted</w:t>
            </w:r>
          </w:p>
        </w:tc>
        <w:tc>
          <w:tcPr>
            <w:tcW w:w="1101" w:type="dxa"/>
            <w:noWrap/>
            <w:vAlign w:val="center"/>
          </w:tcPr>
          <w:p w14:paraId="02D041EA" w14:textId="1949B0AB" w:rsidR="00272102" w:rsidRPr="0092007B" w:rsidRDefault="00272102" w:rsidP="00454CED">
            <w:pPr>
              <w:pStyle w:val="TableText"/>
              <w:keepNext/>
              <w:jc w:val="center"/>
              <w:rPr>
                <w:b/>
                <w:bCs/>
              </w:rPr>
            </w:pPr>
            <w:r w:rsidRPr="0092007B">
              <w:rPr>
                <w:b/>
                <w:bCs/>
              </w:rPr>
              <w:t>-$</w:t>
            </w:r>
            <w:r w:rsidR="00C45DD9" w:rsidRPr="0092007B">
              <w:rPr>
                <w:b/>
                <w:bCs/>
              </w:rPr>
              <w:t>redacted</w:t>
            </w:r>
          </w:p>
        </w:tc>
        <w:tc>
          <w:tcPr>
            <w:tcW w:w="1101" w:type="dxa"/>
            <w:noWrap/>
            <w:vAlign w:val="center"/>
          </w:tcPr>
          <w:p w14:paraId="0A7D642F" w14:textId="58E92946" w:rsidR="00272102" w:rsidRPr="0092007B" w:rsidRDefault="00272102" w:rsidP="00454CED">
            <w:pPr>
              <w:pStyle w:val="TableText"/>
              <w:keepNext/>
              <w:jc w:val="center"/>
              <w:rPr>
                <w:b/>
                <w:bCs/>
              </w:rPr>
            </w:pPr>
            <w:r w:rsidRPr="0092007B">
              <w:rPr>
                <w:b/>
                <w:bCs/>
              </w:rPr>
              <w:t>-$</w:t>
            </w:r>
            <w:r w:rsidR="00C45DD9" w:rsidRPr="0092007B">
              <w:rPr>
                <w:b/>
                <w:bCs/>
              </w:rPr>
              <w:t>redacted</w:t>
            </w:r>
          </w:p>
        </w:tc>
        <w:tc>
          <w:tcPr>
            <w:tcW w:w="1102" w:type="dxa"/>
            <w:noWrap/>
            <w:vAlign w:val="center"/>
          </w:tcPr>
          <w:p w14:paraId="07791F12" w14:textId="237DCB4B" w:rsidR="00272102" w:rsidRPr="0092007B" w:rsidRDefault="00272102" w:rsidP="00454CED">
            <w:pPr>
              <w:pStyle w:val="TableText"/>
              <w:keepNext/>
              <w:jc w:val="center"/>
              <w:rPr>
                <w:b/>
                <w:bCs/>
              </w:rPr>
            </w:pPr>
            <w:r w:rsidRPr="0092007B">
              <w:rPr>
                <w:b/>
                <w:bCs/>
              </w:rPr>
              <w:t>-$</w:t>
            </w:r>
            <w:r w:rsidR="00C45DD9" w:rsidRPr="0092007B">
              <w:rPr>
                <w:b/>
                <w:bCs/>
              </w:rPr>
              <w:t>redacted</w:t>
            </w:r>
          </w:p>
        </w:tc>
      </w:tr>
      <w:tr w:rsidR="00272102" w:rsidRPr="00205340" w14:paraId="4FB0416C" w14:textId="77777777" w:rsidTr="00272102">
        <w:trPr>
          <w:cantSplit/>
        </w:trPr>
        <w:tc>
          <w:tcPr>
            <w:tcW w:w="9020" w:type="dxa"/>
            <w:gridSpan w:val="7"/>
            <w:noWrap/>
            <w:vAlign w:val="bottom"/>
          </w:tcPr>
          <w:p w14:paraId="222A66A3" w14:textId="77777777" w:rsidR="00272102" w:rsidRPr="0092007B" w:rsidRDefault="00272102" w:rsidP="00454CED">
            <w:pPr>
              <w:pStyle w:val="TableText"/>
              <w:keepNext/>
              <w:keepLines/>
              <w:rPr>
                <w:b/>
                <w:bCs/>
              </w:rPr>
            </w:pPr>
            <w:r w:rsidRPr="0092007B">
              <w:rPr>
                <w:b/>
                <w:bCs/>
              </w:rPr>
              <w:t>Administration costs</w:t>
            </w:r>
          </w:p>
        </w:tc>
      </w:tr>
      <w:tr w:rsidR="00272102" w:rsidRPr="00205340" w14:paraId="35C091F0" w14:textId="77777777" w:rsidTr="00272102">
        <w:trPr>
          <w:cantSplit/>
        </w:trPr>
        <w:tc>
          <w:tcPr>
            <w:tcW w:w="2412" w:type="dxa"/>
            <w:noWrap/>
            <w:vAlign w:val="bottom"/>
          </w:tcPr>
          <w:p w14:paraId="37CAADA4" w14:textId="77777777" w:rsidR="00272102" w:rsidRPr="00205340" w:rsidRDefault="00272102" w:rsidP="00454CED">
            <w:pPr>
              <w:pStyle w:val="TableText"/>
              <w:keepNext/>
              <w:keepLines/>
              <w:rPr>
                <w:rFonts w:eastAsia="Times New Roman" w:cs="Calibri"/>
                <w:lang w:eastAsia="en-AU"/>
              </w:rPr>
            </w:pPr>
            <w:r w:rsidRPr="00205340">
              <w:rPr>
                <w:rFonts w:eastAsia="Times New Roman" w:cs="Calibri"/>
                <w:lang w:eastAsia="en-AU"/>
              </w:rPr>
              <w:t>Patients receiving marstacimab (HMB)</w:t>
            </w:r>
          </w:p>
        </w:tc>
        <w:tc>
          <w:tcPr>
            <w:tcW w:w="1101" w:type="dxa"/>
            <w:noWrap/>
          </w:tcPr>
          <w:p w14:paraId="75744B82" w14:textId="6A014DC6" w:rsidR="00272102" w:rsidRPr="0092007B" w:rsidRDefault="004E0D61" w:rsidP="00454CED">
            <w:pPr>
              <w:pStyle w:val="TableText"/>
              <w:keepNext/>
              <w:keepLines/>
              <w:jc w:val="center"/>
              <w:rPr>
                <w:rFonts w:eastAsia="Times New Roman" w:cs="Calibri"/>
                <w:lang w:eastAsia="en-AU"/>
              </w:rPr>
            </w:pPr>
            <w:r w:rsidRPr="0092007B">
              <w:rPr>
                <w:b/>
                <w:bCs/>
              </w:rPr>
              <w:t>redacted</w:t>
            </w:r>
          </w:p>
        </w:tc>
        <w:tc>
          <w:tcPr>
            <w:tcW w:w="1101" w:type="dxa"/>
            <w:noWrap/>
          </w:tcPr>
          <w:p w14:paraId="0981BFC1" w14:textId="6D6DDAEA" w:rsidR="00272102" w:rsidRPr="0092007B" w:rsidRDefault="004E0D61" w:rsidP="00454CED">
            <w:pPr>
              <w:pStyle w:val="TableText"/>
              <w:keepNext/>
              <w:keepLines/>
              <w:jc w:val="center"/>
              <w:rPr>
                <w:rFonts w:eastAsia="Times New Roman" w:cs="Calibri"/>
                <w:lang w:eastAsia="en-AU"/>
              </w:rPr>
            </w:pPr>
            <w:r w:rsidRPr="0092007B">
              <w:rPr>
                <w:b/>
                <w:bCs/>
              </w:rPr>
              <w:t>redacted</w:t>
            </w:r>
          </w:p>
        </w:tc>
        <w:tc>
          <w:tcPr>
            <w:tcW w:w="1102" w:type="dxa"/>
            <w:noWrap/>
          </w:tcPr>
          <w:p w14:paraId="51A5F69A" w14:textId="7E5EA0A0" w:rsidR="00272102" w:rsidRPr="0092007B" w:rsidRDefault="004E0D61" w:rsidP="00454CED">
            <w:pPr>
              <w:pStyle w:val="TableText"/>
              <w:keepNext/>
              <w:keepLines/>
              <w:jc w:val="center"/>
              <w:rPr>
                <w:rFonts w:eastAsia="Times New Roman" w:cs="Calibri"/>
                <w:lang w:eastAsia="en-AU"/>
              </w:rPr>
            </w:pPr>
            <w:r w:rsidRPr="0092007B">
              <w:rPr>
                <w:b/>
                <w:bCs/>
              </w:rPr>
              <w:t>redacted</w:t>
            </w:r>
          </w:p>
        </w:tc>
        <w:tc>
          <w:tcPr>
            <w:tcW w:w="1101" w:type="dxa"/>
            <w:noWrap/>
          </w:tcPr>
          <w:p w14:paraId="66F24138" w14:textId="6378338B" w:rsidR="00272102" w:rsidRPr="0092007B" w:rsidRDefault="004E0D61" w:rsidP="00454CED">
            <w:pPr>
              <w:pStyle w:val="TableText"/>
              <w:keepNext/>
              <w:keepLines/>
              <w:jc w:val="center"/>
              <w:rPr>
                <w:rFonts w:eastAsia="Times New Roman" w:cs="Calibri"/>
                <w:lang w:eastAsia="en-AU"/>
              </w:rPr>
            </w:pPr>
            <w:r w:rsidRPr="0092007B">
              <w:rPr>
                <w:b/>
                <w:bCs/>
              </w:rPr>
              <w:t>redacted</w:t>
            </w:r>
          </w:p>
        </w:tc>
        <w:tc>
          <w:tcPr>
            <w:tcW w:w="1101" w:type="dxa"/>
            <w:noWrap/>
          </w:tcPr>
          <w:p w14:paraId="76BCE1EC" w14:textId="1118A270" w:rsidR="00272102" w:rsidRPr="0092007B" w:rsidRDefault="004E0D61" w:rsidP="00454CED">
            <w:pPr>
              <w:pStyle w:val="TableText"/>
              <w:keepNext/>
              <w:keepLines/>
              <w:jc w:val="center"/>
              <w:rPr>
                <w:rFonts w:eastAsia="Times New Roman" w:cs="Calibri"/>
                <w:lang w:eastAsia="en-AU"/>
              </w:rPr>
            </w:pPr>
            <w:r w:rsidRPr="0092007B">
              <w:rPr>
                <w:b/>
                <w:bCs/>
              </w:rPr>
              <w:t>redacted</w:t>
            </w:r>
          </w:p>
        </w:tc>
        <w:tc>
          <w:tcPr>
            <w:tcW w:w="1102" w:type="dxa"/>
            <w:noWrap/>
          </w:tcPr>
          <w:p w14:paraId="4734201B" w14:textId="7104AE85" w:rsidR="00272102" w:rsidRPr="0092007B" w:rsidRDefault="004E0D61" w:rsidP="00454CED">
            <w:pPr>
              <w:pStyle w:val="TableText"/>
              <w:keepNext/>
              <w:keepLines/>
              <w:jc w:val="center"/>
              <w:rPr>
                <w:rFonts w:eastAsia="Times New Roman" w:cs="Calibri"/>
                <w:lang w:eastAsia="en-AU"/>
              </w:rPr>
            </w:pPr>
            <w:r w:rsidRPr="0092007B">
              <w:rPr>
                <w:b/>
                <w:bCs/>
              </w:rPr>
              <w:t>redacted</w:t>
            </w:r>
          </w:p>
        </w:tc>
      </w:tr>
      <w:tr w:rsidR="00272102" w:rsidRPr="00205340" w14:paraId="591C18AA" w14:textId="77777777" w:rsidTr="00272102">
        <w:trPr>
          <w:cantSplit/>
        </w:trPr>
        <w:tc>
          <w:tcPr>
            <w:tcW w:w="2412" w:type="dxa"/>
            <w:noWrap/>
            <w:vAlign w:val="bottom"/>
          </w:tcPr>
          <w:p w14:paraId="37AB6DC5" w14:textId="77777777" w:rsidR="00272102" w:rsidRPr="00205340" w:rsidRDefault="00272102" w:rsidP="00454CED">
            <w:pPr>
              <w:pStyle w:val="TableText"/>
              <w:keepNext/>
              <w:keepLines/>
            </w:pPr>
            <w:r w:rsidRPr="00205340">
              <w:rPr>
                <w:rFonts w:eastAsia="Times New Roman" w:cs="Calibri"/>
                <w:lang w:eastAsia="en-AU"/>
              </w:rPr>
              <w:t>Cost of administration for BTB ($1,505 per patient) </w:t>
            </w:r>
            <w:r w:rsidRPr="00205340">
              <w:rPr>
                <w:rFonts w:eastAsia="Times New Roman" w:cs="Calibri"/>
                <w:vertAlign w:val="superscript"/>
                <w:lang w:eastAsia="en-AU"/>
              </w:rPr>
              <w:t>e</w:t>
            </w:r>
          </w:p>
        </w:tc>
        <w:tc>
          <w:tcPr>
            <w:tcW w:w="1101" w:type="dxa"/>
            <w:noWrap/>
          </w:tcPr>
          <w:p w14:paraId="469EE047" w14:textId="07674B4E" w:rsidR="00272102" w:rsidRPr="0092007B" w:rsidRDefault="00272102" w:rsidP="00454CED">
            <w:pPr>
              <w:pStyle w:val="TableText"/>
              <w:keepNext/>
              <w:keepLines/>
              <w:jc w:val="center"/>
            </w:pPr>
            <w:r w:rsidRPr="0092007B">
              <w:rPr>
                <w:rFonts w:eastAsia="Times New Roman" w:cs="Calibri"/>
                <w:lang w:eastAsia="en-AU"/>
              </w:rPr>
              <w:t>-$</w:t>
            </w:r>
            <w:r w:rsidR="0071121E" w:rsidRPr="0092007B">
              <w:rPr>
                <w:b/>
                <w:bCs/>
              </w:rPr>
              <w:t>redacted</w:t>
            </w:r>
          </w:p>
        </w:tc>
        <w:tc>
          <w:tcPr>
            <w:tcW w:w="1101" w:type="dxa"/>
            <w:noWrap/>
          </w:tcPr>
          <w:p w14:paraId="580EE918" w14:textId="1265A633" w:rsidR="00272102" w:rsidRPr="0092007B" w:rsidRDefault="00272102" w:rsidP="00454CED">
            <w:pPr>
              <w:pStyle w:val="TableText"/>
              <w:keepNext/>
              <w:keepLines/>
              <w:jc w:val="center"/>
            </w:pPr>
            <w:r w:rsidRPr="0092007B">
              <w:rPr>
                <w:rFonts w:eastAsia="Times New Roman" w:cs="Calibri"/>
                <w:lang w:eastAsia="en-AU"/>
              </w:rPr>
              <w:t>-$</w:t>
            </w:r>
            <w:r w:rsidR="0071121E" w:rsidRPr="0092007B">
              <w:rPr>
                <w:b/>
                <w:bCs/>
              </w:rPr>
              <w:t>redacted</w:t>
            </w:r>
          </w:p>
        </w:tc>
        <w:tc>
          <w:tcPr>
            <w:tcW w:w="1102" w:type="dxa"/>
            <w:noWrap/>
          </w:tcPr>
          <w:p w14:paraId="4F112DBC" w14:textId="313C4CA8" w:rsidR="00272102" w:rsidRPr="0092007B" w:rsidRDefault="00272102" w:rsidP="00454CED">
            <w:pPr>
              <w:pStyle w:val="TableText"/>
              <w:keepNext/>
              <w:keepLines/>
              <w:jc w:val="center"/>
            </w:pPr>
            <w:r w:rsidRPr="0092007B">
              <w:rPr>
                <w:rFonts w:eastAsia="Times New Roman" w:cs="Calibri"/>
                <w:lang w:eastAsia="en-AU"/>
              </w:rPr>
              <w:t>-$</w:t>
            </w:r>
            <w:r w:rsidR="0071121E" w:rsidRPr="0092007B">
              <w:rPr>
                <w:b/>
                <w:bCs/>
              </w:rPr>
              <w:t>redacted</w:t>
            </w:r>
          </w:p>
        </w:tc>
        <w:tc>
          <w:tcPr>
            <w:tcW w:w="1101" w:type="dxa"/>
            <w:noWrap/>
          </w:tcPr>
          <w:p w14:paraId="61147457" w14:textId="61B9A563" w:rsidR="00272102" w:rsidRPr="0092007B" w:rsidRDefault="00272102" w:rsidP="00454CED">
            <w:pPr>
              <w:pStyle w:val="TableText"/>
              <w:keepNext/>
              <w:keepLines/>
              <w:jc w:val="center"/>
            </w:pPr>
            <w:r w:rsidRPr="0092007B">
              <w:rPr>
                <w:rFonts w:eastAsia="Times New Roman" w:cs="Calibri"/>
                <w:lang w:eastAsia="en-AU"/>
              </w:rPr>
              <w:t>-$</w:t>
            </w:r>
            <w:r w:rsidR="0071121E" w:rsidRPr="0092007B">
              <w:rPr>
                <w:b/>
                <w:bCs/>
              </w:rPr>
              <w:t>redacted</w:t>
            </w:r>
          </w:p>
        </w:tc>
        <w:tc>
          <w:tcPr>
            <w:tcW w:w="1101" w:type="dxa"/>
            <w:noWrap/>
          </w:tcPr>
          <w:p w14:paraId="68C00EC9" w14:textId="28D5DC37" w:rsidR="00272102" w:rsidRPr="0092007B" w:rsidRDefault="00272102" w:rsidP="00454CED">
            <w:pPr>
              <w:pStyle w:val="TableText"/>
              <w:keepNext/>
              <w:keepLines/>
              <w:jc w:val="center"/>
            </w:pPr>
            <w:r w:rsidRPr="0092007B">
              <w:rPr>
                <w:rFonts w:eastAsia="Times New Roman" w:cs="Calibri"/>
                <w:lang w:eastAsia="en-AU"/>
              </w:rPr>
              <w:t>-$</w:t>
            </w:r>
            <w:r w:rsidR="0071121E" w:rsidRPr="0092007B">
              <w:rPr>
                <w:b/>
                <w:bCs/>
              </w:rPr>
              <w:t>redacted</w:t>
            </w:r>
          </w:p>
        </w:tc>
        <w:tc>
          <w:tcPr>
            <w:tcW w:w="1102" w:type="dxa"/>
            <w:noWrap/>
          </w:tcPr>
          <w:p w14:paraId="2B04256A" w14:textId="6871CA74" w:rsidR="00272102" w:rsidRPr="0092007B" w:rsidRDefault="00272102" w:rsidP="00454CED">
            <w:pPr>
              <w:pStyle w:val="TableText"/>
              <w:keepNext/>
              <w:keepLines/>
              <w:jc w:val="center"/>
            </w:pPr>
            <w:r w:rsidRPr="0092007B">
              <w:rPr>
                <w:rFonts w:eastAsia="Times New Roman" w:cs="Calibri"/>
                <w:lang w:eastAsia="en-AU"/>
              </w:rPr>
              <w:t>-$</w:t>
            </w:r>
            <w:r w:rsidR="0071121E" w:rsidRPr="0092007B">
              <w:rPr>
                <w:b/>
                <w:bCs/>
              </w:rPr>
              <w:t>redacted</w:t>
            </w:r>
          </w:p>
        </w:tc>
      </w:tr>
      <w:tr w:rsidR="00272102" w:rsidRPr="00205340" w14:paraId="05D28112" w14:textId="77777777" w:rsidTr="00272102">
        <w:trPr>
          <w:cantSplit/>
        </w:trPr>
        <w:tc>
          <w:tcPr>
            <w:tcW w:w="2412" w:type="dxa"/>
            <w:noWrap/>
            <w:vAlign w:val="bottom"/>
          </w:tcPr>
          <w:p w14:paraId="25EB24B3" w14:textId="77777777" w:rsidR="00272102" w:rsidRPr="00205340" w:rsidRDefault="00272102" w:rsidP="00454CED">
            <w:pPr>
              <w:pStyle w:val="TableText"/>
              <w:keepNext/>
              <w:keepLines/>
            </w:pPr>
            <w:r w:rsidRPr="00205340">
              <w:rPr>
                <w:rFonts w:eastAsia="Times New Roman" w:cs="Calibri"/>
                <w:lang w:eastAsia="en-AU"/>
              </w:rPr>
              <w:t>Cost of administration for FIX prophylaxis ($33,436 per patient) </w:t>
            </w:r>
            <w:r w:rsidRPr="00205340">
              <w:rPr>
                <w:rFonts w:eastAsia="Times New Roman" w:cs="Calibri"/>
                <w:vertAlign w:val="superscript"/>
                <w:lang w:eastAsia="en-AU"/>
              </w:rPr>
              <w:t>f</w:t>
            </w:r>
          </w:p>
        </w:tc>
        <w:tc>
          <w:tcPr>
            <w:tcW w:w="1101" w:type="dxa"/>
            <w:noWrap/>
          </w:tcPr>
          <w:p w14:paraId="48EBB2EE" w14:textId="7F70ED18" w:rsidR="00272102" w:rsidRPr="0092007B" w:rsidRDefault="00272102" w:rsidP="00454CED">
            <w:pPr>
              <w:pStyle w:val="TableText"/>
              <w:keepNext/>
              <w:keepLines/>
              <w:jc w:val="center"/>
            </w:pPr>
            <w:r w:rsidRPr="0092007B">
              <w:rPr>
                <w:rFonts w:eastAsia="Times New Roman" w:cs="Calibri"/>
                <w:lang w:eastAsia="en-AU"/>
              </w:rPr>
              <w:t>-$</w:t>
            </w:r>
            <w:r w:rsidR="00A530EC" w:rsidRPr="0092007B">
              <w:rPr>
                <w:b/>
                <w:bCs/>
              </w:rPr>
              <w:t>redacted</w:t>
            </w:r>
          </w:p>
        </w:tc>
        <w:tc>
          <w:tcPr>
            <w:tcW w:w="1101" w:type="dxa"/>
            <w:noWrap/>
          </w:tcPr>
          <w:p w14:paraId="153C2E61" w14:textId="3A2E4710" w:rsidR="00272102" w:rsidRPr="0092007B" w:rsidRDefault="00272102" w:rsidP="00454CED">
            <w:pPr>
              <w:pStyle w:val="TableText"/>
              <w:keepNext/>
              <w:keepLines/>
              <w:jc w:val="center"/>
            </w:pPr>
            <w:r w:rsidRPr="0092007B">
              <w:rPr>
                <w:rFonts w:eastAsia="Times New Roman" w:cs="Calibri"/>
                <w:lang w:eastAsia="en-AU"/>
              </w:rPr>
              <w:t>-$</w:t>
            </w:r>
            <w:r w:rsidR="00A530EC" w:rsidRPr="0092007B">
              <w:rPr>
                <w:b/>
                <w:bCs/>
              </w:rPr>
              <w:t>redacted</w:t>
            </w:r>
          </w:p>
        </w:tc>
        <w:tc>
          <w:tcPr>
            <w:tcW w:w="1102" w:type="dxa"/>
            <w:noWrap/>
          </w:tcPr>
          <w:p w14:paraId="40CBF184" w14:textId="42DF1036" w:rsidR="00272102" w:rsidRPr="0092007B" w:rsidRDefault="00272102" w:rsidP="00454CED">
            <w:pPr>
              <w:pStyle w:val="TableText"/>
              <w:keepNext/>
              <w:keepLines/>
              <w:jc w:val="center"/>
            </w:pPr>
            <w:r w:rsidRPr="0092007B">
              <w:rPr>
                <w:rFonts w:eastAsia="Times New Roman" w:cs="Calibri"/>
                <w:lang w:eastAsia="en-AU"/>
              </w:rPr>
              <w:t>-$</w:t>
            </w:r>
            <w:r w:rsidR="00A530EC" w:rsidRPr="0092007B">
              <w:rPr>
                <w:b/>
                <w:bCs/>
              </w:rPr>
              <w:t>redacted</w:t>
            </w:r>
          </w:p>
        </w:tc>
        <w:tc>
          <w:tcPr>
            <w:tcW w:w="1101" w:type="dxa"/>
            <w:noWrap/>
          </w:tcPr>
          <w:p w14:paraId="6AFD2A38" w14:textId="1806BC2D" w:rsidR="00272102" w:rsidRPr="0092007B" w:rsidRDefault="00272102" w:rsidP="00454CED">
            <w:pPr>
              <w:pStyle w:val="TableText"/>
              <w:keepNext/>
              <w:keepLines/>
              <w:jc w:val="center"/>
            </w:pPr>
            <w:r w:rsidRPr="0092007B">
              <w:rPr>
                <w:rFonts w:eastAsia="Times New Roman" w:cs="Calibri"/>
                <w:lang w:eastAsia="en-AU"/>
              </w:rPr>
              <w:t>-$</w:t>
            </w:r>
            <w:r w:rsidR="00A530EC" w:rsidRPr="0092007B">
              <w:rPr>
                <w:b/>
                <w:bCs/>
              </w:rPr>
              <w:t>redacted</w:t>
            </w:r>
          </w:p>
        </w:tc>
        <w:tc>
          <w:tcPr>
            <w:tcW w:w="1101" w:type="dxa"/>
            <w:noWrap/>
          </w:tcPr>
          <w:p w14:paraId="0D499B4F" w14:textId="723534D7" w:rsidR="00272102" w:rsidRPr="0092007B" w:rsidRDefault="00272102" w:rsidP="00454CED">
            <w:pPr>
              <w:pStyle w:val="TableText"/>
              <w:keepNext/>
              <w:keepLines/>
              <w:jc w:val="center"/>
            </w:pPr>
            <w:r w:rsidRPr="0092007B">
              <w:rPr>
                <w:rFonts w:eastAsia="Times New Roman" w:cs="Calibri"/>
                <w:lang w:eastAsia="en-AU"/>
              </w:rPr>
              <w:t>-$</w:t>
            </w:r>
            <w:r w:rsidR="00A530EC" w:rsidRPr="0092007B">
              <w:rPr>
                <w:b/>
                <w:bCs/>
              </w:rPr>
              <w:t>redacted</w:t>
            </w:r>
          </w:p>
        </w:tc>
        <w:tc>
          <w:tcPr>
            <w:tcW w:w="1102" w:type="dxa"/>
            <w:noWrap/>
          </w:tcPr>
          <w:p w14:paraId="5BD7EE01" w14:textId="34916DC3" w:rsidR="00272102" w:rsidRPr="0092007B" w:rsidRDefault="00272102" w:rsidP="00454CED">
            <w:pPr>
              <w:pStyle w:val="TableText"/>
              <w:keepNext/>
              <w:keepLines/>
              <w:jc w:val="center"/>
            </w:pPr>
            <w:r w:rsidRPr="0092007B">
              <w:rPr>
                <w:rFonts w:eastAsia="Times New Roman" w:cs="Calibri"/>
                <w:lang w:eastAsia="en-AU"/>
              </w:rPr>
              <w:t>-$</w:t>
            </w:r>
            <w:r w:rsidR="00A530EC" w:rsidRPr="0092007B">
              <w:rPr>
                <w:b/>
                <w:bCs/>
              </w:rPr>
              <w:t>redacted</w:t>
            </w:r>
          </w:p>
        </w:tc>
      </w:tr>
      <w:tr w:rsidR="00272102" w:rsidRPr="00205340" w14:paraId="734280FE" w14:textId="77777777" w:rsidTr="00272102">
        <w:trPr>
          <w:cantSplit/>
        </w:trPr>
        <w:tc>
          <w:tcPr>
            <w:tcW w:w="2412" w:type="dxa"/>
            <w:noWrap/>
          </w:tcPr>
          <w:p w14:paraId="77AE47CF" w14:textId="77777777" w:rsidR="00272102" w:rsidRPr="00205340" w:rsidRDefault="00272102" w:rsidP="00454CED">
            <w:pPr>
              <w:pStyle w:val="TableText"/>
              <w:keepNext/>
              <w:keepLines/>
              <w:rPr>
                <w:b/>
                <w:bCs/>
              </w:rPr>
            </w:pPr>
            <w:r w:rsidRPr="00205340">
              <w:t>Net change in administration costs</w:t>
            </w:r>
          </w:p>
        </w:tc>
        <w:tc>
          <w:tcPr>
            <w:tcW w:w="1101" w:type="dxa"/>
            <w:noWrap/>
          </w:tcPr>
          <w:p w14:paraId="7405B9D8" w14:textId="618E9A37" w:rsidR="00272102" w:rsidRPr="0092007B" w:rsidRDefault="00272102" w:rsidP="00454CED">
            <w:pPr>
              <w:pStyle w:val="TableText"/>
              <w:keepNext/>
              <w:keepLines/>
              <w:jc w:val="center"/>
              <w:rPr>
                <w:b/>
                <w:bCs/>
              </w:rPr>
            </w:pPr>
            <w:r w:rsidRPr="0092007B">
              <w:t>-$</w:t>
            </w:r>
            <w:r w:rsidR="00D22EA0" w:rsidRPr="0092007B">
              <w:rPr>
                <w:b/>
                <w:bCs/>
              </w:rPr>
              <w:t>redacted</w:t>
            </w:r>
          </w:p>
        </w:tc>
        <w:tc>
          <w:tcPr>
            <w:tcW w:w="1101" w:type="dxa"/>
            <w:noWrap/>
          </w:tcPr>
          <w:p w14:paraId="1AB7982B" w14:textId="27655019" w:rsidR="00272102" w:rsidRPr="0092007B" w:rsidRDefault="00272102" w:rsidP="00454CED">
            <w:pPr>
              <w:pStyle w:val="TableText"/>
              <w:keepNext/>
              <w:keepLines/>
              <w:jc w:val="center"/>
              <w:rPr>
                <w:b/>
                <w:bCs/>
              </w:rPr>
            </w:pPr>
            <w:r w:rsidRPr="0092007B">
              <w:t>-$</w:t>
            </w:r>
            <w:r w:rsidR="00D22EA0" w:rsidRPr="0092007B">
              <w:rPr>
                <w:b/>
                <w:bCs/>
              </w:rPr>
              <w:t>redacted</w:t>
            </w:r>
          </w:p>
        </w:tc>
        <w:tc>
          <w:tcPr>
            <w:tcW w:w="1102" w:type="dxa"/>
            <w:noWrap/>
          </w:tcPr>
          <w:p w14:paraId="1055777A" w14:textId="1B61FAAF" w:rsidR="00272102" w:rsidRPr="0092007B" w:rsidRDefault="00272102" w:rsidP="00454CED">
            <w:pPr>
              <w:pStyle w:val="TableText"/>
              <w:keepNext/>
              <w:keepLines/>
              <w:jc w:val="center"/>
              <w:rPr>
                <w:b/>
                <w:bCs/>
              </w:rPr>
            </w:pPr>
            <w:r w:rsidRPr="0092007B">
              <w:t>-$</w:t>
            </w:r>
            <w:r w:rsidR="00D22EA0" w:rsidRPr="0092007B">
              <w:rPr>
                <w:b/>
                <w:bCs/>
              </w:rPr>
              <w:t>redacted</w:t>
            </w:r>
          </w:p>
        </w:tc>
        <w:tc>
          <w:tcPr>
            <w:tcW w:w="1101" w:type="dxa"/>
            <w:noWrap/>
          </w:tcPr>
          <w:p w14:paraId="39D52C3B" w14:textId="04A725CB" w:rsidR="00272102" w:rsidRPr="0092007B" w:rsidRDefault="00272102" w:rsidP="00454CED">
            <w:pPr>
              <w:pStyle w:val="TableText"/>
              <w:keepNext/>
              <w:keepLines/>
              <w:jc w:val="center"/>
              <w:rPr>
                <w:b/>
                <w:bCs/>
              </w:rPr>
            </w:pPr>
            <w:r w:rsidRPr="0092007B">
              <w:t>-$</w:t>
            </w:r>
            <w:r w:rsidR="00D22EA0" w:rsidRPr="0092007B">
              <w:rPr>
                <w:b/>
                <w:bCs/>
              </w:rPr>
              <w:t>redacted</w:t>
            </w:r>
          </w:p>
        </w:tc>
        <w:tc>
          <w:tcPr>
            <w:tcW w:w="1101" w:type="dxa"/>
            <w:noWrap/>
          </w:tcPr>
          <w:p w14:paraId="420EB404" w14:textId="30E1BE33" w:rsidR="00272102" w:rsidRPr="0092007B" w:rsidRDefault="00272102" w:rsidP="00454CED">
            <w:pPr>
              <w:pStyle w:val="TableText"/>
              <w:keepNext/>
              <w:keepLines/>
              <w:jc w:val="center"/>
              <w:rPr>
                <w:b/>
                <w:bCs/>
              </w:rPr>
            </w:pPr>
            <w:r w:rsidRPr="0092007B">
              <w:t>-$</w:t>
            </w:r>
            <w:r w:rsidR="00D22EA0" w:rsidRPr="0092007B">
              <w:rPr>
                <w:b/>
                <w:bCs/>
              </w:rPr>
              <w:t>redacted</w:t>
            </w:r>
          </w:p>
        </w:tc>
        <w:tc>
          <w:tcPr>
            <w:tcW w:w="1102" w:type="dxa"/>
            <w:noWrap/>
          </w:tcPr>
          <w:p w14:paraId="491CDC76" w14:textId="7E53446B" w:rsidR="00272102" w:rsidRPr="0092007B" w:rsidRDefault="00272102" w:rsidP="00454CED">
            <w:pPr>
              <w:pStyle w:val="TableText"/>
              <w:keepNext/>
              <w:keepLines/>
              <w:jc w:val="center"/>
              <w:rPr>
                <w:b/>
                <w:bCs/>
              </w:rPr>
            </w:pPr>
            <w:r w:rsidRPr="0092007B">
              <w:t>-$</w:t>
            </w:r>
            <w:r w:rsidR="00D22EA0" w:rsidRPr="0092007B">
              <w:rPr>
                <w:b/>
                <w:bCs/>
              </w:rPr>
              <w:t>redacted</w:t>
            </w:r>
          </w:p>
        </w:tc>
      </w:tr>
      <w:tr w:rsidR="00272102" w:rsidRPr="00205340" w14:paraId="0CE8996A" w14:textId="77777777" w:rsidTr="00272102">
        <w:trPr>
          <w:cantSplit/>
        </w:trPr>
        <w:tc>
          <w:tcPr>
            <w:tcW w:w="2412" w:type="dxa"/>
            <w:noWrap/>
          </w:tcPr>
          <w:p w14:paraId="595B8037" w14:textId="6FEDFB63" w:rsidR="00272102" w:rsidRPr="00205340" w:rsidRDefault="00272102" w:rsidP="00454CED">
            <w:pPr>
              <w:pStyle w:val="TableText"/>
              <w:keepNext/>
              <w:rPr>
                <w:b/>
                <w:bCs/>
                <w:vertAlign w:val="superscript"/>
              </w:rPr>
            </w:pPr>
            <w:r w:rsidRPr="00205340">
              <w:rPr>
                <w:b/>
                <w:bCs/>
              </w:rPr>
              <w:t xml:space="preserve">Overall net financial impact of funding </w:t>
            </w:r>
            <w:proofErr w:type="spellStart"/>
            <w:r w:rsidRPr="00205340">
              <w:rPr>
                <w:b/>
                <w:bCs/>
              </w:rPr>
              <w:t>marstacimab</w:t>
            </w:r>
            <w:r w:rsidR="006A5DA3" w:rsidRPr="00205340">
              <w:rPr>
                <w:b/>
                <w:bCs/>
                <w:vertAlign w:val="superscript"/>
              </w:rPr>
              <w:t>g</w:t>
            </w:r>
            <w:proofErr w:type="spellEnd"/>
          </w:p>
        </w:tc>
        <w:tc>
          <w:tcPr>
            <w:tcW w:w="1101" w:type="dxa"/>
            <w:noWrap/>
          </w:tcPr>
          <w:p w14:paraId="2652A635" w14:textId="77777777" w:rsidR="00272102" w:rsidRPr="0092007B" w:rsidRDefault="00272102" w:rsidP="00454CED">
            <w:pPr>
              <w:pStyle w:val="TableText"/>
              <w:keepNext/>
              <w:jc w:val="center"/>
              <w:rPr>
                <w:b/>
                <w:bCs/>
              </w:rPr>
            </w:pPr>
            <w:r w:rsidRPr="0092007B">
              <w:rPr>
                <w:b/>
                <w:bCs/>
              </w:rPr>
              <w:t>$23,936</w:t>
            </w:r>
          </w:p>
        </w:tc>
        <w:tc>
          <w:tcPr>
            <w:tcW w:w="1101" w:type="dxa"/>
            <w:noWrap/>
          </w:tcPr>
          <w:p w14:paraId="4BBF0C21" w14:textId="77777777" w:rsidR="00272102" w:rsidRPr="0092007B" w:rsidRDefault="00272102" w:rsidP="00454CED">
            <w:pPr>
              <w:pStyle w:val="TableText"/>
              <w:keepNext/>
              <w:jc w:val="center"/>
              <w:rPr>
                <w:b/>
                <w:bCs/>
              </w:rPr>
            </w:pPr>
            <w:r w:rsidRPr="0092007B">
              <w:rPr>
                <w:b/>
                <w:bCs/>
              </w:rPr>
              <w:t>$40,603</w:t>
            </w:r>
          </w:p>
        </w:tc>
        <w:tc>
          <w:tcPr>
            <w:tcW w:w="1102" w:type="dxa"/>
            <w:noWrap/>
          </w:tcPr>
          <w:p w14:paraId="7B4135C3" w14:textId="77777777" w:rsidR="00272102" w:rsidRPr="0092007B" w:rsidRDefault="00272102" w:rsidP="00454CED">
            <w:pPr>
              <w:pStyle w:val="TableText"/>
              <w:keepNext/>
              <w:jc w:val="center"/>
              <w:rPr>
                <w:b/>
                <w:bCs/>
              </w:rPr>
            </w:pPr>
            <w:r w:rsidRPr="0092007B">
              <w:rPr>
                <w:b/>
                <w:bCs/>
              </w:rPr>
              <w:t>$66,187</w:t>
            </w:r>
          </w:p>
        </w:tc>
        <w:tc>
          <w:tcPr>
            <w:tcW w:w="1101" w:type="dxa"/>
            <w:noWrap/>
          </w:tcPr>
          <w:p w14:paraId="0FB869A3" w14:textId="77777777" w:rsidR="00272102" w:rsidRPr="0092007B" w:rsidRDefault="00272102" w:rsidP="00454CED">
            <w:pPr>
              <w:pStyle w:val="TableText"/>
              <w:keepNext/>
              <w:jc w:val="center"/>
              <w:rPr>
                <w:b/>
                <w:bCs/>
              </w:rPr>
            </w:pPr>
            <w:r w:rsidRPr="0092007B">
              <w:rPr>
                <w:b/>
                <w:bCs/>
              </w:rPr>
              <w:t>$99,896</w:t>
            </w:r>
          </w:p>
        </w:tc>
        <w:tc>
          <w:tcPr>
            <w:tcW w:w="1101" w:type="dxa"/>
            <w:noWrap/>
          </w:tcPr>
          <w:p w14:paraId="30B945FE" w14:textId="77777777" w:rsidR="00272102" w:rsidRPr="0092007B" w:rsidRDefault="00272102" w:rsidP="00454CED">
            <w:pPr>
              <w:pStyle w:val="TableText"/>
              <w:keepNext/>
              <w:jc w:val="center"/>
              <w:rPr>
                <w:b/>
                <w:bCs/>
              </w:rPr>
            </w:pPr>
            <w:r w:rsidRPr="0092007B">
              <w:rPr>
                <w:b/>
                <w:bCs/>
              </w:rPr>
              <w:t>$133,831</w:t>
            </w:r>
          </w:p>
        </w:tc>
        <w:tc>
          <w:tcPr>
            <w:tcW w:w="1102" w:type="dxa"/>
            <w:noWrap/>
          </w:tcPr>
          <w:p w14:paraId="4EBEE874" w14:textId="77777777" w:rsidR="00272102" w:rsidRPr="0092007B" w:rsidRDefault="00272102" w:rsidP="00454CED">
            <w:pPr>
              <w:pStyle w:val="TableText"/>
              <w:keepNext/>
              <w:jc w:val="center"/>
              <w:rPr>
                <w:b/>
                <w:bCs/>
              </w:rPr>
            </w:pPr>
            <w:r w:rsidRPr="0092007B">
              <w:rPr>
                <w:b/>
                <w:bCs/>
              </w:rPr>
              <w:t>$135,235</w:t>
            </w:r>
          </w:p>
        </w:tc>
      </w:tr>
    </w:tbl>
    <w:p w14:paraId="016ED21D" w14:textId="77777777" w:rsidR="00272102" w:rsidRPr="00205340" w:rsidRDefault="00272102" w:rsidP="00272102">
      <w:pPr>
        <w:pStyle w:val="TableFigureFooter"/>
        <w:spacing w:before="0" w:after="240"/>
        <w:contextualSpacing/>
      </w:pPr>
      <w:r w:rsidRPr="00205340">
        <w:t>Source: Table 58 of the financial model provided with the submission.</w:t>
      </w:r>
      <w:r w:rsidRPr="00205340">
        <w:br/>
        <w:t>BTB = breakthrough bleed.</w:t>
      </w:r>
    </w:p>
    <w:p w14:paraId="137F52B8" w14:textId="162A1A20" w:rsidR="00272102" w:rsidRPr="00205340" w:rsidRDefault="00272102" w:rsidP="00272102">
      <w:pPr>
        <w:pStyle w:val="TableFigureFooter"/>
        <w:spacing w:before="0" w:after="240"/>
        <w:contextualSpacing/>
        <w:rPr>
          <w:rFonts w:cs="Calibri"/>
          <w:sz w:val="20"/>
        </w:rPr>
      </w:pPr>
      <w:r w:rsidRPr="00205340">
        <w:rPr>
          <w:vertAlign w:val="superscript"/>
        </w:rPr>
        <w:t>a</w:t>
      </w:r>
      <w:r w:rsidRPr="00205340">
        <w:t xml:space="preserve"> Assuming dose escalation, 1.05 doses per administration x 52 </w:t>
      </w:r>
      <w:r w:rsidRPr="00963FC1">
        <w:t>doses with compliance (98.08%) = 53.42 dose/patient/year at $</w:t>
      </w:r>
      <w:r w:rsidR="00F842B2" w:rsidRPr="00963FC1">
        <w:rPr>
          <w:b/>
          <w:bCs/>
        </w:rPr>
        <w:t>redacted</w:t>
      </w:r>
      <w:r w:rsidR="00F842B2" w:rsidRPr="00963FC1" w:rsidDel="00F842B2">
        <w:t xml:space="preserve"> </w:t>
      </w:r>
      <w:r w:rsidRPr="00963FC1">
        <w:t>per dose</w:t>
      </w:r>
      <w:r w:rsidRPr="00963FC1">
        <w:br/>
      </w:r>
      <w:r w:rsidRPr="00963FC1">
        <w:rPr>
          <w:vertAlign w:val="superscript"/>
        </w:rPr>
        <w:t>b</w:t>
      </w:r>
      <w:r w:rsidRPr="00963FC1">
        <w:t xml:space="preserve"> Assumes average patient weight of 77.83 kg and 3,578 IU/kg/year = 278,475.74 IU/patient/year at $0.68 per IU</w:t>
      </w:r>
      <w:r w:rsidRPr="00963FC1">
        <w:br/>
      </w:r>
      <w:r w:rsidRPr="00963FC1">
        <w:rPr>
          <w:vertAlign w:val="superscript"/>
        </w:rPr>
        <w:t>c</w:t>
      </w:r>
      <w:r w:rsidRPr="00963FC1">
        <w:t xml:space="preserve"> Assumes 2.48 breakthrough bleeds with a cost of $</w:t>
      </w:r>
      <w:r w:rsidR="00C62AC9" w:rsidRPr="00963FC1">
        <w:rPr>
          <w:b/>
          <w:bCs/>
        </w:rPr>
        <w:t>redacted</w:t>
      </w:r>
      <w:r w:rsidR="00C62AC9" w:rsidRPr="00963FC1">
        <w:t xml:space="preserve"> </w:t>
      </w:r>
      <w:r w:rsidRPr="00963FC1">
        <w:t>(9,806 IU * $</w:t>
      </w:r>
      <w:r w:rsidR="00C62AC9" w:rsidRPr="00963FC1">
        <w:rPr>
          <w:b/>
          <w:bCs/>
        </w:rPr>
        <w:t>redacted</w:t>
      </w:r>
      <w:r w:rsidRPr="00963FC1">
        <w:t>)</w:t>
      </w:r>
      <w:r w:rsidRPr="00963FC1">
        <w:br/>
      </w:r>
      <w:r w:rsidRPr="00963FC1">
        <w:rPr>
          <w:vertAlign w:val="superscript"/>
        </w:rPr>
        <w:t>d</w:t>
      </w:r>
      <w:r w:rsidRPr="00963FC1">
        <w:t xml:space="preserve"> Assumes 3.26 breakthrough bleeds with a cost of $</w:t>
      </w:r>
      <w:r w:rsidR="00C62AC9" w:rsidRPr="00963FC1">
        <w:rPr>
          <w:b/>
          <w:bCs/>
        </w:rPr>
        <w:t>redacted</w:t>
      </w:r>
      <w:r w:rsidR="00C62AC9" w:rsidRPr="00963FC1" w:rsidDel="00C62AC9">
        <w:t xml:space="preserve"> </w:t>
      </w:r>
      <w:r w:rsidRPr="00963FC1">
        <w:t>(9,806 IU * $</w:t>
      </w:r>
      <w:r w:rsidR="00C62AC9" w:rsidRPr="00963FC1">
        <w:rPr>
          <w:b/>
          <w:bCs/>
        </w:rPr>
        <w:t>redacted</w:t>
      </w:r>
      <w:r w:rsidRPr="00963FC1">
        <w:t>)</w:t>
      </w:r>
      <w:r w:rsidRPr="00205340">
        <w:br/>
      </w:r>
      <w:r w:rsidRPr="00205340">
        <w:rPr>
          <w:vertAlign w:val="superscript"/>
        </w:rPr>
        <w:t>e</w:t>
      </w:r>
      <w:r w:rsidRPr="00205340">
        <w:t xml:space="preserve"> 0.78 </w:t>
      </w:r>
      <w:r w:rsidRPr="00205340">
        <w:rPr>
          <w:rFonts w:cs="Calibri"/>
          <w:sz w:val="20"/>
        </w:rPr>
        <w:t>BTB per year, assuming the cost per BTB of $1,929 (3 administrations at $643 each).</w:t>
      </w:r>
    </w:p>
    <w:p w14:paraId="16950875" w14:textId="77777777" w:rsidR="00272102" w:rsidRPr="00205340" w:rsidRDefault="00272102" w:rsidP="00272102">
      <w:pPr>
        <w:pStyle w:val="TableFigureFooter"/>
        <w:spacing w:before="0" w:after="240"/>
        <w:contextualSpacing/>
        <w:rPr>
          <w:rFonts w:cs="Calibri"/>
          <w:sz w:val="20"/>
        </w:rPr>
      </w:pPr>
      <w:r w:rsidRPr="00205340">
        <w:rPr>
          <w:rFonts w:cs="Calibri"/>
          <w:sz w:val="20"/>
          <w:vertAlign w:val="superscript"/>
        </w:rPr>
        <w:t>f</w:t>
      </w:r>
      <w:r w:rsidRPr="00205340">
        <w:rPr>
          <w:rFonts w:cs="Calibri"/>
          <w:sz w:val="20"/>
        </w:rPr>
        <w:t xml:space="preserve"> 52 administration per year, assuming $643 per administration.</w:t>
      </w:r>
    </w:p>
    <w:p w14:paraId="5D2DA4AA" w14:textId="5A3CE0BC" w:rsidR="006A5DA3" w:rsidRPr="00205340" w:rsidRDefault="009A0BD6" w:rsidP="00272102">
      <w:pPr>
        <w:pStyle w:val="TableFigureFooter"/>
        <w:spacing w:before="0" w:after="240"/>
        <w:contextualSpacing/>
        <w:rPr>
          <w:rFonts w:cs="Calibri"/>
          <w:szCs w:val="20"/>
        </w:rPr>
      </w:pPr>
      <w:r w:rsidRPr="00205340">
        <w:rPr>
          <w:rFonts w:cs="Calibri"/>
          <w:szCs w:val="20"/>
          <w:vertAlign w:val="superscript"/>
        </w:rPr>
        <w:t xml:space="preserve">g </w:t>
      </w:r>
      <w:r w:rsidR="007C4AC0" w:rsidRPr="00205340">
        <w:rPr>
          <w:rFonts w:cs="Calibri"/>
          <w:szCs w:val="20"/>
        </w:rPr>
        <w:t xml:space="preserve">Overall net financial impact of funding marstacimab = cost of marstacimab to the </w:t>
      </w:r>
      <w:r w:rsidR="00A90D09" w:rsidRPr="00205340">
        <w:t>National Blood Agreement</w:t>
      </w:r>
      <w:r w:rsidR="007C4AC0" w:rsidRPr="00205340">
        <w:rPr>
          <w:rFonts w:cs="Calibri"/>
          <w:szCs w:val="20"/>
        </w:rPr>
        <w:t xml:space="preserve"> + </w:t>
      </w:r>
      <w:r w:rsidR="00B05887" w:rsidRPr="00205340">
        <w:rPr>
          <w:rFonts w:cs="Calibri"/>
          <w:szCs w:val="20"/>
        </w:rPr>
        <w:t xml:space="preserve">net changes in other technologies costs to the </w:t>
      </w:r>
      <w:r w:rsidR="00A90D09" w:rsidRPr="00205340">
        <w:t>National Blood Agreement</w:t>
      </w:r>
      <w:r w:rsidR="00B05887" w:rsidRPr="00205340">
        <w:rPr>
          <w:rFonts w:cs="Calibri"/>
          <w:szCs w:val="20"/>
        </w:rPr>
        <w:t xml:space="preserve"> + net changes in administration costs</w:t>
      </w:r>
    </w:p>
    <w:p w14:paraId="7CEA2F19" w14:textId="24406803" w:rsidR="00272102" w:rsidRPr="00205340" w:rsidRDefault="00272102" w:rsidP="00272102">
      <w:r w:rsidRPr="00205340">
        <w:t xml:space="preserve">The submission assumes that the number of breakthrough bleeds is the same for both emicizumab and marstacimab patients. The number of FVIII administration is also unchanged between the current and proposed scenarios. Therefore, there is no financial impact to administration costs for </w:t>
      </w:r>
      <w:r w:rsidR="005A48D3" w:rsidRPr="00205340">
        <w:t xml:space="preserve">patients with </w:t>
      </w:r>
      <w:r w:rsidRPr="00205340">
        <w:t>HMA with the proposed listing of marstacimab.</w:t>
      </w:r>
    </w:p>
    <w:p w14:paraId="3F1DCADE" w14:textId="62E3BDA2" w:rsidR="00272102" w:rsidRPr="00205340" w:rsidRDefault="00272102" w:rsidP="00272102">
      <w:r w:rsidRPr="00205340">
        <w:t xml:space="preserve">For the </w:t>
      </w:r>
      <w:r w:rsidR="0049559D" w:rsidRPr="00205340">
        <w:t xml:space="preserve">patients with </w:t>
      </w:r>
      <w:r w:rsidRPr="00205340">
        <w:t xml:space="preserve">HMB, the financial impact to administration costs results from the reduction in breakthrough bleeds and FIX prophylaxis that occurs for patients who are treated with marstacimab. The submission expects patients to have 0.78 fewer breakthrough bleeds </w:t>
      </w:r>
      <w:r w:rsidRPr="00205340">
        <w:lastRenderedPageBreak/>
        <w:t>annually</w:t>
      </w:r>
      <w:r w:rsidR="009F1CE1">
        <w:t> </w:t>
      </w:r>
      <w:r w:rsidRPr="00205340">
        <w:t>(3.26 – 2.48). These patients will also no longer receive FIX which results in 52 less administrations annually.</w:t>
      </w:r>
    </w:p>
    <w:p w14:paraId="0B75454A" w14:textId="165A15F7" w:rsidR="00B45EF5" w:rsidRPr="00205340" w:rsidRDefault="00E200C3" w:rsidP="00166E56">
      <w:pPr>
        <w:pStyle w:val="TableHeading0"/>
        <w:rPr>
          <w:rFonts w:ascii="Franklin Gothic Book" w:hAnsi="Franklin Gothic Book"/>
          <w:b w:val="0"/>
          <w:bCs/>
          <w:sz w:val="22"/>
        </w:rPr>
      </w:pPr>
      <w:r w:rsidRPr="00205340">
        <w:rPr>
          <w:rFonts w:ascii="Franklin Gothic Book" w:hAnsi="Franklin Gothic Book"/>
          <w:b w:val="0"/>
          <w:bCs/>
          <w:sz w:val="22"/>
        </w:rPr>
        <w:t xml:space="preserve">The commentary has tested various proportions of self-administration ($0 per administration) of FIX </w:t>
      </w:r>
      <w:r w:rsidR="00A075F5" w:rsidRPr="00205340">
        <w:rPr>
          <w:rFonts w:ascii="Franklin Gothic Book" w:hAnsi="Franklin Gothic Book"/>
          <w:b w:val="0"/>
          <w:bCs/>
          <w:sz w:val="22"/>
        </w:rPr>
        <w:t>in</w:t>
      </w:r>
      <w:r w:rsidR="002F4313" w:rsidRPr="00205340">
        <w:rPr>
          <w:rFonts w:ascii="Franklin Gothic Book" w:hAnsi="Franklin Gothic Book"/>
          <w:b w:val="0"/>
          <w:bCs/>
          <w:sz w:val="22"/>
        </w:rPr>
        <w:t xml:space="preserve"> a sensitivity analysis </w:t>
      </w:r>
      <w:r w:rsidRPr="00205340">
        <w:rPr>
          <w:rFonts w:ascii="Franklin Gothic Book" w:hAnsi="Franklin Gothic Book"/>
          <w:b w:val="0"/>
          <w:bCs/>
          <w:sz w:val="22"/>
        </w:rPr>
        <w:t>(</w:t>
      </w:r>
      <w:r w:rsidR="00F04910" w:rsidRPr="00205340">
        <w:rPr>
          <w:rFonts w:ascii="Franklin Gothic Book" w:hAnsi="Franklin Gothic Book"/>
          <w:b w:val="0"/>
          <w:bCs/>
          <w:sz w:val="22"/>
        </w:rPr>
        <w:fldChar w:fldCharType="begin" w:fldLock="1"/>
      </w:r>
      <w:r w:rsidR="00F04910" w:rsidRPr="00205340">
        <w:rPr>
          <w:rFonts w:ascii="Franklin Gothic Book" w:hAnsi="Franklin Gothic Book"/>
          <w:b w:val="0"/>
          <w:bCs/>
          <w:sz w:val="22"/>
        </w:rPr>
        <w:instrText xml:space="preserve"> REF _Ref227157440 \h  \* MERGEFORMAT </w:instrText>
      </w:r>
      <w:r w:rsidR="00F04910" w:rsidRPr="00205340">
        <w:rPr>
          <w:rFonts w:ascii="Franklin Gothic Book" w:hAnsi="Franklin Gothic Book"/>
          <w:b w:val="0"/>
          <w:bCs/>
          <w:sz w:val="22"/>
        </w:rPr>
      </w:r>
      <w:r w:rsidR="00F04910" w:rsidRPr="00205340">
        <w:rPr>
          <w:rFonts w:ascii="Franklin Gothic Book" w:hAnsi="Franklin Gothic Book"/>
          <w:b w:val="0"/>
          <w:bCs/>
          <w:sz w:val="22"/>
        </w:rPr>
        <w:fldChar w:fldCharType="separate"/>
      </w:r>
      <w:r w:rsidR="00F04910" w:rsidRPr="00205340">
        <w:rPr>
          <w:rFonts w:ascii="Franklin Gothic Book" w:hAnsi="Franklin Gothic Book"/>
          <w:b w:val="0"/>
          <w:bCs/>
          <w:sz w:val="22"/>
        </w:rPr>
        <w:t xml:space="preserve">Table </w:t>
      </w:r>
      <w:r w:rsidR="00F04910" w:rsidRPr="00205340">
        <w:rPr>
          <w:rFonts w:ascii="Franklin Gothic Book" w:hAnsi="Franklin Gothic Book"/>
          <w:b w:val="0"/>
          <w:bCs/>
          <w:noProof/>
          <w:sz w:val="22"/>
        </w:rPr>
        <w:t>25</w:t>
      </w:r>
      <w:r w:rsidR="00F04910" w:rsidRPr="00205340">
        <w:rPr>
          <w:rFonts w:ascii="Franklin Gothic Book" w:hAnsi="Franklin Gothic Book"/>
          <w:b w:val="0"/>
          <w:bCs/>
          <w:sz w:val="22"/>
        </w:rPr>
        <w:fldChar w:fldCharType="end"/>
      </w:r>
      <w:r w:rsidR="00D664DF" w:rsidRPr="00205340">
        <w:rPr>
          <w:rFonts w:ascii="Franklin Gothic Book" w:hAnsi="Franklin Gothic Book"/>
          <w:b w:val="0"/>
          <w:bCs/>
          <w:sz w:val="22"/>
        </w:rPr>
        <w:t>)</w:t>
      </w:r>
    </w:p>
    <w:p w14:paraId="70FFFFB0" w14:textId="4259E4F3" w:rsidR="00F04910" w:rsidRPr="00205340" w:rsidRDefault="00F04910" w:rsidP="00F04910">
      <w:pPr>
        <w:pStyle w:val="Caption"/>
      </w:pPr>
      <w:bookmarkStart w:id="71" w:name="_Ref227157440"/>
      <w:r w:rsidRPr="00205340">
        <w:t xml:space="preserve">Table </w:t>
      </w:r>
      <w:fldSimple w:instr=" SEQ Table \* ARABIC ">
        <w:r w:rsidR="002C6A9B" w:rsidRPr="00205340">
          <w:rPr>
            <w:noProof/>
          </w:rPr>
          <w:t>25</w:t>
        </w:r>
      </w:fldSimple>
      <w:bookmarkEnd w:id="71"/>
      <w:r w:rsidRPr="00205340">
        <w:t xml:space="preserve"> Sensitivity analyses around net financial implications of marstacimab to the health system </w:t>
      </w:r>
      <w:proofErr w:type="gramStart"/>
      <w:r w:rsidRPr="00205340">
        <w:t>taking into account</w:t>
      </w:r>
      <w:proofErr w:type="gramEnd"/>
      <w:r w:rsidRPr="00205340">
        <w:t xml:space="preserve"> self-administration of FIX</w:t>
      </w:r>
    </w:p>
    <w:tbl>
      <w:tblPr>
        <w:tblW w:w="5000" w:type="pct"/>
        <w:tblCellMar>
          <w:top w:w="28" w:type="dxa"/>
          <w:left w:w="57" w:type="dxa"/>
          <w:bottom w:w="28" w:type="dxa"/>
          <w:right w:w="57" w:type="dxa"/>
        </w:tblCellMar>
        <w:tblLook w:val="04A0" w:firstRow="1" w:lastRow="0" w:firstColumn="1" w:lastColumn="0" w:noHBand="0" w:noVBand="1"/>
      </w:tblPr>
      <w:tblGrid>
        <w:gridCol w:w="1833"/>
        <w:gridCol w:w="1195"/>
        <w:gridCol w:w="1196"/>
        <w:gridCol w:w="1195"/>
        <w:gridCol w:w="1196"/>
        <w:gridCol w:w="1195"/>
        <w:gridCol w:w="1196"/>
      </w:tblGrid>
      <w:tr w:rsidR="009575DF" w:rsidRPr="00205340" w14:paraId="4D2BFE28" w14:textId="77777777">
        <w:trPr>
          <w:cantSplit/>
          <w:tblHead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7A9AB2" w14:textId="77777777" w:rsidR="00166E56" w:rsidRPr="00205340" w:rsidRDefault="00166E56">
            <w:pPr>
              <w:pStyle w:val="TableText"/>
              <w:keepNext/>
              <w:rPr>
                <w:b/>
                <w:bCs/>
                <w:color w:val="000000" w:themeColor="text1"/>
              </w:rPr>
            </w:pPr>
          </w:p>
        </w:tc>
        <w:tc>
          <w:tcPr>
            <w:tcW w:w="11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8D756D" w14:textId="77777777" w:rsidR="00166E56" w:rsidRPr="00205340" w:rsidRDefault="00166E56">
            <w:pPr>
              <w:pStyle w:val="TableText"/>
              <w:keepNext/>
              <w:jc w:val="center"/>
              <w:rPr>
                <w:b/>
                <w:bCs/>
                <w:color w:val="000000" w:themeColor="text1"/>
              </w:rPr>
            </w:pPr>
            <w:r w:rsidRPr="00205340">
              <w:rPr>
                <w:b/>
                <w:bCs/>
                <w:color w:val="000000" w:themeColor="text1"/>
              </w:rPr>
              <w:t>2026-27</w:t>
            </w:r>
          </w:p>
        </w:tc>
        <w:tc>
          <w:tcPr>
            <w:tcW w:w="11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DEE3D6" w14:textId="77777777" w:rsidR="00166E56" w:rsidRPr="00205340" w:rsidRDefault="00166E56">
            <w:pPr>
              <w:pStyle w:val="TableText"/>
              <w:keepNext/>
              <w:jc w:val="center"/>
              <w:rPr>
                <w:b/>
                <w:bCs/>
                <w:color w:val="000000" w:themeColor="text1"/>
              </w:rPr>
            </w:pPr>
            <w:r w:rsidRPr="00205340">
              <w:rPr>
                <w:b/>
                <w:bCs/>
                <w:color w:val="000000" w:themeColor="text1"/>
              </w:rPr>
              <w:t>2027-28</w:t>
            </w:r>
          </w:p>
        </w:tc>
        <w:tc>
          <w:tcPr>
            <w:tcW w:w="11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D771B8" w14:textId="77777777" w:rsidR="00166E56" w:rsidRPr="00205340" w:rsidRDefault="00166E56">
            <w:pPr>
              <w:pStyle w:val="TableText"/>
              <w:keepNext/>
              <w:jc w:val="center"/>
              <w:rPr>
                <w:b/>
                <w:bCs/>
                <w:color w:val="000000" w:themeColor="text1"/>
              </w:rPr>
            </w:pPr>
            <w:r w:rsidRPr="00205340">
              <w:rPr>
                <w:b/>
                <w:bCs/>
                <w:color w:val="000000" w:themeColor="text1"/>
              </w:rPr>
              <w:t>2028-29</w:t>
            </w:r>
          </w:p>
        </w:tc>
        <w:tc>
          <w:tcPr>
            <w:tcW w:w="11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3265C1" w14:textId="77777777" w:rsidR="00166E56" w:rsidRPr="00205340" w:rsidRDefault="00166E56">
            <w:pPr>
              <w:pStyle w:val="TableText"/>
              <w:keepNext/>
              <w:jc w:val="center"/>
              <w:rPr>
                <w:b/>
                <w:bCs/>
                <w:color w:val="000000" w:themeColor="text1"/>
              </w:rPr>
            </w:pPr>
            <w:r w:rsidRPr="00205340">
              <w:rPr>
                <w:b/>
                <w:bCs/>
                <w:color w:val="000000" w:themeColor="text1"/>
              </w:rPr>
              <w:t>2029-30</w:t>
            </w:r>
          </w:p>
        </w:tc>
        <w:tc>
          <w:tcPr>
            <w:tcW w:w="11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7662A5" w14:textId="77777777" w:rsidR="00166E56" w:rsidRPr="00205340" w:rsidRDefault="00166E56">
            <w:pPr>
              <w:pStyle w:val="TableText"/>
              <w:keepNext/>
              <w:jc w:val="center"/>
              <w:rPr>
                <w:b/>
                <w:bCs/>
                <w:color w:val="000000" w:themeColor="text1"/>
              </w:rPr>
            </w:pPr>
            <w:r w:rsidRPr="00205340">
              <w:rPr>
                <w:b/>
                <w:bCs/>
                <w:color w:val="000000" w:themeColor="text1"/>
              </w:rPr>
              <w:t>2030-31</w:t>
            </w:r>
          </w:p>
        </w:tc>
        <w:tc>
          <w:tcPr>
            <w:tcW w:w="11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B3435C" w14:textId="77777777" w:rsidR="00166E56" w:rsidRPr="00205340" w:rsidRDefault="00166E56">
            <w:pPr>
              <w:pStyle w:val="TableText"/>
              <w:keepNext/>
              <w:jc w:val="center"/>
              <w:rPr>
                <w:b/>
                <w:bCs/>
                <w:color w:val="000000" w:themeColor="text1"/>
              </w:rPr>
            </w:pPr>
            <w:r w:rsidRPr="00205340">
              <w:rPr>
                <w:b/>
                <w:bCs/>
                <w:color w:val="000000" w:themeColor="text1"/>
              </w:rPr>
              <w:t>2031-32</w:t>
            </w:r>
          </w:p>
        </w:tc>
      </w:tr>
      <w:tr w:rsidR="009575DF" w:rsidRPr="00205340" w14:paraId="23083DEC" w14:textId="77777777">
        <w:trPr>
          <w:cantSplit/>
        </w:trPr>
        <w:tc>
          <w:tcPr>
            <w:tcW w:w="1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C2274A" w14:textId="77777777" w:rsidR="00166E56" w:rsidRPr="00205340" w:rsidRDefault="00166E56">
            <w:pPr>
              <w:pStyle w:val="TableText"/>
              <w:keepNext/>
              <w:rPr>
                <w:b/>
                <w:bCs/>
                <w:color w:val="000000" w:themeColor="text1"/>
              </w:rPr>
            </w:pPr>
            <w:r w:rsidRPr="00205340">
              <w:rPr>
                <w:b/>
                <w:bCs/>
                <w:color w:val="000000" w:themeColor="text1"/>
              </w:rPr>
              <w:t>Net health system impact (base case) </w:t>
            </w:r>
            <w:r w:rsidRPr="00205340">
              <w:rPr>
                <w:b/>
                <w:bCs/>
                <w:color w:val="000000" w:themeColor="text1"/>
                <w:vertAlign w:val="superscript"/>
              </w:rPr>
              <w:t>a</w:t>
            </w:r>
          </w:p>
        </w:tc>
        <w:tc>
          <w:tcPr>
            <w:tcW w:w="119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6A04CB" w14:textId="77777777" w:rsidR="00166E56" w:rsidRPr="00913727" w:rsidRDefault="00166E56">
            <w:pPr>
              <w:pStyle w:val="TableText"/>
              <w:keepNext/>
              <w:jc w:val="right"/>
              <w:rPr>
                <w:b/>
                <w:bCs/>
                <w:i/>
                <w:iCs/>
                <w:color w:val="000000" w:themeColor="text1"/>
              </w:rPr>
            </w:pPr>
            <w:r w:rsidRPr="00913727">
              <w:rPr>
                <w:b/>
                <w:bCs/>
              </w:rPr>
              <w:t>$23,936</w:t>
            </w:r>
          </w:p>
        </w:tc>
        <w:tc>
          <w:tcPr>
            <w:tcW w:w="119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846C174" w14:textId="77777777" w:rsidR="00166E56" w:rsidRPr="00913727" w:rsidRDefault="00166E56">
            <w:pPr>
              <w:pStyle w:val="TableText"/>
              <w:keepNext/>
              <w:jc w:val="right"/>
              <w:rPr>
                <w:b/>
                <w:bCs/>
                <w:i/>
                <w:iCs/>
                <w:color w:val="000000" w:themeColor="text1"/>
              </w:rPr>
            </w:pPr>
            <w:r w:rsidRPr="00913727">
              <w:rPr>
                <w:b/>
                <w:bCs/>
              </w:rPr>
              <w:t>$40,603</w:t>
            </w:r>
          </w:p>
        </w:tc>
        <w:tc>
          <w:tcPr>
            <w:tcW w:w="119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D785395" w14:textId="77777777" w:rsidR="00166E56" w:rsidRPr="00913727" w:rsidRDefault="00166E56">
            <w:pPr>
              <w:pStyle w:val="TableText"/>
              <w:keepNext/>
              <w:jc w:val="right"/>
              <w:rPr>
                <w:b/>
                <w:bCs/>
                <w:i/>
                <w:iCs/>
                <w:color w:val="000000" w:themeColor="text1"/>
              </w:rPr>
            </w:pPr>
            <w:r w:rsidRPr="00913727">
              <w:rPr>
                <w:b/>
                <w:bCs/>
              </w:rPr>
              <w:t>$66,187</w:t>
            </w:r>
          </w:p>
        </w:tc>
        <w:tc>
          <w:tcPr>
            <w:tcW w:w="119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2B702A" w14:textId="77777777" w:rsidR="00166E56" w:rsidRPr="00913727" w:rsidRDefault="00166E56">
            <w:pPr>
              <w:pStyle w:val="TableText"/>
              <w:keepNext/>
              <w:jc w:val="right"/>
              <w:rPr>
                <w:b/>
                <w:bCs/>
                <w:i/>
                <w:iCs/>
                <w:color w:val="000000" w:themeColor="text1"/>
              </w:rPr>
            </w:pPr>
            <w:r w:rsidRPr="00913727">
              <w:rPr>
                <w:b/>
                <w:bCs/>
              </w:rPr>
              <w:t>$99,896</w:t>
            </w:r>
          </w:p>
        </w:tc>
        <w:tc>
          <w:tcPr>
            <w:tcW w:w="119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97AF0D2" w14:textId="77777777" w:rsidR="00166E56" w:rsidRPr="00913727" w:rsidRDefault="00166E56">
            <w:pPr>
              <w:pStyle w:val="TableText"/>
              <w:keepNext/>
              <w:jc w:val="right"/>
              <w:rPr>
                <w:b/>
                <w:bCs/>
                <w:i/>
                <w:iCs/>
                <w:color w:val="000000" w:themeColor="text1"/>
              </w:rPr>
            </w:pPr>
            <w:r w:rsidRPr="00913727">
              <w:rPr>
                <w:b/>
                <w:bCs/>
              </w:rPr>
              <w:t>$133,831</w:t>
            </w:r>
          </w:p>
        </w:tc>
        <w:tc>
          <w:tcPr>
            <w:tcW w:w="119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C7581FA" w14:textId="77777777" w:rsidR="00166E56" w:rsidRPr="00913727" w:rsidRDefault="00166E56">
            <w:pPr>
              <w:pStyle w:val="TableText"/>
              <w:keepNext/>
              <w:jc w:val="right"/>
              <w:rPr>
                <w:b/>
                <w:bCs/>
                <w:i/>
                <w:iCs/>
                <w:color w:val="000000" w:themeColor="text1"/>
              </w:rPr>
            </w:pPr>
            <w:r w:rsidRPr="00913727">
              <w:rPr>
                <w:b/>
                <w:bCs/>
              </w:rPr>
              <w:t>$135,235</w:t>
            </w:r>
          </w:p>
        </w:tc>
      </w:tr>
      <w:tr w:rsidR="009575DF" w:rsidRPr="00205340" w14:paraId="5A35DDE9" w14:textId="77777777">
        <w:trPr>
          <w:cantSplit/>
        </w:trPr>
        <w:tc>
          <w:tcPr>
            <w:tcW w:w="183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0E3C4202" w14:textId="77777777" w:rsidR="00166E56" w:rsidRPr="00205340" w:rsidRDefault="00166E56">
            <w:pPr>
              <w:pStyle w:val="TableText"/>
              <w:keepNext/>
              <w:rPr>
                <w:color w:val="000000" w:themeColor="text1"/>
              </w:rPr>
            </w:pPr>
            <w:r w:rsidRPr="00205340">
              <w:rPr>
                <w:rFonts w:eastAsia="Times New Roman" w:cs="Calibri"/>
                <w:color w:val="000000" w:themeColor="text1"/>
                <w:lang w:eastAsia="en-AU"/>
              </w:rPr>
              <w:t xml:space="preserve">$0 per administration </w:t>
            </w:r>
            <w:r w:rsidRPr="00205340">
              <w:rPr>
                <w:rFonts w:eastAsia="Times New Roman" w:cs="Calibri"/>
                <w:color w:val="000000" w:themeColor="text1"/>
                <w:lang w:eastAsia="en-AU"/>
              </w:rPr>
              <w:br/>
              <w:t>(i.e. 100% self-administration)</w:t>
            </w:r>
          </w:p>
        </w:tc>
        <w:tc>
          <w:tcPr>
            <w:tcW w:w="119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BCEDD7" w14:textId="77777777" w:rsidR="00166E56" w:rsidRPr="00913727" w:rsidRDefault="00166E56">
            <w:pPr>
              <w:pStyle w:val="TableText"/>
              <w:keepNext/>
              <w:jc w:val="right"/>
              <w:rPr>
                <w:color w:val="000000" w:themeColor="text1"/>
              </w:rPr>
            </w:pPr>
            <w:r w:rsidRPr="00913727">
              <w:t>$525,528</w:t>
            </w:r>
          </w:p>
        </w:tc>
        <w:tc>
          <w:tcPr>
            <w:tcW w:w="119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FD23E7" w14:textId="77777777" w:rsidR="00166E56" w:rsidRPr="00913727" w:rsidRDefault="00166E56">
            <w:pPr>
              <w:pStyle w:val="TableText"/>
              <w:keepNext/>
              <w:jc w:val="right"/>
              <w:rPr>
                <w:color w:val="000000" w:themeColor="text1"/>
              </w:rPr>
            </w:pPr>
            <w:r w:rsidRPr="00913727">
              <w:t>$891,439</w:t>
            </w:r>
          </w:p>
        </w:tc>
        <w:tc>
          <w:tcPr>
            <w:tcW w:w="119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5723BF" w14:textId="77777777" w:rsidR="00166E56" w:rsidRPr="00913727" w:rsidRDefault="00166E56">
            <w:pPr>
              <w:pStyle w:val="TableText"/>
              <w:keepNext/>
              <w:jc w:val="right"/>
              <w:rPr>
                <w:color w:val="000000" w:themeColor="text1"/>
              </w:rPr>
            </w:pPr>
            <w:r w:rsidRPr="00913727">
              <w:t>$1,453,163</w:t>
            </w:r>
          </w:p>
        </w:tc>
        <w:tc>
          <w:tcPr>
            <w:tcW w:w="119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E030D29" w14:textId="77777777" w:rsidR="00166E56" w:rsidRPr="00913727" w:rsidRDefault="00166E56">
            <w:pPr>
              <w:pStyle w:val="TableText"/>
              <w:keepNext/>
              <w:jc w:val="right"/>
              <w:rPr>
                <w:color w:val="000000" w:themeColor="text1"/>
              </w:rPr>
            </w:pPr>
            <w:r w:rsidRPr="00913727">
              <w:t>$2,193,286</w:t>
            </w:r>
          </w:p>
        </w:tc>
        <w:tc>
          <w:tcPr>
            <w:tcW w:w="119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1CAF44" w14:textId="77777777" w:rsidR="00166E56" w:rsidRPr="00913727" w:rsidRDefault="00166E56">
            <w:pPr>
              <w:pStyle w:val="TableText"/>
              <w:keepNext/>
              <w:jc w:val="right"/>
              <w:rPr>
                <w:color w:val="000000" w:themeColor="text1"/>
              </w:rPr>
            </w:pPr>
            <w:r w:rsidRPr="00913727">
              <w:t>$2,938,328</w:t>
            </w:r>
          </w:p>
        </w:tc>
        <w:tc>
          <w:tcPr>
            <w:tcW w:w="119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7CA795" w14:textId="77777777" w:rsidR="00166E56" w:rsidRPr="00913727" w:rsidRDefault="00166E56">
            <w:pPr>
              <w:pStyle w:val="TableText"/>
              <w:keepNext/>
              <w:jc w:val="right"/>
              <w:rPr>
                <w:color w:val="000000" w:themeColor="text1"/>
              </w:rPr>
            </w:pPr>
            <w:r w:rsidRPr="00913727">
              <w:t>$2,969,155</w:t>
            </w:r>
          </w:p>
        </w:tc>
      </w:tr>
      <w:tr w:rsidR="009575DF" w:rsidRPr="00205340" w14:paraId="5C2A4370" w14:textId="77777777">
        <w:trPr>
          <w:cantSplit/>
        </w:trPr>
        <w:tc>
          <w:tcPr>
            <w:tcW w:w="183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F8F2B3A" w14:textId="77777777" w:rsidR="00166E56" w:rsidRPr="00205340" w:rsidRDefault="00166E56">
            <w:pPr>
              <w:pStyle w:val="TableText"/>
              <w:keepNext/>
              <w:rPr>
                <w:color w:val="000000" w:themeColor="text1"/>
              </w:rPr>
            </w:pPr>
            <w:r w:rsidRPr="00205340">
              <w:rPr>
                <w:rFonts w:eastAsia="Times New Roman" w:cs="Calibri"/>
                <w:color w:val="000000" w:themeColor="text1"/>
                <w:lang w:eastAsia="en-AU"/>
              </w:rPr>
              <w:t>75% self-administration</w:t>
            </w:r>
          </w:p>
        </w:tc>
        <w:tc>
          <w:tcPr>
            <w:tcW w:w="119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7A4C61" w14:textId="77777777" w:rsidR="00166E56" w:rsidRPr="00913727" w:rsidRDefault="00166E56">
            <w:pPr>
              <w:pStyle w:val="TableText"/>
              <w:keepNext/>
              <w:jc w:val="right"/>
              <w:rPr>
                <w:color w:val="000000" w:themeColor="text1"/>
              </w:rPr>
            </w:pPr>
            <w:r w:rsidRPr="00913727">
              <w:t>$400,130</w:t>
            </w:r>
          </w:p>
        </w:tc>
        <w:tc>
          <w:tcPr>
            <w:tcW w:w="119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8D0E5D3" w14:textId="77777777" w:rsidR="00166E56" w:rsidRPr="00913727" w:rsidRDefault="00166E56">
            <w:pPr>
              <w:pStyle w:val="TableText"/>
              <w:keepNext/>
              <w:jc w:val="right"/>
              <w:rPr>
                <w:color w:val="000000" w:themeColor="text1"/>
              </w:rPr>
            </w:pPr>
            <w:r w:rsidRPr="00913727">
              <w:t>$678,730</w:t>
            </w:r>
          </w:p>
        </w:tc>
        <w:tc>
          <w:tcPr>
            <w:tcW w:w="119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0DBF86" w14:textId="77777777" w:rsidR="00166E56" w:rsidRPr="00913727" w:rsidRDefault="00166E56">
            <w:pPr>
              <w:pStyle w:val="TableText"/>
              <w:keepNext/>
              <w:jc w:val="right"/>
              <w:rPr>
                <w:color w:val="000000" w:themeColor="text1"/>
              </w:rPr>
            </w:pPr>
            <w:r w:rsidRPr="00913727">
              <w:t>$1,106,419</w:t>
            </w:r>
          </w:p>
        </w:tc>
        <w:tc>
          <w:tcPr>
            <w:tcW w:w="119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793281" w14:textId="77777777" w:rsidR="00166E56" w:rsidRPr="00913727" w:rsidRDefault="00166E56">
            <w:pPr>
              <w:pStyle w:val="TableText"/>
              <w:keepNext/>
              <w:jc w:val="right"/>
              <w:rPr>
                <w:color w:val="000000" w:themeColor="text1"/>
              </w:rPr>
            </w:pPr>
            <w:r w:rsidRPr="00913727">
              <w:t>$1,669,939</w:t>
            </w:r>
          </w:p>
        </w:tc>
        <w:tc>
          <w:tcPr>
            <w:tcW w:w="119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932288" w14:textId="77777777" w:rsidR="00166E56" w:rsidRPr="00913727" w:rsidRDefault="00166E56">
            <w:pPr>
              <w:pStyle w:val="TableText"/>
              <w:keepNext/>
              <w:jc w:val="right"/>
              <w:rPr>
                <w:color w:val="000000" w:themeColor="text1"/>
              </w:rPr>
            </w:pPr>
            <w:r w:rsidRPr="00913727">
              <w:t>$2,237,204</w:t>
            </w:r>
          </w:p>
        </w:tc>
        <w:tc>
          <w:tcPr>
            <w:tcW w:w="119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A08C11" w14:textId="77777777" w:rsidR="00166E56" w:rsidRPr="00913727" w:rsidRDefault="00166E56">
            <w:pPr>
              <w:pStyle w:val="TableText"/>
              <w:keepNext/>
              <w:jc w:val="right"/>
              <w:rPr>
                <w:color w:val="000000" w:themeColor="text1"/>
              </w:rPr>
            </w:pPr>
            <w:r w:rsidRPr="00913727">
              <w:t>$2,260,675</w:t>
            </w:r>
          </w:p>
        </w:tc>
      </w:tr>
      <w:tr w:rsidR="009575DF" w:rsidRPr="00205340" w14:paraId="3F7CA144" w14:textId="77777777">
        <w:trPr>
          <w:cantSplit/>
        </w:trPr>
        <w:tc>
          <w:tcPr>
            <w:tcW w:w="183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C6A02AB" w14:textId="77777777" w:rsidR="00166E56" w:rsidRPr="00205340" w:rsidRDefault="00166E56">
            <w:pPr>
              <w:pStyle w:val="TableText"/>
              <w:keepNext/>
              <w:rPr>
                <w:color w:val="000000" w:themeColor="text1"/>
              </w:rPr>
            </w:pPr>
            <w:r w:rsidRPr="00205340">
              <w:rPr>
                <w:rFonts w:eastAsia="Times New Roman" w:cs="Calibri"/>
                <w:color w:val="000000" w:themeColor="text1"/>
                <w:lang w:eastAsia="en-AU"/>
              </w:rPr>
              <w:t>50% self-administration</w:t>
            </w:r>
          </w:p>
        </w:tc>
        <w:tc>
          <w:tcPr>
            <w:tcW w:w="119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9F531EF" w14:textId="77777777" w:rsidR="00166E56" w:rsidRPr="00913727" w:rsidRDefault="00166E56">
            <w:pPr>
              <w:pStyle w:val="TableText"/>
              <w:keepNext/>
              <w:jc w:val="right"/>
              <w:rPr>
                <w:color w:val="000000" w:themeColor="text1"/>
              </w:rPr>
            </w:pPr>
            <w:r w:rsidRPr="00913727">
              <w:t>$274,733</w:t>
            </w:r>
          </w:p>
        </w:tc>
        <w:tc>
          <w:tcPr>
            <w:tcW w:w="119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899987" w14:textId="77777777" w:rsidR="00166E56" w:rsidRPr="00913727" w:rsidRDefault="00166E56">
            <w:pPr>
              <w:pStyle w:val="TableText"/>
              <w:keepNext/>
              <w:jc w:val="right"/>
              <w:rPr>
                <w:color w:val="000000" w:themeColor="text1"/>
              </w:rPr>
            </w:pPr>
            <w:r w:rsidRPr="00913727">
              <w:t>$466,021</w:t>
            </w:r>
          </w:p>
        </w:tc>
        <w:tc>
          <w:tcPr>
            <w:tcW w:w="119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D3CBF9" w14:textId="77777777" w:rsidR="00166E56" w:rsidRPr="00913727" w:rsidRDefault="00166E56">
            <w:pPr>
              <w:pStyle w:val="TableText"/>
              <w:keepNext/>
              <w:jc w:val="right"/>
              <w:rPr>
                <w:color w:val="000000" w:themeColor="text1"/>
              </w:rPr>
            </w:pPr>
            <w:r w:rsidRPr="00913727">
              <w:t>$759,675</w:t>
            </w:r>
          </w:p>
        </w:tc>
        <w:tc>
          <w:tcPr>
            <w:tcW w:w="119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44FA14" w14:textId="77777777" w:rsidR="00166E56" w:rsidRPr="00913727" w:rsidRDefault="00166E56">
            <w:pPr>
              <w:pStyle w:val="TableText"/>
              <w:keepNext/>
              <w:jc w:val="right"/>
              <w:rPr>
                <w:color w:val="000000" w:themeColor="text1"/>
              </w:rPr>
            </w:pPr>
            <w:r w:rsidRPr="00913727">
              <w:t>$1,146,592</w:t>
            </w:r>
          </w:p>
        </w:tc>
        <w:tc>
          <w:tcPr>
            <w:tcW w:w="119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3ABD64" w14:textId="77777777" w:rsidR="00166E56" w:rsidRPr="00913727" w:rsidRDefault="00166E56">
            <w:pPr>
              <w:pStyle w:val="TableText"/>
              <w:keepNext/>
              <w:jc w:val="right"/>
              <w:rPr>
                <w:color w:val="000000" w:themeColor="text1"/>
              </w:rPr>
            </w:pPr>
            <w:r w:rsidRPr="00913727">
              <w:t>$1,536,079</w:t>
            </w:r>
          </w:p>
        </w:tc>
        <w:tc>
          <w:tcPr>
            <w:tcW w:w="119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805D01" w14:textId="77777777" w:rsidR="00166E56" w:rsidRPr="00913727" w:rsidRDefault="00166E56">
            <w:pPr>
              <w:pStyle w:val="TableText"/>
              <w:keepNext/>
              <w:jc w:val="right"/>
              <w:rPr>
                <w:color w:val="000000" w:themeColor="text1"/>
              </w:rPr>
            </w:pPr>
            <w:r w:rsidRPr="00913727">
              <w:t>$1,552,196</w:t>
            </w:r>
          </w:p>
        </w:tc>
      </w:tr>
    </w:tbl>
    <w:p w14:paraId="2B43867F" w14:textId="77777777" w:rsidR="00166E56" w:rsidRPr="00205340" w:rsidRDefault="00166E56" w:rsidP="00166E56">
      <w:pPr>
        <w:contextualSpacing/>
        <w:rPr>
          <w:rFonts w:ascii="Arial Narrow" w:eastAsia="Times New Roman" w:hAnsi="Arial Narrow" w:cs="Arial"/>
          <w:snapToGrid w:val="0"/>
          <w:color w:val="000000" w:themeColor="text1"/>
          <w:sz w:val="18"/>
          <w:lang w:eastAsia="en-AU"/>
        </w:rPr>
      </w:pPr>
      <w:r w:rsidRPr="00205340">
        <w:rPr>
          <w:rFonts w:ascii="Arial Narrow" w:eastAsia="Times New Roman" w:hAnsi="Arial Narrow" w:cs="Arial"/>
          <w:snapToGrid w:val="0"/>
          <w:color w:val="000000" w:themeColor="text1"/>
          <w:sz w:val="18"/>
          <w:lang w:eastAsia="en-AU"/>
        </w:rPr>
        <w:t>Source: Constructed during the evaluation.</w:t>
      </w:r>
    </w:p>
    <w:p w14:paraId="7678F6A5" w14:textId="5D2970B8" w:rsidR="00E200C3" w:rsidRPr="00205340" w:rsidRDefault="00166E56" w:rsidP="005C116D">
      <w:pPr>
        <w:rPr>
          <w:rFonts w:ascii="Arial Narrow" w:eastAsia="Times New Roman" w:hAnsi="Arial Narrow" w:cs="Arial"/>
          <w:snapToGrid w:val="0"/>
          <w:color w:val="000000" w:themeColor="text1"/>
          <w:sz w:val="18"/>
          <w:lang w:eastAsia="en-AU"/>
        </w:rPr>
      </w:pPr>
      <w:r w:rsidRPr="00205340">
        <w:rPr>
          <w:rFonts w:ascii="Arial Narrow" w:eastAsia="Times New Roman" w:hAnsi="Arial Narrow" w:cs="Arial"/>
          <w:snapToGrid w:val="0"/>
          <w:color w:val="000000" w:themeColor="text1"/>
          <w:sz w:val="18"/>
          <w:vertAlign w:val="superscript"/>
          <w:lang w:eastAsia="en-AU"/>
        </w:rPr>
        <w:t>a</w:t>
      </w:r>
      <w:r w:rsidRPr="00205340">
        <w:rPr>
          <w:rFonts w:ascii="Arial Narrow" w:eastAsia="Times New Roman" w:hAnsi="Arial Narrow" w:cs="Arial"/>
          <w:snapToGrid w:val="0"/>
          <w:color w:val="000000" w:themeColor="text1"/>
          <w:sz w:val="18"/>
          <w:lang w:eastAsia="en-AU"/>
        </w:rPr>
        <w:t xml:space="preserve"> Base case assumes all administrations were conducted by a health care professional, at a cost of $643 per administration.</w:t>
      </w:r>
    </w:p>
    <w:p w14:paraId="2CDA9B2B" w14:textId="2119283D" w:rsidR="0080090C" w:rsidRPr="00205340" w:rsidRDefault="0080090C" w:rsidP="005C116D">
      <w:pPr>
        <w:pStyle w:val="Heading2"/>
        <w:keepNext w:val="0"/>
        <w:keepLines w:val="0"/>
        <w:numPr>
          <w:ilvl w:val="0"/>
          <w:numId w:val="29"/>
        </w:numPr>
        <w:ind w:hanging="720"/>
      </w:pPr>
      <w:bookmarkStart w:id="72" w:name="_Toc69491427"/>
      <w:bookmarkEnd w:id="69"/>
      <w:r w:rsidRPr="00205340">
        <w:t xml:space="preserve">Other relevant </w:t>
      </w:r>
      <w:bookmarkEnd w:id="72"/>
      <w:r w:rsidRPr="00205340">
        <w:t>information</w:t>
      </w:r>
    </w:p>
    <w:p w14:paraId="71894F26" w14:textId="77777777" w:rsidR="00AD632C" w:rsidRPr="00205340" w:rsidRDefault="00AD632C" w:rsidP="00AD632C">
      <w:pPr>
        <w:pStyle w:val="Heading3"/>
      </w:pPr>
      <w:r w:rsidRPr="00205340">
        <w:t>Near market comparator for HMB</w:t>
      </w:r>
    </w:p>
    <w:p w14:paraId="597F81F5" w14:textId="20A267B2" w:rsidR="0080090C" w:rsidRPr="00205340" w:rsidRDefault="0080090C" w:rsidP="0080090C">
      <w:r w:rsidRPr="00205340">
        <w:t xml:space="preserve">Uncertainty about the treatment effect of marstacimab for </w:t>
      </w:r>
      <w:r w:rsidR="0049559D" w:rsidRPr="00205340">
        <w:t xml:space="preserve">patients with </w:t>
      </w:r>
      <w:r w:rsidRPr="00205340">
        <w:t xml:space="preserve">HMB should be considered alongside other factors discussed </w:t>
      </w:r>
      <w:r w:rsidR="003E54F1" w:rsidRPr="00205340">
        <w:t>in</w:t>
      </w:r>
      <w:r w:rsidRPr="00205340">
        <w:t xml:space="preserve"> the ADAR. The </w:t>
      </w:r>
      <w:r w:rsidR="003E54F1" w:rsidRPr="00205340">
        <w:t xml:space="preserve">ADAR </w:t>
      </w:r>
      <w:r w:rsidRPr="00205340">
        <w:t xml:space="preserve">has highlighted the potential advantage of reduced treatment burden and patient preference as the main value </w:t>
      </w:r>
      <w:r w:rsidR="00D91B8E" w:rsidRPr="00205340">
        <w:t>proposition and</w:t>
      </w:r>
      <w:r w:rsidRPr="00205340">
        <w:t xml:space="preserve"> suggested that some patients may prefer the mode of administration and/or treatment frequency afforded by marstacimab. Arrangements under which clinicians and their patients with HMB nominate </w:t>
      </w:r>
      <w:r w:rsidR="00F71685" w:rsidRPr="00205340">
        <w:t>F</w:t>
      </w:r>
      <w:r w:rsidRPr="00205340">
        <w:t>actor IX prophylaxis or marstacimab based on individual treatment efficacy and/or convenience are also discussed in the ADAR.</w:t>
      </w:r>
    </w:p>
    <w:p w14:paraId="0BA97CD5" w14:textId="649644E3" w:rsidR="0080090C" w:rsidRPr="00205340" w:rsidRDefault="0080090C" w:rsidP="0080090C">
      <w:r w:rsidRPr="00205340">
        <w:t xml:space="preserve">The applicant’s value proposition concerning patient preference and convenience of administration mode requires consideration within the broader clinical context of all available treatment options for HMB in Australia. Notably, there is evidence to suggest that the emergent treatment option of </w:t>
      </w:r>
      <w:proofErr w:type="spellStart"/>
      <w:r w:rsidRPr="00205340">
        <w:t>entranocogene</w:t>
      </w:r>
      <w:proofErr w:type="spellEnd"/>
      <w:r w:rsidRPr="00205340">
        <w:t xml:space="preserve"> dezaparvovec (ED), brand name </w:t>
      </w:r>
      <w:proofErr w:type="spellStart"/>
      <w:r w:rsidRPr="00205340">
        <w:t>Hemgenix</w:t>
      </w:r>
      <w:proofErr w:type="spellEnd"/>
      <w:r w:rsidRPr="00205340">
        <w:t>®, is clinically superior to FIX for patients with severe HMB</w:t>
      </w:r>
      <w:r w:rsidR="003037FE" w:rsidRPr="00205340">
        <w:t xml:space="preserve"> (</w:t>
      </w:r>
      <w:r w:rsidR="001B5663" w:rsidRPr="00205340">
        <w:fldChar w:fldCharType="begin" w:fldLock="1"/>
      </w:r>
      <w:r w:rsidR="001B5663" w:rsidRPr="00205340">
        <w:instrText xml:space="preserve"> REF _Ref227156701 \h </w:instrText>
      </w:r>
      <w:r w:rsidR="00205340">
        <w:instrText xml:space="preserve"> \* MERGEFORMAT </w:instrText>
      </w:r>
      <w:r w:rsidR="001B5663" w:rsidRPr="00205340">
        <w:fldChar w:fldCharType="separate"/>
      </w:r>
      <w:r w:rsidR="001B5663" w:rsidRPr="00205340">
        <w:t xml:space="preserve">Table </w:t>
      </w:r>
      <w:r w:rsidR="001B5663" w:rsidRPr="00205340">
        <w:rPr>
          <w:noProof/>
        </w:rPr>
        <w:t>8</w:t>
      </w:r>
      <w:r w:rsidR="001B5663" w:rsidRPr="00205340">
        <w:fldChar w:fldCharType="end"/>
      </w:r>
      <w:r w:rsidRPr="00205340">
        <w:t xml:space="preserve">). The additional benefit </w:t>
      </w:r>
      <w:r w:rsidR="77C4DB46" w:rsidRPr="00205340">
        <w:t xml:space="preserve">of </w:t>
      </w:r>
      <w:r w:rsidR="00787E4A" w:rsidRPr="00205340">
        <w:t>ED</w:t>
      </w:r>
      <w:r w:rsidRPr="00205340">
        <w:t xml:space="preserve"> over FIX, by extension, suggests the clinical effect of </w:t>
      </w:r>
      <w:r w:rsidR="00787E4A" w:rsidRPr="00205340">
        <w:t>ED</w:t>
      </w:r>
      <w:r w:rsidRPr="00205340">
        <w:t xml:space="preserve"> may be more favourable in comparison to marstacimab, which did not achieve treated ABR reductions as low as total ABR reductions for ED when either were compared with against FIX prophylaxis in the BASIS trials and HOPE-B study, respectively.</w:t>
      </w:r>
    </w:p>
    <w:p w14:paraId="71184932" w14:textId="77777777" w:rsidR="00AD632C" w:rsidRPr="00205340" w:rsidRDefault="00AD632C" w:rsidP="00AD632C">
      <w:pPr>
        <w:pStyle w:val="Heading3"/>
      </w:pPr>
      <w:r w:rsidRPr="00205340">
        <w:t>Treatment alternatives for HMA individuals who develop anti-emicizumab antibodies</w:t>
      </w:r>
    </w:p>
    <w:p w14:paraId="1F56BA54" w14:textId="55EEDE12" w:rsidR="005C116D" w:rsidRPr="00205340" w:rsidRDefault="00AD632C" w:rsidP="005C116D">
      <w:r w:rsidRPr="00205340">
        <w:t>Due to the</w:t>
      </w:r>
      <w:r w:rsidR="08FB29AC" w:rsidRPr="00205340">
        <w:t>ir</w:t>
      </w:r>
      <w:r w:rsidRPr="00205340">
        <w:t xml:space="preserve"> mechanism of action, TFPI therapies provide an additional therapeutic option for an anticipated small number of individuals with HMA who have received emicizumab prophylaxis, but who develop anti-emicizumab antibodies and need to revert to intravenous factor replacement.</w:t>
      </w:r>
    </w:p>
    <w:p w14:paraId="0026AF48" w14:textId="0CB87092" w:rsidR="0080090C" w:rsidRPr="00205340" w:rsidRDefault="0080090C" w:rsidP="005C116D">
      <w:pPr>
        <w:pStyle w:val="Heading2"/>
        <w:keepNext w:val="0"/>
        <w:keepLines w:val="0"/>
        <w:numPr>
          <w:ilvl w:val="0"/>
          <w:numId w:val="29"/>
        </w:numPr>
        <w:ind w:hanging="720"/>
      </w:pPr>
      <w:bookmarkStart w:id="73" w:name="_Toc69491428"/>
      <w:bookmarkStart w:id="74" w:name="_Ref223095712"/>
      <w:r w:rsidRPr="00205340">
        <w:lastRenderedPageBreak/>
        <w:t>Committee-in-confidence information</w:t>
      </w:r>
      <w:bookmarkEnd w:id="73"/>
      <w:bookmarkEnd w:id="74"/>
    </w:p>
    <w:p w14:paraId="73EDD542" w14:textId="4E6B75DD" w:rsidR="001C4822" w:rsidRPr="00205340" w:rsidRDefault="001C4822" w:rsidP="00575B25">
      <w:pPr>
        <w:rPr>
          <w:b/>
          <w:bCs/>
        </w:rPr>
      </w:pPr>
      <w:r w:rsidRPr="00205340">
        <w:rPr>
          <w:b/>
          <w:bCs/>
        </w:rPr>
        <w:t>Redacted</w:t>
      </w:r>
    </w:p>
    <w:bookmarkEnd w:id="49"/>
    <w:p w14:paraId="0317247E" w14:textId="5E9F0846" w:rsidR="005C116D" w:rsidRPr="00205340" w:rsidRDefault="005C116D" w:rsidP="005C116D">
      <w:pPr>
        <w:pStyle w:val="Heading2"/>
        <w:keepNext w:val="0"/>
        <w:keepLines w:val="0"/>
        <w:numPr>
          <w:ilvl w:val="0"/>
          <w:numId w:val="29"/>
        </w:numPr>
        <w:ind w:hanging="720"/>
      </w:pPr>
      <w:r w:rsidRPr="00205340">
        <w:t xml:space="preserve">Key issues from ESC to MSAC </w:t>
      </w:r>
    </w:p>
    <w:tbl>
      <w:tblPr>
        <w:tblStyle w:val="TableGrid"/>
        <w:tblW w:w="0" w:type="auto"/>
        <w:tblLook w:val="04A0" w:firstRow="1" w:lastRow="0" w:firstColumn="1" w:lastColumn="0" w:noHBand="0" w:noVBand="1"/>
      </w:tblPr>
      <w:tblGrid>
        <w:gridCol w:w="9016"/>
      </w:tblGrid>
      <w:tr w:rsidR="00135F99" w:rsidRPr="00205340" w14:paraId="14B15F76" w14:textId="77777777">
        <w:tc>
          <w:tcPr>
            <w:tcW w:w="9016" w:type="dxa"/>
          </w:tcPr>
          <w:p w14:paraId="7451F23A" w14:textId="77777777" w:rsidR="00135F99" w:rsidRPr="00205340" w:rsidRDefault="00135F99">
            <w:pPr>
              <w:spacing w:before="240" w:after="240"/>
              <w:rPr>
                <w:b/>
                <w:bCs/>
                <w:sz w:val="24"/>
                <w:szCs w:val="24"/>
              </w:rPr>
            </w:pPr>
            <w:bookmarkStart w:id="75" w:name="_Hlk69734340"/>
            <w:r w:rsidRPr="00205340">
              <w:rPr>
                <w:b/>
                <w:bCs/>
                <w:sz w:val="24"/>
                <w:szCs w:val="24"/>
              </w:rPr>
              <w:t>Main issues for MSAC consideration</w:t>
            </w:r>
          </w:p>
          <w:p w14:paraId="06C69A27" w14:textId="77777777" w:rsidR="00135F99" w:rsidRPr="00205340" w:rsidRDefault="00135F99">
            <w:pPr>
              <w:rPr>
                <w:b/>
              </w:rPr>
            </w:pPr>
            <w:r w:rsidRPr="00205340">
              <w:rPr>
                <w:b/>
              </w:rPr>
              <w:t>Clinical issues:</w:t>
            </w:r>
          </w:p>
          <w:p w14:paraId="0C14800B" w14:textId="77777777" w:rsidR="00135F99" w:rsidRPr="00205340" w:rsidRDefault="00135F99" w:rsidP="005C116D">
            <w:pPr>
              <w:pStyle w:val="ListParagraph"/>
              <w:numPr>
                <w:ilvl w:val="0"/>
                <w:numId w:val="25"/>
              </w:numPr>
              <w:spacing w:before="0" w:after="120"/>
              <w:ind w:left="448" w:hanging="425"/>
              <w:contextualSpacing w:val="0"/>
            </w:pPr>
            <w:r w:rsidRPr="00205340">
              <w:t xml:space="preserve">This application is requesting public funding for marstacimab to prevent bleeding in patients aged 12 years and over with severe Haemophilia A (HMA) or severe Haemophilia B (HMB), who are without Factor VIII or Factor IX inhibitors, respectively. </w:t>
            </w:r>
          </w:p>
          <w:p w14:paraId="0980F07A" w14:textId="77777777" w:rsidR="00135F99" w:rsidRPr="00205340" w:rsidRDefault="00135F99" w:rsidP="005C116D">
            <w:pPr>
              <w:pStyle w:val="ListParagraph"/>
              <w:numPr>
                <w:ilvl w:val="0"/>
                <w:numId w:val="25"/>
              </w:numPr>
              <w:spacing w:before="0" w:after="120"/>
              <w:ind w:left="448" w:hanging="425"/>
              <w:contextualSpacing w:val="0"/>
            </w:pPr>
            <w:r w:rsidRPr="00205340">
              <w:t xml:space="preserve">Evidence for the comparison of marstacimab with emicizumab in HMA has been derived from an indirect treatment comparison and qualitative assessment of safety, between the BASIS and HAVEN 3 studies. ESC considered that there is low confidence in the results for both effectiveness and safety due to limitations with each study and the differences between them which impact the comparison. ESC considered adjustment by region may help account for differences in healthcare access and management across the two studies (noting that even with such adjustment uncertainties will remain). </w:t>
            </w:r>
          </w:p>
          <w:p w14:paraId="329640ED" w14:textId="080D6FBA" w:rsidR="00135F99" w:rsidRPr="00205340" w:rsidRDefault="00135F99" w:rsidP="005C116D">
            <w:pPr>
              <w:pStyle w:val="ListParagraph"/>
              <w:numPr>
                <w:ilvl w:val="0"/>
                <w:numId w:val="25"/>
              </w:numPr>
              <w:spacing w:before="0" w:after="120"/>
              <w:ind w:left="448" w:hanging="425"/>
              <w:contextualSpacing w:val="0"/>
            </w:pPr>
            <w:r w:rsidRPr="00205340">
              <w:t xml:space="preserve">Most (73.6%) participants with HMA or HMB in the BASIS study used standard-half life (SHL) prophylaxis with </w:t>
            </w:r>
            <w:r w:rsidR="00F71685" w:rsidRPr="00205340">
              <w:t>F</w:t>
            </w:r>
            <w:r w:rsidRPr="00205340">
              <w:t xml:space="preserve">actor VIII (FVIII) or </w:t>
            </w:r>
            <w:r w:rsidR="00F71685" w:rsidRPr="00205340">
              <w:t>F</w:t>
            </w:r>
            <w:r w:rsidRPr="00205340">
              <w:t xml:space="preserve">actor IX (FIX) respectively. However, the ADAR’s claim of superiority is against extended half-life (EHL) FVIII and FIX prophylaxis, which is the most-used form in Australia. Misalignment in the usage of SHL and EHL compared with the Australian setting may have resulted in an over-estimate of marstacimab effectiveness, as recent observational evidence suggests EHL is clinically superior (in ABR reductions and adherence) to SHL. </w:t>
            </w:r>
          </w:p>
          <w:p w14:paraId="49459E50" w14:textId="77777777" w:rsidR="00135F99" w:rsidRPr="00205340" w:rsidRDefault="00135F99" w:rsidP="005C116D">
            <w:pPr>
              <w:pStyle w:val="ListParagraph"/>
              <w:numPr>
                <w:ilvl w:val="0"/>
                <w:numId w:val="25"/>
              </w:numPr>
              <w:spacing w:before="0" w:after="120"/>
              <w:ind w:left="448" w:hanging="425"/>
              <w:contextualSpacing w:val="0"/>
            </w:pPr>
            <w:r w:rsidRPr="00205340">
              <w:t>Findings for secondary effectiveness and safety outcomes were based on a combined HMA and HMB population. Although the small sample size limits conclusions, there is a suggestion that ABR differs by haemophilia type. ESC requested the applicant present comparative safety information for the HMA and HMB populations separately for the purpose of the health technology assessment, as was advised by PASC.</w:t>
            </w:r>
          </w:p>
          <w:p w14:paraId="0ED73137" w14:textId="77777777" w:rsidR="00135F99" w:rsidRPr="00205340" w:rsidRDefault="00135F99" w:rsidP="005C116D">
            <w:pPr>
              <w:pStyle w:val="ListParagraph"/>
              <w:numPr>
                <w:ilvl w:val="0"/>
                <w:numId w:val="25"/>
              </w:numPr>
              <w:spacing w:before="0" w:after="120"/>
              <w:ind w:left="448" w:hanging="425"/>
              <w:contextualSpacing w:val="0"/>
              <w:rPr>
                <w:bCs/>
              </w:rPr>
            </w:pPr>
            <w:r w:rsidRPr="00205340">
              <w:t xml:space="preserve">Concurrently, another application (MSAC 1805) is requesting public funding for a separate drug (concizumab) for patients aged 12 years and over with HMB, with or without inhibitors). In addition, etranacogene dezaparvovec </w:t>
            </w:r>
            <w:r w:rsidRPr="00205340">
              <w:rPr>
                <w:bCs/>
              </w:rPr>
              <w:t xml:space="preserve">ESC considered that both concizumab and etranacogene dezaparvovec (ED) </w:t>
            </w:r>
            <w:r w:rsidRPr="00205340">
              <w:t>(MSAC Application 1728.1, supported, but not yet funded for use)</w:t>
            </w:r>
            <w:r w:rsidRPr="00205340" w:rsidDel="008D06FE">
              <w:rPr>
                <w:bCs/>
              </w:rPr>
              <w:t xml:space="preserve"> </w:t>
            </w:r>
            <w:r w:rsidRPr="00205340">
              <w:rPr>
                <w:bCs/>
              </w:rPr>
              <w:t>are near market comparators. ESC noted that no comparison has been made between marstacimab and either of these near-market comparators in the ADAR, although the commentary had conducted a preliminary assessment of comparative effectiveness against ED.</w:t>
            </w:r>
          </w:p>
          <w:p w14:paraId="7087CFC3" w14:textId="77777777" w:rsidR="00135F99" w:rsidRPr="00205340" w:rsidRDefault="00135F99">
            <w:pPr>
              <w:rPr>
                <w:b/>
              </w:rPr>
            </w:pPr>
            <w:r w:rsidRPr="00205340">
              <w:rPr>
                <w:b/>
              </w:rPr>
              <w:t>Economic issues:</w:t>
            </w:r>
          </w:p>
          <w:p w14:paraId="253A624E" w14:textId="77777777" w:rsidR="00135F99" w:rsidRPr="00205340" w:rsidRDefault="00135F99" w:rsidP="005C116D">
            <w:pPr>
              <w:pStyle w:val="ListParagraph"/>
              <w:numPr>
                <w:ilvl w:val="0"/>
                <w:numId w:val="26"/>
              </w:numPr>
              <w:spacing w:before="0" w:after="120"/>
              <w:ind w:left="447" w:hanging="425"/>
              <w:contextualSpacing w:val="0"/>
            </w:pPr>
            <w:r w:rsidRPr="00205340">
              <w:t xml:space="preserve">ESC identified several low confidence inputs used in the cost minimisation approach for the HMA and HMB populations and recommended </w:t>
            </w:r>
            <w:proofErr w:type="spellStart"/>
            <w:r w:rsidRPr="00205340">
              <w:t>respecifications</w:t>
            </w:r>
            <w:proofErr w:type="spellEnd"/>
            <w:r w:rsidRPr="00205340">
              <w:t xml:space="preserve"> for MSAC consideration.</w:t>
            </w:r>
          </w:p>
          <w:p w14:paraId="4BDA048E" w14:textId="77777777" w:rsidR="00135F99" w:rsidRPr="00205340" w:rsidRDefault="00135F99" w:rsidP="005C116D">
            <w:pPr>
              <w:pStyle w:val="ListParagraph"/>
              <w:numPr>
                <w:ilvl w:val="0"/>
                <w:numId w:val="26"/>
              </w:numPr>
              <w:spacing w:before="0" w:after="120"/>
              <w:ind w:left="447" w:hanging="425"/>
              <w:contextualSpacing w:val="0"/>
              <w:rPr>
                <w:b/>
                <w:bCs/>
              </w:rPr>
            </w:pPr>
            <w:r w:rsidRPr="00205340">
              <w:t>The ADAR presented a cost-utility analysis for a pooled HMA and HMB population with factor prophylaxis as the comparator. ESC considered that this was not appropriate as superiority of marstacimab versus FIX in the HMB population had not been established and the main comparator for HMA is emicizumab, not FVIII prophylaxis.</w:t>
            </w:r>
          </w:p>
          <w:p w14:paraId="05ED9A99" w14:textId="77777777" w:rsidR="00135F99" w:rsidRPr="00205340" w:rsidRDefault="00135F99" w:rsidP="005C116D">
            <w:pPr>
              <w:pStyle w:val="ListParagraph"/>
              <w:numPr>
                <w:ilvl w:val="0"/>
                <w:numId w:val="26"/>
              </w:numPr>
              <w:spacing w:before="0" w:after="120"/>
              <w:ind w:left="447" w:hanging="425"/>
              <w:contextualSpacing w:val="0"/>
              <w:rPr>
                <w:b/>
                <w:bCs/>
              </w:rPr>
            </w:pPr>
            <w:r w:rsidRPr="00205340">
              <w:t xml:space="preserve">The ADAR assumed that all patients would have their factor prophylaxis administered by a haematologist. It is likely that a proportion of patients will be </w:t>
            </w:r>
            <w:proofErr w:type="gramStart"/>
            <w:r w:rsidRPr="00205340">
              <w:t>self-administering, or</w:t>
            </w:r>
            <w:proofErr w:type="gramEnd"/>
            <w:r w:rsidRPr="00205340">
              <w:t xml:space="preserve"> will </w:t>
            </w:r>
            <w:r w:rsidRPr="00205340">
              <w:lastRenderedPageBreak/>
              <w:t>have their treatment administered by a haematology clinical nurse specialist. Therefore, the ADAR’s estimated savings from reduced administration costs with marstacimab are likely overestimated.</w:t>
            </w:r>
          </w:p>
          <w:p w14:paraId="07509F5A" w14:textId="77777777" w:rsidR="00135F99" w:rsidRPr="00205340" w:rsidRDefault="00135F99">
            <w:pPr>
              <w:spacing w:before="0" w:after="120"/>
              <w:rPr>
                <w:b/>
              </w:rPr>
            </w:pPr>
            <w:r w:rsidRPr="00205340">
              <w:rPr>
                <w:b/>
              </w:rPr>
              <w:t>Financial issues:</w:t>
            </w:r>
          </w:p>
          <w:p w14:paraId="3AFDE2EA" w14:textId="77777777" w:rsidR="00135F99" w:rsidRPr="00205340" w:rsidRDefault="00135F99" w:rsidP="005C116D">
            <w:pPr>
              <w:pStyle w:val="ListParagraph"/>
              <w:numPr>
                <w:ilvl w:val="0"/>
                <w:numId w:val="27"/>
              </w:numPr>
              <w:spacing w:before="0" w:after="120"/>
              <w:ind w:left="448" w:hanging="425"/>
              <w:contextualSpacing w:val="0"/>
            </w:pPr>
            <w:r w:rsidRPr="00205340">
              <w:t>The ADAR included cost offsets for reduced breakthrough bleeds in HMB consistent with its cost-utility analysis but not supported by the clinical evidence.</w:t>
            </w:r>
          </w:p>
          <w:p w14:paraId="38F6ECB8" w14:textId="77777777" w:rsidR="00135F99" w:rsidRPr="00205340" w:rsidRDefault="00135F99" w:rsidP="005C116D">
            <w:pPr>
              <w:pStyle w:val="ListParagraph"/>
              <w:numPr>
                <w:ilvl w:val="0"/>
                <w:numId w:val="27"/>
              </w:numPr>
              <w:spacing w:before="0" w:after="120"/>
              <w:ind w:left="448" w:hanging="425"/>
              <w:contextualSpacing w:val="0"/>
            </w:pPr>
            <w:r w:rsidRPr="00205340">
              <w:t xml:space="preserve">Consistent with its advice for the economic evaluations, ESC recommended </w:t>
            </w:r>
            <w:proofErr w:type="spellStart"/>
            <w:r w:rsidRPr="00205340">
              <w:t>respecifications</w:t>
            </w:r>
            <w:proofErr w:type="spellEnd"/>
            <w:r w:rsidRPr="00205340">
              <w:t xml:space="preserve"> of the financial estimates for MSAC consideration.</w:t>
            </w:r>
          </w:p>
          <w:p w14:paraId="73E43425" w14:textId="77777777" w:rsidR="00135F99" w:rsidRPr="00205340" w:rsidRDefault="00135F99" w:rsidP="005C116D">
            <w:pPr>
              <w:pStyle w:val="ListParagraph"/>
              <w:numPr>
                <w:ilvl w:val="0"/>
                <w:numId w:val="27"/>
              </w:numPr>
              <w:spacing w:before="0" w:after="120"/>
              <w:ind w:left="448" w:hanging="425"/>
              <w:contextualSpacing w:val="0"/>
            </w:pPr>
            <w:r w:rsidRPr="00205340">
              <w:rPr>
                <w:rFonts w:eastAsia="Franklin Gothic Book" w:cs="Franklin Gothic Book"/>
                <w:color w:val="000000" w:themeColor="text1"/>
              </w:rPr>
              <w:t>To manage financial risk from uptake and cost uncertainties, ESC considered a risk share agreement (RSA) with an expenditure cap and large percentage rebate (for use above the cap) is likely unsuitable due to market complexity and multiple competing products. ESC advised that price negotiation, and/or an alternative RSA based on cost per patient and administration costs, would be more appropriate.</w:t>
            </w:r>
            <w:r w:rsidRPr="00205340">
              <w:t xml:space="preserve"> </w:t>
            </w:r>
          </w:p>
        </w:tc>
      </w:tr>
    </w:tbl>
    <w:bookmarkEnd w:id="75"/>
    <w:p w14:paraId="73A7FA9F" w14:textId="77777777" w:rsidR="00135F99" w:rsidRPr="00205340" w:rsidRDefault="00135F99" w:rsidP="005C116D">
      <w:pPr>
        <w:keepNext/>
        <w:keepLines/>
        <w:spacing w:before="240"/>
        <w:rPr>
          <w:b/>
          <w:bCs/>
        </w:rPr>
      </w:pPr>
      <w:r w:rsidRPr="00205340">
        <w:rPr>
          <w:b/>
          <w:bCs/>
        </w:rPr>
        <w:t>ESC Discussion</w:t>
      </w:r>
    </w:p>
    <w:p w14:paraId="0E468DEA" w14:textId="77777777" w:rsidR="00135F99" w:rsidRPr="00205340" w:rsidRDefault="00135F99" w:rsidP="005C116D">
      <w:pPr>
        <w:keepNext/>
        <w:keepLines/>
        <w:spacing w:before="240"/>
      </w:pPr>
      <w:r w:rsidRPr="00205340">
        <w:t xml:space="preserve">ESC noted that this application from Pfizer Australia is requesting marstacimab be publicly funded under the National Blood Agreement via listing on the National Product Price List (NPPL), for the treatment of children and adults aged 12 years and over with severe haemophilia A (HMA) or severe haemophilia B (HMB), without inhibitors. ESC noted that marstacimab is registered on the Australian Register of Therapeutic Goods (ARTG) solely for this population and does not have regulatory approval for any other populations (for example, children under the age of 12, patients with inhibitors, or patients with less severe disease). </w:t>
      </w:r>
    </w:p>
    <w:p w14:paraId="43BF1011" w14:textId="77777777" w:rsidR="00135F99" w:rsidRPr="00205340" w:rsidRDefault="00135F99" w:rsidP="00135F99">
      <w:pPr>
        <w:spacing w:before="240"/>
      </w:pPr>
      <w:r w:rsidRPr="00205340">
        <w:t xml:space="preserve">ESC noted public consultation feedback from one health professional and 4 organisations (Public Pathology Australia, Thrombosis and Haemostasis Society of Australia and New Zealand [THANZ], Haemophilia Foundation Australia and the Australian Haemophilia Centre Directors’ Organisation [AHCDO]) that were received prior to the ESC meeting. ESC noted that all feedback regarded marstacimab as a valuable addition, particularly for patients with HMB who lack a subcutaneous treatment option. ESC noted that consumers felt that current management is associated with a significant treatment burden because of the need for frequent administrations. ESC noted from the consultation input that weekly application of a fixed dose using a pen device provides convenience, ease of access and can improve patient quality of life (QoL). ESC noted from the input that there may be a small subpopulation of patients with HMA for whom emicizumab is unsuitable (for example due to side effects or presence of neutralizing antibodies) who may benefit from the proposed intervention. ESC noted that the AHCDO suggested extending the eligibility criteria for marstacimab to patients with moderate HMA or HMB without inhibitors and severe bleeding phenotype, and that patients with HMA or HMB with inhibitors may also benefit. However, ESC noted that marstacimab is not registered on the ARTG for use in these populations. ESC noted that the AHCDO identified no barriers to implementation. ESC considered that there was a need for clinical monitoring of patients and noted from the consultation input that data will be captured through the Australian Bleeding Disorders Registry (ABDR). </w:t>
      </w:r>
    </w:p>
    <w:p w14:paraId="13D82FA6" w14:textId="046F8F67" w:rsidR="00135F99" w:rsidRPr="00205340" w:rsidRDefault="00135F99" w:rsidP="00135F99">
      <w:pPr>
        <w:spacing w:before="240"/>
      </w:pPr>
      <w:r w:rsidRPr="00205340">
        <w:t xml:space="preserve">ESC noted that the evidence base for marstacimab versus Factor VIII (FVIII) prophylaxis and Factor IX (FIX) prophylaxis consisted of a small, non-randomised, open-label, before-and-after case series of </w:t>
      </w:r>
      <w:r w:rsidR="0049559D" w:rsidRPr="00205340">
        <w:t xml:space="preserve">patients with </w:t>
      </w:r>
      <w:r w:rsidRPr="00205340">
        <w:t xml:space="preserve">HMA and HMB using self-reported outcomes during 12 months of treatment (BASIS), and an extension of this study with 34.9-month follow-up (BASIS LTE). ESC noted the evidence for emicizumab versus prophylaxis consisted of another small, non-randomised, open-label, before-and-after case series, also using self-reported outcomes </w:t>
      </w:r>
      <w:r w:rsidRPr="00205340">
        <w:lastRenderedPageBreak/>
        <w:t>(HAVEN 3). ESC considered that these studies had significant limitations and considered that the evidence included in the ADAR was at high risk of bias.</w:t>
      </w:r>
    </w:p>
    <w:p w14:paraId="67A8B41E" w14:textId="1678F38C" w:rsidR="00135F99" w:rsidRPr="00205340" w:rsidRDefault="00135F99" w:rsidP="00135F99">
      <w:pPr>
        <w:spacing w:before="240"/>
      </w:pPr>
      <w:r w:rsidRPr="00205340">
        <w:t xml:space="preserve">ESC noted that the BASIS study was undertaken across various countries, and most (73.6%) of the study’s population used standard half-life (SHL) factor prophylaxis prior to changing to marstacimab. ESC noted that this does not align with the Australian setting where according to 2021-22 ABDR data, 59.5% of patients with HMA and 80% of patients with HMB use extended half-life (EHL) factor prophylaxis. ESC noted that, in its pre-ESC response, the applicant argued that, in the PSD for </w:t>
      </w:r>
      <w:hyperlink r:id="rId14">
        <w:r w:rsidRPr="00205340">
          <w:rPr>
            <w:rStyle w:val="Hyperlink"/>
          </w:rPr>
          <w:t>MSAC Application 1511</w:t>
        </w:r>
      </w:hyperlink>
      <w:r w:rsidRPr="00205340">
        <w:t xml:space="preserve">, MSAC had considered that there was little clinically important difference between EHL and SHL prophylaxis. However, ESC noted that more recent accumulating observational evidence suggest EHL is superior to SHL, as measured by annualised bleeding rate (ABR) reduction and adherence to treatment. </w:t>
      </w:r>
      <w:bookmarkStart w:id="76" w:name="_Ref223097201"/>
      <w:r w:rsidR="0089752C">
        <w:rPr>
          <w:rFonts w:ascii="ZWAdobeF" w:hAnsi="ZWAdobeF" w:cs="ZWAdobeF"/>
          <w:sz w:val="2"/>
          <w:szCs w:val="2"/>
        </w:rPr>
        <w:t>19F</w:t>
      </w:r>
      <w:r w:rsidRPr="00205340">
        <w:rPr>
          <w:vertAlign w:val="superscript"/>
        </w:rPr>
        <w:footnoteReference w:id="20"/>
      </w:r>
      <w:bookmarkEnd w:id="76"/>
      <w:r w:rsidRPr="00205340">
        <w:rPr>
          <w:vertAlign w:val="superscript"/>
        </w:rPr>
        <w:t>,</w:t>
      </w:r>
      <w:bookmarkStart w:id="77" w:name="_Ref227220603"/>
      <w:r w:rsidR="0089752C">
        <w:rPr>
          <w:rFonts w:ascii="ZWAdobeF" w:hAnsi="ZWAdobeF" w:cs="ZWAdobeF"/>
          <w:sz w:val="2"/>
          <w:szCs w:val="2"/>
        </w:rPr>
        <w:t>20F</w:t>
      </w:r>
      <w:r w:rsidRPr="00205340">
        <w:rPr>
          <w:vertAlign w:val="superscript"/>
        </w:rPr>
        <w:footnoteReference w:id="21"/>
      </w:r>
      <w:bookmarkEnd w:id="77"/>
      <w:r w:rsidRPr="00205340">
        <w:rPr>
          <w:vertAlign w:val="superscript"/>
        </w:rPr>
        <w:t>,</w:t>
      </w:r>
      <w:r w:rsidR="0089752C">
        <w:rPr>
          <w:rFonts w:ascii="ZWAdobeF" w:hAnsi="ZWAdobeF" w:cs="ZWAdobeF"/>
          <w:sz w:val="2"/>
          <w:szCs w:val="2"/>
        </w:rPr>
        <w:t>21F</w:t>
      </w:r>
      <w:r w:rsidRPr="00205340">
        <w:rPr>
          <w:rStyle w:val="FootnoteReference"/>
        </w:rPr>
        <w:footnoteReference w:id="22"/>
      </w:r>
      <w:r w:rsidRPr="00205340">
        <w:rPr>
          <w:vertAlign w:val="superscript"/>
        </w:rPr>
        <w:t>,</w:t>
      </w:r>
      <w:r w:rsidR="0089752C">
        <w:rPr>
          <w:rFonts w:ascii="ZWAdobeF" w:hAnsi="ZWAdobeF" w:cs="ZWAdobeF"/>
          <w:sz w:val="2"/>
          <w:szCs w:val="2"/>
        </w:rPr>
        <w:t>22F</w:t>
      </w:r>
      <w:r w:rsidRPr="00205340">
        <w:rPr>
          <w:rStyle w:val="FootnoteReference"/>
        </w:rPr>
        <w:footnoteReference w:id="23"/>
      </w:r>
      <w:r w:rsidRPr="00205340" w:rsidDel="00795FD7">
        <w:t xml:space="preserve"> </w:t>
      </w:r>
      <w:r w:rsidRPr="00205340" w:rsidDel="002B6354">
        <w:t>ESC considered that</w:t>
      </w:r>
      <w:r w:rsidRPr="00205340">
        <w:t xml:space="preserve"> by comparing marstacimab to SHL (the factor prophylaxis used by </w:t>
      </w:r>
      <w:proofErr w:type="gramStart"/>
      <w:r w:rsidRPr="00205340">
        <w:t>the majority of</w:t>
      </w:r>
      <w:proofErr w:type="gramEnd"/>
      <w:r w:rsidRPr="00205340">
        <w:t xml:space="preserve"> patients in </w:t>
      </w:r>
      <w:r w:rsidRPr="00205340" w:rsidDel="005A7A6D">
        <w:t>BASIS</w:t>
      </w:r>
      <w:r w:rsidRPr="00205340">
        <w:t>) the incremental effectiveness</w:t>
      </w:r>
      <w:r w:rsidRPr="00205340" w:rsidDel="005A7A6D">
        <w:t xml:space="preserve"> </w:t>
      </w:r>
      <w:r w:rsidRPr="00205340">
        <w:t>of</w:t>
      </w:r>
      <w:r w:rsidRPr="00205340" w:rsidDel="005A7A6D">
        <w:t xml:space="preserve"> marstacimab </w:t>
      </w:r>
      <w:r w:rsidRPr="00205340">
        <w:t>may be over-estimated compared to the incremental effectiveness that would likely be observed in practice</w:t>
      </w:r>
      <w:r w:rsidRPr="00205340" w:rsidDel="005A7A6D">
        <w:t xml:space="preserve"> in Australia</w:t>
      </w:r>
      <w:r w:rsidRPr="00205340">
        <w:t>. ESC considered that an assessment of recent evidence (since MSAC 1511 consideration) of the effectiveness of SHL and EHL products would be informative to MSAC.</w:t>
      </w:r>
    </w:p>
    <w:p w14:paraId="4E12C14F" w14:textId="77777777" w:rsidR="00135F99" w:rsidRPr="00205340" w:rsidRDefault="00135F99" w:rsidP="00135F99">
      <w:pPr>
        <w:spacing w:before="240"/>
      </w:pPr>
      <w:r w:rsidRPr="00205340">
        <w:t>Regarding the comparative effectiveness for people with severe HMA without inhibitors who received prior FVIII prophylaxis, ESC noted that an indirect treatment comparison was used to compare marstacimab (from BASIS) with emicizumab (from HAVEN 3). This comparison did not use a common comparator (i.e. was unanchored) and attempted to adjust for confounders across the studies, including race/ethnicity. ESC considered that it may be more appropriate to adjust for geographic region/country rather than race/ethnicity, to account for differences in healthcare access and management in different countries. ESC also noted that there were significant differences between the studies that introduced substantial concerns regarding the comparison of findings, these are noted below:</w:t>
      </w:r>
    </w:p>
    <w:p w14:paraId="408EC872" w14:textId="77777777" w:rsidR="00135F99" w:rsidRPr="00205340" w:rsidRDefault="00135F99" w:rsidP="005C116D">
      <w:pPr>
        <w:pStyle w:val="ListParagraph"/>
        <w:numPr>
          <w:ilvl w:val="0"/>
          <w:numId w:val="28"/>
        </w:numPr>
        <w:spacing w:before="240"/>
      </w:pPr>
      <w:r w:rsidRPr="00205340">
        <w:t>Baseline differences – subjects in BASIS had a higher number of bleeds and a higher number of target joint bleeds than subjects in HAVEN 3.</w:t>
      </w:r>
    </w:p>
    <w:p w14:paraId="40AC8199" w14:textId="77777777" w:rsidR="00135F99" w:rsidRPr="00205340" w:rsidRDefault="00135F99" w:rsidP="005C116D">
      <w:pPr>
        <w:pStyle w:val="ListParagraph"/>
        <w:numPr>
          <w:ilvl w:val="0"/>
          <w:numId w:val="28"/>
        </w:numPr>
        <w:spacing w:before="240"/>
      </w:pPr>
      <w:r w:rsidRPr="00205340">
        <w:t>Small sample size – the small sample size in each study results in a lack of precision, and the point estimates suggest differences between the populations.</w:t>
      </w:r>
    </w:p>
    <w:p w14:paraId="34F4AFA9" w14:textId="77777777" w:rsidR="00135F99" w:rsidRPr="00205340" w:rsidRDefault="00135F99" w:rsidP="005C116D">
      <w:pPr>
        <w:pStyle w:val="ListParagraph"/>
        <w:numPr>
          <w:ilvl w:val="0"/>
          <w:numId w:val="28"/>
        </w:numPr>
        <w:spacing w:before="240"/>
      </w:pPr>
      <w:r w:rsidRPr="00205340">
        <w:t>ABR measure – the ABR measure presented was total bleeds, whereas the primary efficacy outcome of BASIS was treated bleeds.</w:t>
      </w:r>
    </w:p>
    <w:p w14:paraId="2A03C182" w14:textId="77777777" w:rsidR="00135F99" w:rsidRPr="00205340" w:rsidRDefault="00135F99" w:rsidP="005C116D">
      <w:pPr>
        <w:pStyle w:val="ListParagraph"/>
        <w:numPr>
          <w:ilvl w:val="0"/>
          <w:numId w:val="28"/>
        </w:numPr>
        <w:spacing w:before="240"/>
      </w:pPr>
      <w:r w:rsidRPr="00205340">
        <w:t>Geographical differences – BASIS included a wider range of countries, and there are potential differences in management across countries (such as the percentage use of SHL prophylaxis and other healthcare access differences).</w:t>
      </w:r>
    </w:p>
    <w:p w14:paraId="6D236D45" w14:textId="77777777" w:rsidR="00135F99" w:rsidRPr="00205340" w:rsidRDefault="00135F99" w:rsidP="005C116D">
      <w:pPr>
        <w:pStyle w:val="ListParagraph"/>
        <w:numPr>
          <w:ilvl w:val="0"/>
          <w:numId w:val="28"/>
        </w:numPr>
        <w:spacing w:before="240"/>
      </w:pPr>
      <w:r w:rsidRPr="00205340">
        <w:t>Temporal differences – the HAVEN 3 data cutoff was in 2017, while enrolment for BASIS started in 2020 and included the COVID-19 period (which may have had impacts on access to healthcare resources resulting in changes to patient management).</w:t>
      </w:r>
    </w:p>
    <w:p w14:paraId="0323D021" w14:textId="77777777" w:rsidR="00135F99" w:rsidRPr="00205340" w:rsidRDefault="00135F99" w:rsidP="00135F99">
      <w:pPr>
        <w:spacing w:before="240"/>
      </w:pPr>
      <w:r w:rsidRPr="00205340">
        <w:lastRenderedPageBreak/>
        <w:t xml:space="preserve">ESC noted the total ABR of 3.58 (95% confidence interval [CI]: 2.37, 5.41) in BASIS (adjusted) compared to 3.3 (95% CI: 2.2, 4.8) in HAVEN 3. ESC also noted that 34% of patients had zero bleeding events in BASIS (adjusted) compared to 44.4% in HAVEN 3. ESC noted that there was no statistically significant difference between these adjusted comparisons. ESC considered that while the results of the indirect comparison appear to support non-inferiority between marstacimab and emicizumab, there is low confidence in these results due to the significant limitations within the studies and the indirect comparison as outlined above. </w:t>
      </w:r>
    </w:p>
    <w:p w14:paraId="0FF4305F" w14:textId="73DDAF99" w:rsidR="00135F99" w:rsidRPr="00205340" w:rsidRDefault="00135F99" w:rsidP="00135F99">
      <w:pPr>
        <w:spacing w:before="240"/>
      </w:pPr>
      <w:r w:rsidRPr="00205340">
        <w:t>Regarding the effectiveness of marstacimab compared to factor prophylaxis, ESC noted from the BASIS study that, in the pooled HMA and HMB population, the mean ABR was 7.85 (95% CI: 5.09, 10.61) for factor prophylaxis and 5.08 (95% CI: 3.40, 6.77) for marstacimab. While these results demonstrate a trend towards apparent superior effectiveness of marstacimab compared to factor prophylaxis, ESC noted that fewer patients in the marstacimab arm experienced 0-2 bleeds, and more experienced 3 or more bleeds, compared to the factor prophylaxis arm. Therefore, ESC queried whether mean ABR was the appropriate measure to use, given the disproportionate distribution of patients across each of the bleed categories. ESC noted that the commentary separated the estimated ABR for treated bleeds into HMA and HMB subgroups, in alignment with PASC advice. ESC noted that, although a difference was observed for mean treated ABR between factor prophylaxis and marstacimab, favouring marstacimab in the HMA subgroup (-4.40 ± 13.8 [standard deviation]), no difference was observed when assessing the median treated ABR. Similarly, no difference was observed in the median treated ABR in the HMB subgroup between factor prophylaxis and marstacimab. ESC noted that, if the noninferiority margin nominated in the ADAR (2.5 bleeds/year) is used as the minimum clinically important difference, 44.6% of patients with HMA and 50% of patients with HMB did not experience any clinical important change in the number of treated bleeds after changing to marstacimab. ESC noted that people with HMA were more than twice as likely to have a clinically important reduction in treated bleeds (38.4%), than an increase in treated bleeds (16.9%), after swapping to marstacimab. Furthermore, in the HMB population, 33.3% of patients had clinically important reductions in the rate of bleeds that required treatment and 22.2% had clinically important increases in the number of bleeds that required treatment. ESC noted that the estimates of ABR from BASIS are also substantially higher than have been reported in more recent series of factor prophylaxis.</w:t>
      </w:r>
      <w:r w:rsidRPr="00205340">
        <w:fldChar w:fldCharType="begin"/>
      </w:r>
      <w:r w:rsidRPr="00205340">
        <w:instrText xml:space="preserve"> NOTEREF _Ref223097201 \f \h </w:instrText>
      </w:r>
      <w:r w:rsidR="00205340">
        <w:instrText xml:space="preserve"> \* MERGEFORMAT </w:instrText>
      </w:r>
      <w:r w:rsidRPr="00205340">
        <w:fldChar w:fldCharType="separate"/>
      </w:r>
      <w:r w:rsidRPr="00205340">
        <w:rPr>
          <w:rStyle w:val="FootnoteReference"/>
        </w:rPr>
        <w:t>1</w:t>
      </w:r>
      <w:r w:rsidRPr="00205340">
        <w:fldChar w:fldCharType="end"/>
      </w:r>
    </w:p>
    <w:p w14:paraId="25F070B3" w14:textId="77777777" w:rsidR="00135F99" w:rsidRPr="00205340" w:rsidRDefault="00135F99" w:rsidP="00135F99">
      <w:pPr>
        <w:spacing w:before="240"/>
      </w:pPr>
      <w:r w:rsidRPr="00205340">
        <w:t xml:space="preserve">ESC noted that the pre-ESC response stated that it is appropriate to combine HMA and HMB findings because the mechanism of action of marstacimab is the same for both populations, and that there is no biological reason for a difference in treatment effect. However, ESC considered that apparent differences were observed in the HMA and HMB subgroup analyses presented in the ADAR. For example, ESC noted that the ADAR’s forest plot comparing ABRs for treated bleeds by haemophilia type show the mean between-treatment difference for the HMA population was -3.91 (95% CI: -7.10, -0.73), which maintains a noninferiority conclusion for marstacimab versus factor prophylaxis based on treated ABR. However, ESC noted that the upper limit of the 95% CI for the treated ABR in the HMB population does not permit a conclusion of noninferiority based on a noninferiority margin of 2.5 treated bleeds/year (mean treated ABR difference 1.35 [95% CI: -1.44, 4.13]). While ESC acknowledged that these analyses are uncertain due to the small patient numbers, ESC considered that for the purpose of the health technology assessment, these separated estimates for HMA and HMB are informative to both ESC and MSAC. </w:t>
      </w:r>
    </w:p>
    <w:p w14:paraId="142058C0" w14:textId="3924103C" w:rsidR="00135F99" w:rsidRPr="00205340" w:rsidRDefault="00135F99" w:rsidP="00135F99">
      <w:pPr>
        <w:spacing w:before="240"/>
      </w:pPr>
      <w:r w:rsidRPr="00205340">
        <w:lastRenderedPageBreak/>
        <w:t>ESC noted that there were no major differences between marstacimab and factor prophylaxis in terms of QoL measures. However, ESC considered that real-world adherence is likely higher for subcutaneous administration than for intravenous administration</w:t>
      </w:r>
      <w:r w:rsidR="0089752C">
        <w:rPr>
          <w:rFonts w:ascii="ZWAdobeF" w:hAnsi="ZWAdobeF" w:cs="ZWAdobeF"/>
          <w:sz w:val="2"/>
          <w:szCs w:val="2"/>
        </w:rPr>
        <w:t>23F</w:t>
      </w:r>
      <w:r w:rsidRPr="00205340">
        <w:rPr>
          <w:rStyle w:val="FootnoteReference"/>
        </w:rPr>
        <w:footnoteReference w:id="24"/>
      </w:r>
      <w:r w:rsidRPr="00205340">
        <w:t xml:space="preserve">. </w:t>
      </w:r>
    </w:p>
    <w:p w14:paraId="37F9696F" w14:textId="77777777" w:rsidR="00135F99" w:rsidRPr="00205340" w:rsidRDefault="00135F99" w:rsidP="00135F99">
      <w:pPr>
        <w:spacing w:before="240"/>
      </w:pPr>
      <w:r w:rsidRPr="00205340">
        <w:t>Overall, ESC considered that the results presented in the ADAR support the claim of superior effectiveness over factor prophylaxis for the HMA population, however noted the applicability issues of the BASIS study to the Australian population. ESC considered that the claim of superior effectiveness of marstacimab compared to factor prophylaxis in the HMB population was not supported by the results presented.</w:t>
      </w:r>
    </w:p>
    <w:p w14:paraId="764E9D30" w14:textId="77777777" w:rsidR="00135F99" w:rsidRPr="00205340" w:rsidRDefault="00135F99" w:rsidP="00135F99">
      <w:pPr>
        <w:spacing w:before="240"/>
      </w:pPr>
      <w:r w:rsidRPr="00205340">
        <w:t xml:space="preserve">ESC noted that etranacogene dezaparvovec (ED), which was supported for funding by MSAC at its July 2025 meeting, is a gene therapy available for the treatment of adult patients with moderately severe or severe HMB (see </w:t>
      </w:r>
      <w:hyperlink r:id="rId15" w:history="1">
        <w:r w:rsidRPr="00205340">
          <w:rPr>
            <w:rStyle w:val="Hyperlink"/>
          </w:rPr>
          <w:t>MSAC Application 1728.1 PSD</w:t>
        </w:r>
      </w:hyperlink>
      <w:r w:rsidRPr="00205340">
        <w:t>). ESC agreed with PASC that ED is a relevant near market comparator for the HMB population. ESC noted from the commentary that following infusion of ED, 63% of participants reported no bleeding episodes in months 7 to 18, and 94% of participants were able to cease regular FIX prophylaxis – this corresponds to a lower adjusted ABR (total bleeds) than the rate of treated bleeds reported in BASIS for marstacimab. However, ESC considered these data are highly uncertain, given the naive comparison of two different outcome measures. ESC agreed with the applicant’s pre-ESC response that given ED is not yet publicly funded, and because FIX was used as a benchmark for the price of ED, FIX is an appropriate economic comparator for marstacimab. ESC noted another drug, concizumab, is concurrently under consideration by MSAC to treat patients with HMB with or without inhibitors (</w:t>
      </w:r>
      <w:hyperlink r:id="rId16" w:history="1">
        <w:r w:rsidRPr="00205340">
          <w:rPr>
            <w:rStyle w:val="Hyperlink"/>
          </w:rPr>
          <w:t>Application 1805</w:t>
        </w:r>
      </w:hyperlink>
      <w:r w:rsidRPr="00205340">
        <w:t xml:space="preserve">). ESC agreed with PASC that concizumab is a relevant near market comparator but noted that no comparison has been made between marstacimab and concizumab in the current application. </w:t>
      </w:r>
    </w:p>
    <w:p w14:paraId="40F140C9" w14:textId="77777777" w:rsidR="00135F99" w:rsidRPr="00205340" w:rsidRDefault="00135F99" w:rsidP="00135F99">
      <w:pPr>
        <w:spacing w:before="240"/>
      </w:pPr>
      <w:r w:rsidRPr="00205340">
        <w:t xml:space="preserve">Regarding comparative safety, ESC noted that the crude comparison between HAVEN 3 and BASIS to determine safety against emicizumab did not adjust for differences between the studies. ESC considered that this resulted in low confidence in the findings but considered that most of the reported adverse events were relatively minor in terms of clinical severity. ESC considered the claim of noninferior safety of marstacimab and emicizumab is supported by the results presented, although with low confidence due to the non-adjusted trial differences. For marstacimab versus prophylaxis, ESC noted that while higher rates of adverse events were reported for marstacimab compared to factor prophylaxis, ESC considered the reported adverse events were of relatively minor clinical severity. ESC considered that it was not appropriate to pool the safety outcomes of HMA and HMB and requested the applicant to present the results separated by haemophilia type, in alignment with PASC advice, for MSAC consideration. </w:t>
      </w:r>
    </w:p>
    <w:p w14:paraId="024F2CB9" w14:textId="77777777" w:rsidR="00135F99" w:rsidRPr="00205340" w:rsidRDefault="00135F99" w:rsidP="00135F99">
      <w:pPr>
        <w:spacing w:before="240" w:after="0"/>
      </w:pPr>
      <w:r w:rsidRPr="00205340">
        <w:t xml:space="preserve">ESC noted that for the economic evaluations, the ADAR presented a cost minimisation approach (CMA) for patients with HMA against emicizumab, and a cost-utility analysis (CUA) for a pooled HMA and HMB population with factor prophylaxis as the comparator. ESC noted that the commentary had also presented a CMA for the HMB population against EHL FIX. </w:t>
      </w:r>
    </w:p>
    <w:p w14:paraId="3273768C" w14:textId="77777777" w:rsidR="00135F99" w:rsidRPr="00205340" w:rsidRDefault="00135F99" w:rsidP="00135F99">
      <w:pPr>
        <w:spacing w:before="240"/>
      </w:pPr>
      <w:r w:rsidRPr="00205340">
        <w:t xml:space="preserve">ESC noted that there are multiple treatments currently available for haemophilia and emphasised the importance of consistency across the comparable parameters used in the economic evaluations for these products. </w:t>
      </w:r>
      <w:r w:rsidRPr="00205340">
        <w:rPr>
          <w:rFonts w:eastAsia="Franklin Gothic Book" w:cs="Franklin Gothic Book"/>
          <w:color w:val="000000" w:themeColor="text1"/>
        </w:rPr>
        <w:t xml:space="preserve">ESC recommended that, in this context, a conservative approach of pricing is warranted when confidence in a parameter is low and multiple quantifiable alternative estimates are reasonable, accepting that some remaining parameters do not have </w:t>
      </w:r>
      <w:r w:rsidRPr="00205340">
        <w:rPr>
          <w:rFonts w:eastAsia="Franklin Gothic Book" w:cs="Franklin Gothic Book"/>
          <w:color w:val="000000" w:themeColor="text1"/>
        </w:rPr>
        <w:lastRenderedPageBreak/>
        <w:t>obvious alternative estimates. ESC further recommended that uncertainty in clinical benefit should be reflected through a lower acceptable cost-neutral price, rather than assuming parity with existing therapies, with price negotiation serving as the primary mechanism to also manage financial risk. ESC also noted MSAC precedents for previous blood replacement products which adopted this approach.</w:t>
      </w:r>
    </w:p>
    <w:p w14:paraId="12979B54" w14:textId="2EC4CCD3" w:rsidR="00135F99" w:rsidRPr="00205340" w:rsidRDefault="00135F99" w:rsidP="00135F99">
      <w:pPr>
        <w:spacing w:before="240"/>
      </w:pPr>
      <w:r w:rsidRPr="00205340">
        <w:t xml:space="preserve">ESC noted that the ADAR’s CMA for the HMA population was conducted over the course of one maintenance week. ESC agreed with the commentary that this is not appropriate as marstacimab requires a larger initial loading dose. ESC noted from the commentary that applying the ADAR’s parameters over two years resulted in a total cost </w:t>
      </w:r>
      <w:r w:rsidRPr="00913727">
        <w:t>of $</w:t>
      </w:r>
      <w:r w:rsidR="00DC6EDF" w:rsidRPr="00913727">
        <w:rPr>
          <w:b/>
          <w:bCs/>
        </w:rPr>
        <w:t>redacted</w:t>
      </w:r>
      <w:r w:rsidRPr="00913727">
        <w:t xml:space="preserve"> for</w:t>
      </w:r>
      <w:r w:rsidRPr="00205340">
        <w:t xml:space="preserve"> marstacimab and approximately $1.17 million for emicizumab. ESC agreed with the commentary that </w:t>
      </w:r>
      <w:proofErr w:type="gramStart"/>
      <w:r w:rsidRPr="00205340">
        <w:t>a number of</w:t>
      </w:r>
      <w:proofErr w:type="gramEnd"/>
      <w:r w:rsidRPr="00205340">
        <w:t xml:space="preserve"> model inputs (average body weight, proportion of marstacimab patients receiving dose escalations and adherence to emicizumab) were not appropriate which reduced confidence in the evaluation. ESC noted that the use of the average body weight of </w:t>
      </w:r>
      <w:r w:rsidR="0049559D" w:rsidRPr="00205340">
        <w:t xml:space="preserve">patients with </w:t>
      </w:r>
      <w:r w:rsidRPr="00205340">
        <w:t xml:space="preserve">HMA and HMB combined (77.8kg) was not appropriate given the average weight of </w:t>
      </w:r>
      <w:r w:rsidR="005A48D3" w:rsidRPr="00205340">
        <w:t xml:space="preserve">patients with </w:t>
      </w:r>
      <w:r w:rsidRPr="00205340">
        <w:t xml:space="preserve">HMA alone was lower (75.2kg). Further to this, ESC noted that the dose escalation of marstacimab used in the model was derived from the BASIS study (4.7%) and agreed with the commentary that a more accurate estimate should be derived from the BASIS LTE study (13.9%) as the observation period was longer. ESC noted that the pre-ESC response defended the use of 4.7% dose escalation in the ADAR, stating it may be an overestimate based on post-marketing data from the UK, Europe and the US showing dose escalations in only 0.5% of patients. However, ESC noted that the results may reflect the use of marstacimab in patients with less severe disease, who are less likely to require a dose escalation. ESC also agreed with the commentary that it is not reasonable to assume perfect treatment compliance for emicizumab and considered that it should align with that used for marstacimab (98%), as both are subcutaneous treatments. ESC considered that these inputs used in the ADAR favoured marstacimab over emicizumab. ESC noted that the ADAR had used the US published prices for emicizumab, and noted the evaluations conducted by the commentary using the effective emicizumab price in Australia in the committee-in-confidence section. ESC requested the CMA for the HMA population be respecified using the appropriate inputs outlined above and the in-confidence emicizumab price for MSAC consideration (see also summary </w:t>
      </w:r>
      <w:r w:rsidRPr="00205340">
        <w:fldChar w:fldCharType="begin" w:fldLock="1"/>
      </w:r>
      <w:r w:rsidRPr="00205340">
        <w:instrText xml:space="preserve"> REF _Ref223093746 \h </w:instrText>
      </w:r>
      <w:r w:rsidR="00205340">
        <w:instrText xml:space="preserve"> \* MERGEFORMAT </w:instrText>
      </w:r>
      <w:r w:rsidRPr="00205340">
        <w:fldChar w:fldCharType="separate"/>
      </w:r>
      <w:r w:rsidR="002C6A9B" w:rsidRPr="00205340">
        <w:t xml:space="preserve">Table </w:t>
      </w:r>
      <w:r w:rsidR="002C6A9B" w:rsidRPr="00205340">
        <w:rPr>
          <w:noProof/>
        </w:rPr>
        <w:t>47</w:t>
      </w:r>
      <w:r w:rsidRPr="00205340">
        <w:fldChar w:fldCharType="end"/>
      </w:r>
      <w:r w:rsidRPr="00205340">
        <w:t xml:space="preserve"> below).</w:t>
      </w:r>
    </w:p>
    <w:p w14:paraId="5D2E8E0D" w14:textId="1D192A26" w:rsidR="00135F99" w:rsidRPr="00205340" w:rsidRDefault="00135F99" w:rsidP="00135F99">
      <w:pPr>
        <w:spacing w:before="240"/>
      </w:pPr>
      <w:r w:rsidRPr="00205340">
        <w:t xml:space="preserve">For the CMA of the HMB population, ESC noted that the commentary calculated the 2-year total cost for marstacimab </w:t>
      </w:r>
      <w:r w:rsidRPr="00FB0E58">
        <w:t>as $</w:t>
      </w:r>
      <w:r w:rsidR="009D4DDF" w:rsidRPr="00FB0E58">
        <w:rPr>
          <w:b/>
          <w:bCs/>
        </w:rPr>
        <w:t>redacte</w:t>
      </w:r>
      <w:r w:rsidR="00F27EA2" w:rsidRPr="00FB0E58">
        <w:rPr>
          <w:b/>
          <w:bCs/>
        </w:rPr>
        <w:t>d</w:t>
      </w:r>
      <w:r w:rsidRPr="00FB0E58">
        <w:t xml:space="preserve"> and for EHL FIX as $377,765. ESC</w:t>
      </w:r>
      <w:r w:rsidRPr="00205340">
        <w:t xml:space="preserve"> noted that in its base case, the commentary had used similar inputs to the ADAR’s CMA against emicizumab (for proportion of dose escalation, and adherence to FIX), to ensure consistency, despite accepting that this resulted in uncertainty. As above, ESC agreed with the commentary that 13.9% (based on BASIS LTE) should be applied for the proportion of dose escalations. ESC advised that the estimate of adherence with EHL FIX should be 87.2% as per published literature.</w:t>
      </w:r>
      <w:bookmarkStart w:id="78" w:name="_Ref223094615"/>
      <w:r w:rsidR="0089752C">
        <w:rPr>
          <w:rFonts w:ascii="ZWAdobeF" w:hAnsi="ZWAdobeF" w:cs="ZWAdobeF"/>
          <w:sz w:val="2"/>
          <w:szCs w:val="2"/>
        </w:rPr>
        <w:t>24F</w:t>
      </w:r>
      <w:r w:rsidRPr="00205340">
        <w:rPr>
          <w:rStyle w:val="FootnoteReference"/>
        </w:rPr>
        <w:footnoteReference w:id="25"/>
      </w:r>
      <w:bookmarkEnd w:id="78"/>
      <w:r w:rsidRPr="00205340">
        <w:t xml:space="preserve"> Regarding the administration of EHL FIX, ESC noted that the pre-ESC response had updated the financial analysis by assuming all patients are administered FIX under the guidance of a haematology clinical nurse specialist. ESC noted input from the National Blood Authority that it is likely that </w:t>
      </w:r>
      <w:proofErr w:type="gramStart"/>
      <w:r w:rsidRPr="00205340">
        <w:t>a majority of</w:t>
      </w:r>
      <w:proofErr w:type="gramEnd"/>
      <w:r w:rsidRPr="00205340">
        <w:t xml:space="preserve"> patients self-administer FIX prophylaxis. In alignment with this, ESC noted a Netherlands study which showed that complete self-management of prophylactic treatment was achieved at the age of 23 years.</w:t>
      </w:r>
      <w:r w:rsidR="0089752C">
        <w:rPr>
          <w:rFonts w:ascii="ZWAdobeF" w:hAnsi="ZWAdobeF" w:cs="ZWAdobeF"/>
          <w:sz w:val="2"/>
          <w:szCs w:val="2"/>
        </w:rPr>
        <w:t>25F</w:t>
      </w:r>
      <w:r w:rsidRPr="00205340">
        <w:rPr>
          <w:rStyle w:val="FootnoteReference"/>
        </w:rPr>
        <w:footnoteReference w:id="26"/>
      </w:r>
      <w:r w:rsidRPr="00205340">
        <w:t xml:space="preserve"> In the absence of published Australian data, ESC advised that </w:t>
      </w:r>
      <w:r w:rsidRPr="00205340">
        <w:lastRenderedPageBreak/>
        <w:t>the administration cost should be a weighted average consisting of 50% self-administration ($0/administration) and 50% under the guidance of a nurse ($375.96/administration; code 40.48 with price weight applied as per National Efficient Price Determination 2025-26), with a sensitivity analysis assessing 100% self-administration. ESC noted that MSAC had previously recommended that there be no price differential across EHL FIX products (</w:t>
      </w:r>
      <w:hyperlink r:id="rId17">
        <w:r w:rsidRPr="00205340">
          <w:rPr>
            <w:rStyle w:val="Hyperlink"/>
          </w:rPr>
          <w:t>MSAC Application 1511 PSD, p. 4</w:t>
        </w:r>
      </w:hyperlink>
      <w:proofErr w:type="gramStart"/>
      <w:r w:rsidRPr="00205340">
        <w:t>), and</w:t>
      </w:r>
      <w:proofErr w:type="gramEnd"/>
      <w:r w:rsidRPr="00205340">
        <w:t xml:space="preserve"> considered that if there is a difference in the effective prices, the effective price of the lowest priced EHL FIX based on dose should be used in the CMA. ESC noted that to ascertain the EHL FIX dose, the commentary had used the real-world utilisation data from the 2023-24 ABDR provided in the ADAR. ESC noted that a major limitation of this data is that it is not specific to a particular FIX product. ESC considered it more appropriate to use the TGA recommended PI dose for the relevant EHL FIX product. ESC noted that this was the approach the current ADAR had taken for the CMA of emicizumab versus marstacimab. ESC requested the CMA for the HMB population be respecified using the appropriate inputs outlined above and the in-confidence EHL FIX price for MSAC consideration (see also summary </w:t>
      </w:r>
      <w:r w:rsidRPr="00205340">
        <w:fldChar w:fldCharType="begin" w:fldLock="1"/>
      </w:r>
      <w:r w:rsidRPr="00205340">
        <w:instrText xml:space="preserve"> REF _Ref223093746 \h </w:instrText>
      </w:r>
      <w:r w:rsidR="00205340">
        <w:instrText xml:space="preserve"> \* MERGEFORMAT </w:instrText>
      </w:r>
      <w:r w:rsidRPr="00205340">
        <w:fldChar w:fldCharType="separate"/>
      </w:r>
      <w:r w:rsidR="002C6A9B" w:rsidRPr="00205340">
        <w:t xml:space="preserve">Table </w:t>
      </w:r>
      <w:r w:rsidR="002C6A9B" w:rsidRPr="00205340">
        <w:rPr>
          <w:noProof/>
        </w:rPr>
        <w:t>47</w:t>
      </w:r>
      <w:r w:rsidRPr="00205340">
        <w:fldChar w:fldCharType="end"/>
      </w:r>
      <w:r w:rsidRPr="00205340">
        <w:t xml:space="preserve"> below).</w:t>
      </w:r>
    </w:p>
    <w:p w14:paraId="5E0C6CD3" w14:textId="548CF0A5" w:rsidR="00135F99" w:rsidRPr="00205340" w:rsidRDefault="00135F99" w:rsidP="00135F99">
      <w:pPr>
        <w:pStyle w:val="Caption"/>
        <w:rPr>
          <w:rFonts w:eastAsia="Franklin Gothic Book" w:cs="Franklin Gothic Book"/>
          <w:color w:val="D13438"/>
          <w:u w:val="single"/>
        </w:rPr>
      </w:pPr>
      <w:bookmarkStart w:id="79" w:name="_Ref223093746"/>
      <w:r w:rsidRPr="00205340">
        <w:t xml:space="preserve">Table </w:t>
      </w:r>
      <w:fldSimple w:instr=" SEQ Table \* ARABIC ">
        <w:r w:rsidR="002C6A9B" w:rsidRPr="00205340">
          <w:rPr>
            <w:noProof/>
          </w:rPr>
          <w:t>47</w:t>
        </w:r>
      </w:fldSimple>
      <w:bookmarkEnd w:id="79"/>
      <w:r w:rsidRPr="00205340">
        <w:t xml:space="preserve">: </w:t>
      </w:r>
      <w:r w:rsidRPr="00205340">
        <w:rPr>
          <w:rFonts w:eastAsia="Franklin Gothic Book" w:cs="Franklin Gothic Book"/>
        </w:rPr>
        <w:t xml:space="preserve">ESC-recommended multiple </w:t>
      </w:r>
      <w:proofErr w:type="spellStart"/>
      <w:r w:rsidRPr="00205340">
        <w:rPr>
          <w:rFonts w:eastAsia="Franklin Gothic Book" w:cs="Franklin Gothic Book"/>
        </w:rPr>
        <w:t>respecifications</w:t>
      </w:r>
      <w:proofErr w:type="spellEnd"/>
      <w:r w:rsidRPr="00205340">
        <w:rPr>
          <w:rFonts w:eastAsia="Franklin Gothic Book" w:cs="Franklin Gothic Book"/>
        </w:rPr>
        <w:t xml:space="preserve"> for recalculating the CMAs</w:t>
      </w:r>
    </w:p>
    <w:tbl>
      <w:tblPr>
        <w:tblStyle w:val="TableGrid"/>
        <w:tblW w:w="0" w:type="auto"/>
        <w:tblLook w:val="04A0" w:firstRow="1" w:lastRow="0" w:firstColumn="1" w:lastColumn="0" w:noHBand="0" w:noVBand="1"/>
      </w:tblPr>
      <w:tblGrid>
        <w:gridCol w:w="1408"/>
        <w:gridCol w:w="2410"/>
        <w:gridCol w:w="2409"/>
        <w:gridCol w:w="2773"/>
      </w:tblGrid>
      <w:tr w:rsidR="00135F99" w:rsidRPr="00205340" w14:paraId="53CEC280" w14:textId="77777777">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1DB7CE45" w14:textId="77777777" w:rsidR="00135F99" w:rsidRPr="00205340" w:rsidRDefault="00135F99">
            <w:pPr>
              <w:spacing w:before="0"/>
              <w:rPr>
                <w:rFonts w:ascii="Arial Narrow" w:eastAsia="Arial Narrow" w:hAnsi="Arial Narrow" w:cs="Arial Narrow"/>
                <w:b/>
                <w:bCs/>
                <w:sz w:val="20"/>
                <w:szCs w:val="20"/>
              </w:rPr>
            </w:pPr>
            <w:r w:rsidRPr="00205340">
              <w:rPr>
                <w:rFonts w:ascii="Arial Narrow" w:eastAsia="Arial Narrow" w:hAnsi="Arial Narrow" w:cs="Arial Narrow"/>
                <w:b/>
                <w:bCs/>
                <w:sz w:val="20"/>
                <w:szCs w:val="20"/>
              </w:rPr>
              <w:t>Variable</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F70EAF5" w14:textId="77777777" w:rsidR="00135F99" w:rsidRPr="00205340" w:rsidRDefault="00135F99">
            <w:pPr>
              <w:spacing w:before="0"/>
              <w:rPr>
                <w:rFonts w:ascii="Arial Narrow" w:eastAsia="Arial Narrow" w:hAnsi="Arial Narrow" w:cs="Arial Narrow"/>
                <w:b/>
                <w:bCs/>
                <w:sz w:val="20"/>
                <w:szCs w:val="20"/>
              </w:rPr>
            </w:pPr>
            <w:r w:rsidRPr="00205340">
              <w:rPr>
                <w:rFonts w:ascii="Arial Narrow" w:eastAsia="Arial Narrow" w:hAnsi="Arial Narrow" w:cs="Arial Narrow"/>
                <w:b/>
                <w:bCs/>
                <w:sz w:val="20"/>
                <w:szCs w:val="20"/>
              </w:rPr>
              <w:t>Proposed product</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19F29432" w14:textId="77777777" w:rsidR="00135F99" w:rsidRPr="00205340" w:rsidRDefault="00135F99">
            <w:pPr>
              <w:spacing w:before="0"/>
              <w:rPr>
                <w:rFonts w:ascii="Arial Narrow" w:eastAsia="Arial Narrow" w:hAnsi="Arial Narrow" w:cs="Arial Narrow"/>
                <w:b/>
                <w:bCs/>
                <w:sz w:val="20"/>
                <w:szCs w:val="20"/>
              </w:rPr>
            </w:pPr>
            <w:r w:rsidRPr="00205340">
              <w:rPr>
                <w:rFonts w:ascii="Arial Narrow" w:eastAsia="Arial Narrow" w:hAnsi="Arial Narrow" w:cs="Arial Narrow"/>
                <w:b/>
                <w:bCs/>
                <w:sz w:val="20"/>
                <w:szCs w:val="20"/>
              </w:rPr>
              <w:t>Comparator</w:t>
            </w:r>
          </w:p>
        </w:tc>
        <w:tc>
          <w:tcPr>
            <w:tcW w:w="2773" w:type="dxa"/>
            <w:tcBorders>
              <w:top w:val="single" w:sz="8" w:space="0" w:color="auto"/>
              <w:left w:val="single" w:sz="8" w:space="0" w:color="auto"/>
              <w:bottom w:val="single" w:sz="8" w:space="0" w:color="auto"/>
              <w:right w:val="single" w:sz="8" w:space="0" w:color="auto"/>
            </w:tcBorders>
            <w:tcMar>
              <w:left w:w="108" w:type="dxa"/>
              <w:right w:w="108" w:type="dxa"/>
            </w:tcMar>
          </w:tcPr>
          <w:p w14:paraId="0A2BF7D1" w14:textId="77777777" w:rsidR="00135F99" w:rsidRPr="00205340" w:rsidRDefault="00135F99">
            <w:pPr>
              <w:spacing w:before="0"/>
              <w:rPr>
                <w:rFonts w:ascii="Arial Narrow" w:eastAsia="Arial Narrow" w:hAnsi="Arial Narrow" w:cs="Arial Narrow"/>
                <w:b/>
                <w:bCs/>
                <w:sz w:val="20"/>
                <w:szCs w:val="20"/>
              </w:rPr>
            </w:pPr>
            <w:r w:rsidRPr="00205340">
              <w:rPr>
                <w:rFonts w:ascii="Arial Narrow" w:eastAsia="Arial Narrow" w:hAnsi="Arial Narrow" w:cs="Arial Narrow"/>
                <w:b/>
                <w:bCs/>
                <w:sz w:val="20"/>
                <w:szCs w:val="20"/>
              </w:rPr>
              <w:t>Rationale</w:t>
            </w:r>
          </w:p>
        </w:tc>
      </w:tr>
      <w:tr w:rsidR="00135F99" w:rsidRPr="00205340" w14:paraId="66C23DAE" w14:textId="77777777">
        <w:trPr>
          <w:trHeight w:val="300"/>
        </w:trPr>
        <w:tc>
          <w:tcPr>
            <w:tcW w:w="900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E087D78" w14:textId="77777777" w:rsidR="00135F99" w:rsidRPr="00205340" w:rsidRDefault="00135F99">
            <w:pPr>
              <w:spacing w:before="0"/>
              <w:rPr>
                <w:rFonts w:ascii="Arial Narrow" w:eastAsia="Arial Narrow" w:hAnsi="Arial Narrow" w:cs="Arial Narrow"/>
                <w:b/>
                <w:bCs/>
                <w:sz w:val="20"/>
                <w:szCs w:val="20"/>
              </w:rPr>
            </w:pPr>
            <w:r w:rsidRPr="00205340">
              <w:rPr>
                <w:rFonts w:ascii="Arial Narrow" w:eastAsia="Arial Narrow" w:hAnsi="Arial Narrow" w:cs="Arial Narrow"/>
                <w:b/>
                <w:bCs/>
                <w:sz w:val="20"/>
                <w:szCs w:val="20"/>
              </w:rPr>
              <w:t>Cost-minimisation approach (CMA) in HMA</w:t>
            </w:r>
          </w:p>
        </w:tc>
      </w:tr>
      <w:tr w:rsidR="00135F99" w:rsidRPr="00205340" w14:paraId="54D08BD1" w14:textId="77777777">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44C53B4A" w14:textId="77777777" w:rsidR="00135F99" w:rsidRPr="00205340" w:rsidRDefault="00135F99">
            <w:pPr>
              <w:spacing w:before="0"/>
              <w:rPr>
                <w:rFonts w:ascii="Arial Narrow" w:eastAsia="Arial Narrow" w:hAnsi="Arial Narrow" w:cs="Arial Narrow"/>
                <w:sz w:val="20"/>
                <w:szCs w:val="20"/>
              </w:rPr>
            </w:pPr>
            <w:r w:rsidRPr="00205340">
              <w:rPr>
                <w:rFonts w:ascii="Arial Narrow" w:eastAsia="Arial Narrow" w:hAnsi="Arial Narrow" w:cs="Arial Narrow"/>
                <w:sz w:val="20"/>
                <w:szCs w:val="20"/>
              </w:rPr>
              <w:t>Product cost</w:t>
            </w:r>
          </w:p>
        </w:tc>
        <w:tc>
          <w:tcPr>
            <w:tcW w:w="2410" w:type="dxa"/>
            <w:tcBorders>
              <w:top w:val="nil"/>
              <w:left w:val="single" w:sz="8" w:space="0" w:color="auto"/>
              <w:bottom w:val="single" w:sz="8" w:space="0" w:color="auto"/>
              <w:right w:val="single" w:sz="8" w:space="0" w:color="auto"/>
            </w:tcBorders>
            <w:tcMar>
              <w:left w:w="108" w:type="dxa"/>
              <w:right w:w="108" w:type="dxa"/>
            </w:tcMar>
          </w:tcPr>
          <w:p w14:paraId="5D80621E" w14:textId="77777777" w:rsidR="00135F99" w:rsidRPr="00205340" w:rsidRDefault="00135F99">
            <w:pPr>
              <w:spacing w:before="0"/>
              <w:rPr>
                <w:rFonts w:ascii="Arial Narrow" w:eastAsia="Arial Narrow" w:hAnsi="Arial Narrow" w:cs="Arial Narrow"/>
                <w:i/>
                <w:iCs/>
                <w:sz w:val="20"/>
                <w:szCs w:val="20"/>
              </w:rPr>
            </w:pPr>
            <w:r w:rsidRPr="00205340">
              <w:rPr>
                <w:rFonts w:ascii="Arial Narrow" w:eastAsia="Arial Narrow" w:hAnsi="Arial Narrow" w:cs="Arial Narrow"/>
                <w:i/>
                <w:iCs/>
                <w:sz w:val="20"/>
                <w:szCs w:val="20"/>
              </w:rPr>
              <w:t>Back-calculated to achieve cost-neutrality</w:t>
            </w:r>
          </w:p>
          <w:p w14:paraId="214109BE" w14:textId="77777777" w:rsidR="00135F99" w:rsidRPr="00205340" w:rsidRDefault="00135F99" w:rsidP="005C116D">
            <w:pPr>
              <w:pStyle w:val="ListParagraph"/>
              <w:numPr>
                <w:ilvl w:val="0"/>
                <w:numId w:val="3"/>
              </w:numPr>
              <w:spacing w:before="0"/>
              <w:ind w:left="182" w:hanging="218"/>
              <w:rPr>
                <w:rFonts w:ascii="Arial Narrow" w:eastAsia="Arial Narrow" w:hAnsi="Arial Narrow" w:cs="Arial Narrow"/>
                <w:sz w:val="20"/>
                <w:szCs w:val="20"/>
              </w:rPr>
            </w:pPr>
            <w:r w:rsidRPr="00205340">
              <w:rPr>
                <w:rFonts w:ascii="Arial Narrow" w:eastAsia="Arial Narrow" w:hAnsi="Arial Narrow" w:cs="Arial Narrow"/>
                <w:sz w:val="20"/>
                <w:szCs w:val="20"/>
              </w:rPr>
              <w:t>Calculate over 2 years to include loading dose</w:t>
            </w:r>
          </w:p>
          <w:p w14:paraId="571F86A1" w14:textId="77777777" w:rsidR="00135F99" w:rsidRPr="00205340" w:rsidRDefault="00135F99" w:rsidP="005C116D">
            <w:pPr>
              <w:pStyle w:val="ListParagraph"/>
              <w:numPr>
                <w:ilvl w:val="0"/>
                <w:numId w:val="3"/>
              </w:numPr>
              <w:spacing w:before="0"/>
              <w:ind w:left="182" w:hanging="218"/>
              <w:rPr>
                <w:rFonts w:ascii="Arial Narrow" w:eastAsia="Arial Narrow" w:hAnsi="Arial Narrow" w:cs="Arial Narrow"/>
                <w:sz w:val="20"/>
                <w:szCs w:val="20"/>
              </w:rPr>
            </w:pPr>
            <w:r w:rsidRPr="00205340">
              <w:rPr>
                <w:rFonts w:ascii="Arial Narrow" w:eastAsia="Arial Narrow" w:hAnsi="Arial Narrow" w:cs="Arial Narrow"/>
                <w:sz w:val="20"/>
                <w:szCs w:val="20"/>
              </w:rPr>
              <w:t>Use 75.2kg body weight</w:t>
            </w:r>
          </w:p>
          <w:p w14:paraId="6F7CA8B3" w14:textId="77777777" w:rsidR="00135F99" w:rsidRPr="00205340" w:rsidRDefault="00135F99" w:rsidP="005C116D">
            <w:pPr>
              <w:pStyle w:val="ListParagraph"/>
              <w:numPr>
                <w:ilvl w:val="0"/>
                <w:numId w:val="3"/>
              </w:numPr>
              <w:spacing w:before="0"/>
              <w:ind w:left="182" w:hanging="218"/>
              <w:rPr>
                <w:rFonts w:ascii="Arial Narrow" w:eastAsia="Arial Narrow" w:hAnsi="Arial Narrow" w:cs="Arial Narrow"/>
                <w:sz w:val="20"/>
                <w:szCs w:val="20"/>
              </w:rPr>
            </w:pPr>
            <w:r w:rsidRPr="00205340">
              <w:rPr>
                <w:rFonts w:ascii="Arial Narrow" w:eastAsia="Arial Narrow" w:hAnsi="Arial Narrow" w:cs="Arial Narrow"/>
                <w:sz w:val="20"/>
                <w:szCs w:val="20"/>
              </w:rPr>
              <w:t>Apply 13.9% dose escalation</w:t>
            </w:r>
          </w:p>
        </w:tc>
        <w:tc>
          <w:tcPr>
            <w:tcW w:w="2409" w:type="dxa"/>
            <w:tcBorders>
              <w:top w:val="nil"/>
              <w:left w:val="single" w:sz="8" w:space="0" w:color="auto"/>
              <w:bottom w:val="single" w:sz="8" w:space="0" w:color="auto"/>
              <w:right w:val="single" w:sz="8" w:space="0" w:color="auto"/>
            </w:tcBorders>
            <w:tcMar>
              <w:left w:w="108" w:type="dxa"/>
              <w:right w:w="108" w:type="dxa"/>
            </w:tcMar>
          </w:tcPr>
          <w:p w14:paraId="1C60CF8B" w14:textId="77777777" w:rsidR="00135F99" w:rsidRPr="00205340" w:rsidRDefault="00135F99" w:rsidP="005C116D">
            <w:pPr>
              <w:pStyle w:val="ListParagraph"/>
              <w:numPr>
                <w:ilvl w:val="0"/>
                <w:numId w:val="3"/>
              </w:numPr>
              <w:spacing w:before="0"/>
              <w:ind w:left="200" w:hanging="218"/>
              <w:rPr>
                <w:rFonts w:ascii="Arial Narrow" w:eastAsia="Arial Narrow" w:hAnsi="Arial Narrow" w:cs="Arial Narrow"/>
                <w:sz w:val="20"/>
                <w:szCs w:val="20"/>
              </w:rPr>
            </w:pPr>
            <w:r w:rsidRPr="00205340">
              <w:rPr>
                <w:rFonts w:ascii="Arial Narrow" w:eastAsia="Arial Narrow" w:hAnsi="Arial Narrow" w:cs="Arial Narrow"/>
                <w:sz w:val="20"/>
                <w:szCs w:val="20"/>
              </w:rPr>
              <w:t>Calculate over 2 years</w:t>
            </w:r>
          </w:p>
          <w:p w14:paraId="4906CC5B" w14:textId="77777777" w:rsidR="00135F99" w:rsidRPr="00205340" w:rsidRDefault="00135F99" w:rsidP="005C116D">
            <w:pPr>
              <w:pStyle w:val="ListParagraph"/>
              <w:numPr>
                <w:ilvl w:val="0"/>
                <w:numId w:val="3"/>
              </w:numPr>
              <w:spacing w:before="0"/>
              <w:ind w:left="200" w:hanging="218"/>
              <w:rPr>
                <w:rFonts w:ascii="Arial Narrow" w:eastAsia="Arial Narrow" w:hAnsi="Arial Narrow" w:cs="Arial Narrow"/>
                <w:sz w:val="20"/>
                <w:szCs w:val="20"/>
              </w:rPr>
            </w:pPr>
            <w:r w:rsidRPr="00205340">
              <w:rPr>
                <w:rFonts w:ascii="Arial Narrow" w:eastAsia="Arial Narrow" w:hAnsi="Arial Narrow" w:cs="Arial Narrow"/>
                <w:sz w:val="20"/>
                <w:szCs w:val="20"/>
              </w:rPr>
              <w:t>Use 75.2kg body weight</w:t>
            </w:r>
          </w:p>
          <w:p w14:paraId="24DA9621" w14:textId="77777777" w:rsidR="00135F99" w:rsidRPr="00205340" w:rsidRDefault="00135F99" w:rsidP="005C116D">
            <w:pPr>
              <w:pStyle w:val="ListParagraph"/>
              <w:numPr>
                <w:ilvl w:val="0"/>
                <w:numId w:val="3"/>
              </w:numPr>
              <w:spacing w:before="0"/>
              <w:ind w:left="200" w:hanging="218"/>
              <w:rPr>
                <w:rFonts w:ascii="Arial Narrow" w:eastAsia="Arial Narrow" w:hAnsi="Arial Narrow" w:cs="Arial Narrow"/>
                <w:sz w:val="20"/>
                <w:szCs w:val="20"/>
              </w:rPr>
            </w:pPr>
            <w:r w:rsidRPr="00205340">
              <w:rPr>
                <w:rFonts w:ascii="Arial Narrow" w:eastAsia="Arial Narrow" w:hAnsi="Arial Narrow" w:cs="Arial Narrow"/>
                <w:sz w:val="20"/>
                <w:szCs w:val="20"/>
              </w:rPr>
              <w:t>Multiply by adherence at 98%</w:t>
            </w:r>
          </w:p>
          <w:p w14:paraId="70BE2602" w14:textId="77777777" w:rsidR="00135F99" w:rsidRPr="00205340" w:rsidRDefault="00135F99" w:rsidP="005C116D">
            <w:pPr>
              <w:pStyle w:val="ListParagraph"/>
              <w:numPr>
                <w:ilvl w:val="0"/>
                <w:numId w:val="3"/>
              </w:numPr>
              <w:spacing w:before="0"/>
              <w:ind w:left="200" w:hanging="218"/>
              <w:rPr>
                <w:rFonts w:ascii="Arial Narrow" w:eastAsia="Arial Narrow" w:hAnsi="Arial Narrow" w:cs="Arial Narrow"/>
                <w:sz w:val="20"/>
                <w:szCs w:val="20"/>
              </w:rPr>
            </w:pPr>
            <w:r w:rsidRPr="00205340">
              <w:rPr>
                <w:rFonts w:ascii="Arial Narrow" w:eastAsia="Arial Narrow" w:hAnsi="Arial Narrow" w:cs="Arial Narrow"/>
                <w:sz w:val="20"/>
                <w:szCs w:val="20"/>
              </w:rPr>
              <w:t xml:space="preserve">Use MSAC recommended in-confidence price of emicizumab </w:t>
            </w:r>
          </w:p>
        </w:tc>
        <w:tc>
          <w:tcPr>
            <w:tcW w:w="2773" w:type="dxa"/>
            <w:tcBorders>
              <w:top w:val="nil"/>
              <w:left w:val="single" w:sz="8" w:space="0" w:color="auto"/>
              <w:bottom w:val="single" w:sz="8" w:space="0" w:color="auto"/>
              <w:right w:val="single" w:sz="8" w:space="0" w:color="auto"/>
            </w:tcBorders>
            <w:tcMar>
              <w:left w:w="108" w:type="dxa"/>
              <w:right w:w="108" w:type="dxa"/>
            </w:tcMar>
          </w:tcPr>
          <w:p w14:paraId="49C51981" w14:textId="77777777" w:rsidR="00135F99" w:rsidRPr="00205340" w:rsidRDefault="00135F99">
            <w:pPr>
              <w:spacing w:before="0"/>
              <w:rPr>
                <w:rFonts w:ascii="Arial Narrow" w:eastAsia="Arial Narrow" w:hAnsi="Arial Narrow" w:cs="Arial Narrow"/>
                <w:sz w:val="20"/>
                <w:szCs w:val="20"/>
              </w:rPr>
            </w:pPr>
            <w:r w:rsidRPr="00205340">
              <w:rPr>
                <w:rFonts w:ascii="Arial Narrow" w:eastAsia="Arial Narrow" w:hAnsi="Arial Narrow" w:cs="Arial Narrow"/>
                <w:sz w:val="20"/>
                <w:szCs w:val="20"/>
              </w:rPr>
              <w:t>1 to 6: Accept commentary rationale</w:t>
            </w:r>
          </w:p>
          <w:p w14:paraId="29705097" w14:textId="77777777" w:rsidR="00135F99" w:rsidRPr="00205340" w:rsidRDefault="00135F99">
            <w:pPr>
              <w:spacing w:before="0"/>
              <w:rPr>
                <w:rFonts w:ascii="Arial Narrow" w:eastAsia="Arial Narrow" w:hAnsi="Arial Narrow" w:cs="Arial Narrow"/>
                <w:sz w:val="20"/>
                <w:szCs w:val="20"/>
              </w:rPr>
            </w:pPr>
            <w:r w:rsidRPr="00205340">
              <w:rPr>
                <w:rFonts w:ascii="Arial Narrow" w:eastAsia="Arial Narrow" w:hAnsi="Arial Narrow" w:cs="Arial Narrow"/>
                <w:sz w:val="20"/>
                <w:szCs w:val="20"/>
              </w:rPr>
              <w:t>7: Consistency with in-confidence MSAC recommendation for emicizumab in the requested severe subgroup (PSD for 1579, page 3)</w:t>
            </w:r>
          </w:p>
        </w:tc>
      </w:tr>
      <w:tr w:rsidR="00135F99" w:rsidRPr="00205340" w14:paraId="4EE510FE" w14:textId="77777777">
        <w:trPr>
          <w:trHeight w:val="300"/>
        </w:trPr>
        <w:tc>
          <w:tcPr>
            <w:tcW w:w="900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F90BE65" w14:textId="77777777" w:rsidR="00135F99" w:rsidRPr="00205340" w:rsidRDefault="00135F99">
            <w:pPr>
              <w:spacing w:before="0"/>
              <w:rPr>
                <w:rFonts w:ascii="Arial Narrow" w:eastAsia="Arial Narrow" w:hAnsi="Arial Narrow" w:cs="Arial Narrow"/>
                <w:b/>
                <w:bCs/>
                <w:sz w:val="20"/>
                <w:szCs w:val="20"/>
              </w:rPr>
            </w:pPr>
            <w:r w:rsidRPr="00205340">
              <w:rPr>
                <w:rFonts w:ascii="Arial Narrow" w:eastAsia="Arial Narrow" w:hAnsi="Arial Narrow" w:cs="Arial Narrow"/>
                <w:b/>
                <w:bCs/>
                <w:sz w:val="20"/>
                <w:szCs w:val="20"/>
              </w:rPr>
              <w:t>Cost-minimisation approach (CMA) in HMB</w:t>
            </w:r>
          </w:p>
        </w:tc>
      </w:tr>
      <w:tr w:rsidR="00135F99" w:rsidRPr="00205340" w14:paraId="338EAC15" w14:textId="77777777">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44C9B41E" w14:textId="77777777" w:rsidR="00135F99" w:rsidRPr="00205340" w:rsidRDefault="00135F99">
            <w:pPr>
              <w:spacing w:before="0"/>
              <w:rPr>
                <w:rFonts w:ascii="Arial Narrow" w:eastAsia="Arial Narrow" w:hAnsi="Arial Narrow" w:cs="Arial Narrow"/>
                <w:sz w:val="20"/>
                <w:szCs w:val="20"/>
              </w:rPr>
            </w:pPr>
            <w:r w:rsidRPr="00205340">
              <w:rPr>
                <w:rFonts w:ascii="Arial Narrow" w:eastAsia="Arial Narrow" w:hAnsi="Arial Narrow" w:cs="Arial Narrow"/>
                <w:sz w:val="20"/>
                <w:szCs w:val="20"/>
              </w:rPr>
              <w:t>Product cost</w:t>
            </w:r>
          </w:p>
        </w:tc>
        <w:tc>
          <w:tcPr>
            <w:tcW w:w="2410" w:type="dxa"/>
            <w:tcBorders>
              <w:top w:val="nil"/>
              <w:left w:val="single" w:sz="8" w:space="0" w:color="auto"/>
              <w:bottom w:val="single" w:sz="8" w:space="0" w:color="auto"/>
              <w:right w:val="single" w:sz="8" w:space="0" w:color="auto"/>
            </w:tcBorders>
            <w:tcMar>
              <w:left w:w="108" w:type="dxa"/>
              <w:right w:w="108" w:type="dxa"/>
            </w:tcMar>
          </w:tcPr>
          <w:p w14:paraId="090FC68F" w14:textId="77777777" w:rsidR="00135F99" w:rsidRPr="00205340" w:rsidRDefault="00135F99">
            <w:pPr>
              <w:spacing w:before="0"/>
              <w:rPr>
                <w:rFonts w:ascii="Arial Narrow" w:eastAsia="Arial Narrow" w:hAnsi="Arial Narrow" w:cs="Arial Narrow"/>
                <w:i/>
                <w:iCs/>
                <w:sz w:val="20"/>
                <w:szCs w:val="20"/>
              </w:rPr>
            </w:pPr>
            <w:r w:rsidRPr="00205340">
              <w:rPr>
                <w:rFonts w:ascii="Arial Narrow" w:eastAsia="Arial Narrow" w:hAnsi="Arial Narrow" w:cs="Arial Narrow"/>
                <w:i/>
                <w:iCs/>
                <w:sz w:val="20"/>
                <w:szCs w:val="20"/>
              </w:rPr>
              <w:t>Back-calculated to achieve cost-neutrality</w:t>
            </w:r>
          </w:p>
          <w:p w14:paraId="3D40FF64" w14:textId="77777777" w:rsidR="00135F99" w:rsidRPr="00205340" w:rsidRDefault="00135F99" w:rsidP="005C116D">
            <w:pPr>
              <w:pStyle w:val="ListParagraph"/>
              <w:numPr>
                <w:ilvl w:val="0"/>
                <w:numId w:val="2"/>
              </w:numPr>
              <w:spacing w:before="0"/>
              <w:ind w:left="182" w:hanging="218"/>
              <w:rPr>
                <w:rFonts w:ascii="Arial Narrow" w:eastAsia="Arial Narrow" w:hAnsi="Arial Narrow" w:cs="Arial Narrow"/>
                <w:sz w:val="20"/>
                <w:szCs w:val="20"/>
              </w:rPr>
            </w:pPr>
            <w:r w:rsidRPr="00205340">
              <w:rPr>
                <w:rFonts w:ascii="Arial Narrow" w:eastAsia="Arial Narrow" w:hAnsi="Arial Narrow" w:cs="Arial Narrow"/>
                <w:sz w:val="20"/>
                <w:szCs w:val="20"/>
              </w:rPr>
              <w:t>Calculate over 2 years to include loading dose</w:t>
            </w:r>
          </w:p>
          <w:p w14:paraId="019275F3" w14:textId="77777777" w:rsidR="00135F99" w:rsidRPr="00205340" w:rsidRDefault="00135F99" w:rsidP="005C116D">
            <w:pPr>
              <w:pStyle w:val="ListParagraph"/>
              <w:numPr>
                <w:ilvl w:val="0"/>
                <w:numId w:val="2"/>
              </w:numPr>
              <w:spacing w:before="0"/>
              <w:ind w:left="182" w:hanging="218"/>
              <w:rPr>
                <w:rFonts w:ascii="Arial Narrow" w:eastAsia="Arial Narrow" w:hAnsi="Arial Narrow" w:cs="Arial Narrow"/>
                <w:sz w:val="20"/>
                <w:szCs w:val="20"/>
              </w:rPr>
            </w:pPr>
            <w:r w:rsidRPr="00205340">
              <w:rPr>
                <w:rFonts w:ascii="Arial Narrow" w:eastAsia="Arial Narrow" w:hAnsi="Arial Narrow" w:cs="Arial Narrow"/>
                <w:sz w:val="20"/>
                <w:szCs w:val="20"/>
              </w:rPr>
              <w:t>Use 79.2kg body weight</w:t>
            </w:r>
          </w:p>
          <w:p w14:paraId="6AC39DDA" w14:textId="77777777" w:rsidR="00135F99" w:rsidRPr="00205340" w:rsidRDefault="00135F99" w:rsidP="005C116D">
            <w:pPr>
              <w:pStyle w:val="ListParagraph"/>
              <w:numPr>
                <w:ilvl w:val="0"/>
                <w:numId w:val="2"/>
              </w:numPr>
              <w:spacing w:before="0"/>
              <w:ind w:left="182" w:hanging="218"/>
              <w:rPr>
                <w:rFonts w:ascii="Arial Narrow" w:eastAsia="Arial Narrow" w:hAnsi="Arial Narrow" w:cs="Arial Narrow"/>
                <w:sz w:val="20"/>
                <w:szCs w:val="20"/>
              </w:rPr>
            </w:pPr>
            <w:r w:rsidRPr="00205340">
              <w:rPr>
                <w:rFonts w:ascii="Arial Narrow" w:eastAsia="Arial Narrow" w:hAnsi="Arial Narrow" w:cs="Arial Narrow"/>
                <w:sz w:val="20"/>
                <w:szCs w:val="20"/>
              </w:rPr>
              <w:t>Apply 13.9% dose escalation</w:t>
            </w:r>
          </w:p>
        </w:tc>
        <w:tc>
          <w:tcPr>
            <w:tcW w:w="2409" w:type="dxa"/>
            <w:tcBorders>
              <w:top w:val="nil"/>
              <w:left w:val="single" w:sz="8" w:space="0" w:color="auto"/>
              <w:bottom w:val="single" w:sz="8" w:space="0" w:color="auto"/>
              <w:right w:val="single" w:sz="8" w:space="0" w:color="auto"/>
            </w:tcBorders>
            <w:tcMar>
              <w:left w:w="108" w:type="dxa"/>
              <w:right w:w="108" w:type="dxa"/>
            </w:tcMar>
          </w:tcPr>
          <w:p w14:paraId="6D8BA556" w14:textId="77777777" w:rsidR="00135F99" w:rsidRPr="00205340" w:rsidRDefault="00135F99" w:rsidP="005C116D">
            <w:pPr>
              <w:pStyle w:val="ListParagraph"/>
              <w:numPr>
                <w:ilvl w:val="0"/>
                <w:numId w:val="2"/>
              </w:numPr>
              <w:spacing w:before="0"/>
              <w:ind w:left="200" w:hanging="218"/>
              <w:rPr>
                <w:rFonts w:ascii="Arial Narrow" w:eastAsia="Arial Narrow" w:hAnsi="Arial Narrow" w:cs="Arial Narrow"/>
                <w:sz w:val="20"/>
                <w:szCs w:val="20"/>
              </w:rPr>
            </w:pPr>
            <w:r w:rsidRPr="00205340">
              <w:rPr>
                <w:rFonts w:ascii="Arial Narrow" w:eastAsia="Arial Narrow" w:hAnsi="Arial Narrow" w:cs="Arial Narrow"/>
                <w:sz w:val="20"/>
                <w:szCs w:val="20"/>
              </w:rPr>
              <w:t>Calculate over 2 years</w:t>
            </w:r>
          </w:p>
          <w:p w14:paraId="2152C430" w14:textId="77777777" w:rsidR="00135F99" w:rsidRPr="00205340" w:rsidRDefault="00135F99" w:rsidP="005C116D">
            <w:pPr>
              <w:pStyle w:val="ListParagraph"/>
              <w:numPr>
                <w:ilvl w:val="0"/>
                <w:numId w:val="2"/>
              </w:numPr>
              <w:spacing w:before="0"/>
              <w:ind w:left="200" w:hanging="218"/>
              <w:rPr>
                <w:rFonts w:ascii="Arial Narrow" w:eastAsia="Arial Narrow" w:hAnsi="Arial Narrow" w:cs="Arial Narrow"/>
                <w:sz w:val="20"/>
                <w:szCs w:val="20"/>
              </w:rPr>
            </w:pPr>
            <w:r w:rsidRPr="00205340">
              <w:rPr>
                <w:rFonts w:ascii="Arial Narrow" w:eastAsia="Arial Narrow" w:hAnsi="Arial Narrow" w:cs="Arial Narrow"/>
                <w:sz w:val="20"/>
                <w:szCs w:val="20"/>
              </w:rPr>
              <w:t>Use 79.2kg body weight</w:t>
            </w:r>
          </w:p>
          <w:p w14:paraId="7F3D274C" w14:textId="77777777" w:rsidR="00135F99" w:rsidRPr="00205340" w:rsidRDefault="00135F99" w:rsidP="005C116D">
            <w:pPr>
              <w:pStyle w:val="ListParagraph"/>
              <w:numPr>
                <w:ilvl w:val="0"/>
                <w:numId w:val="2"/>
              </w:numPr>
              <w:spacing w:before="0"/>
              <w:ind w:left="200" w:hanging="218"/>
              <w:rPr>
                <w:rFonts w:ascii="Arial Narrow" w:eastAsia="Arial Narrow" w:hAnsi="Arial Narrow" w:cs="Arial Narrow"/>
                <w:sz w:val="20"/>
                <w:szCs w:val="20"/>
              </w:rPr>
            </w:pPr>
            <w:r w:rsidRPr="00205340">
              <w:rPr>
                <w:rFonts w:ascii="Arial Narrow" w:eastAsia="Arial Narrow" w:hAnsi="Arial Narrow" w:cs="Arial Narrow"/>
                <w:sz w:val="20"/>
                <w:szCs w:val="20"/>
              </w:rPr>
              <w:t>Use cheapest EHL FIX in-confidence price based on TGA-approved dose</w:t>
            </w:r>
          </w:p>
          <w:p w14:paraId="681981D9" w14:textId="77777777" w:rsidR="00135F99" w:rsidRPr="00205340" w:rsidRDefault="00135F99" w:rsidP="005C116D">
            <w:pPr>
              <w:pStyle w:val="ListParagraph"/>
              <w:numPr>
                <w:ilvl w:val="0"/>
                <w:numId w:val="2"/>
              </w:numPr>
              <w:spacing w:before="0"/>
              <w:ind w:left="200" w:hanging="218"/>
              <w:rPr>
                <w:rFonts w:ascii="Arial Narrow" w:eastAsia="Arial Narrow" w:hAnsi="Arial Narrow" w:cs="Arial Narrow"/>
                <w:sz w:val="20"/>
                <w:szCs w:val="20"/>
              </w:rPr>
            </w:pPr>
            <w:r w:rsidRPr="00205340">
              <w:rPr>
                <w:rFonts w:ascii="Arial Narrow" w:eastAsia="Arial Narrow" w:hAnsi="Arial Narrow" w:cs="Arial Narrow"/>
                <w:sz w:val="20"/>
                <w:szCs w:val="20"/>
              </w:rPr>
              <w:t>Multiply by adherence at 87.2%</w:t>
            </w:r>
          </w:p>
        </w:tc>
        <w:tc>
          <w:tcPr>
            <w:tcW w:w="2773" w:type="dxa"/>
            <w:tcBorders>
              <w:top w:val="nil"/>
              <w:left w:val="single" w:sz="8" w:space="0" w:color="auto"/>
              <w:bottom w:val="single" w:sz="8" w:space="0" w:color="auto"/>
              <w:right w:val="single" w:sz="8" w:space="0" w:color="auto"/>
            </w:tcBorders>
            <w:tcMar>
              <w:left w:w="108" w:type="dxa"/>
              <w:right w:w="108" w:type="dxa"/>
            </w:tcMar>
          </w:tcPr>
          <w:p w14:paraId="359749C2" w14:textId="77777777" w:rsidR="00135F99" w:rsidRPr="00205340" w:rsidRDefault="00135F99">
            <w:pPr>
              <w:spacing w:before="0"/>
              <w:rPr>
                <w:rFonts w:ascii="Arial Narrow" w:eastAsia="Arial Narrow" w:hAnsi="Arial Narrow" w:cs="Arial Narrow"/>
                <w:sz w:val="20"/>
                <w:szCs w:val="20"/>
              </w:rPr>
            </w:pPr>
            <w:r w:rsidRPr="00205340">
              <w:rPr>
                <w:rFonts w:ascii="Arial Narrow" w:eastAsia="Arial Narrow" w:hAnsi="Arial Narrow" w:cs="Arial Narrow"/>
                <w:sz w:val="20"/>
                <w:szCs w:val="20"/>
              </w:rPr>
              <w:t>1-5: Accept commentary rationale</w:t>
            </w:r>
          </w:p>
          <w:p w14:paraId="07F56ED9" w14:textId="77777777" w:rsidR="00135F99" w:rsidRPr="00205340" w:rsidRDefault="00135F99">
            <w:pPr>
              <w:spacing w:before="0"/>
              <w:rPr>
                <w:rFonts w:ascii="Arial Narrow" w:eastAsia="Arial Narrow" w:hAnsi="Arial Narrow" w:cs="Arial Narrow"/>
                <w:sz w:val="20"/>
                <w:szCs w:val="20"/>
              </w:rPr>
            </w:pPr>
            <w:r w:rsidRPr="00205340">
              <w:rPr>
                <w:rFonts w:ascii="Arial Narrow" w:eastAsia="Arial Narrow" w:hAnsi="Arial Narrow" w:cs="Arial Narrow"/>
                <w:sz w:val="20"/>
                <w:szCs w:val="20"/>
              </w:rPr>
              <w:t>6: Consistency with approach in 1805 and MSAC recommendation for no cost differential between EHL FIX products (PSD for 1511, page 4)</w:t>
            </w:r>
          </w:p>
          <w:p w14:paraId="6DAA265D" w14:textId="7BA96646" w:rsidR="00135F99" w:rsidRPr="00205340" w:rsidRDefault="00135F99">
            <w:pPr>
              <w:spacing w:before="0"/>
              <w:rPr>
                <w:rFonts w:ascii="Arial Narrow" w:eastAsia="Arial Narrow" w:hAnsi="Arial Narrow" w:cs="Arial Narrow"/>
                <w:color w:val="EE0000"/>
                <w:sz w:val="20"/>
                <w:szCs w:val="20"/>
              </w:rPr>
            </w:pPr>
            <w:r w:rsidRPr="00205340">
              <w:rPr>
                <w:rFonts w:ascii="Arial Narrow" w:eastAsia="Arial Narrow" w:hAnsi="Arial Narrow" w:cs="Arial Narrow"/>
                <w:sz w:val="20"/>
                <w:szCs w:val="20"/>
              </w:rPr>
              <w:t>7: Observed for FIX</w:t>
            </w:r>
            <w:r w:rsidRPr="00205340">
              <w:rPr>
                <w:rFonts w:ascii="Arial Narrow" w:eastAsia="Arial Narrow" w:hAnsi="Arial Narrow" w:cs="Arial Narrow"/>
                <w:sz w:val="20"/>
                <w:szCs w:val="20"/>
              </w:rPr>
              <w:fldChar w:fldCharType="begin"/>
            </w:r>
            <w:r w:rsidRPr="00205340">
              <w:rPr>
                <w:rFonts w:ascii="Arial Narrow" w:eastAsia="Arial Narrow" w:hAnsi="Arial Narrow" w:cs="Arial Narrow"/>
                <w:sz w:val="20"/>
                <w:szCs w:val="20"/>
              </w:rPr>
              <w:instrText xml:space="preserve"> NOTEREF _Ref223094615 \f \h </w:instrText>
            </w:r>
            <w:r w:rsidR="00205340">
              <w:rPr>
                <w:rFonts w:ascii="Arial Narrow" w:eastAsia="Arial Narrow" w:hAnsi="Arial Narrow" w:cs="Arial Narrow"/>
                <w:sz w:val="20"/>
                <w:szCs w:val="20"/>
              </w:rPr>
              <w:instrText xml:space="preserve"> \* MERGEFORMAT </w:instrText>
            </w:r>
            <w:r w:rsidRPr="00205340">
              <w:rPr>
                <w:rFonts w:ascii="Arial Narrow" w:eastAsia="Arial Narrow" w:hAnsi="Arial Narrow" w:cs="Arial Narrow"/>
                <w:sz w:val="20"/>
                <w:szCs w:val="20"/>
              </w:rPr>
            </w:r>
            <w:r w:rsidRPr="00205340">
              <w:rPr>
                <w:rFonts w:ascii="Arial Narrow" w:eastAsia="Arial Narrow" w:hAnsi="Arial Narrow" w:cs="Arial Narrow"/>
                <w:sz w:val="20"/>
                <w:szCs w:val="20"/>
              </w:rPr>
              <w:fldChar w:fldCharType="separate"/>
            </w:r>
            <w:r w:rsidRPr="00205340">
              <w:rPr>
                <w:rStyle w:val="FootnoteReference"/>
              </w:rPr>
              <w:t>6</w:t>
            </w:r>
            <w:r w:rsidRPr="00205340">
              <w:rPr>
                <w:rFonts w:ascii="Arial Narrow" w:eastAsia="Arial Narrow" w:hAnsi="Arial Narrow" w:cs="Arial Narrow"/>
                <w:sz w:val="20"/>
                <w:szCs w:val="20"/>
              </w:rPr>
              <w:fldChar w:fldCharType="end"/>
            </w:r>
            <w:r w:rsidRPr="00205340">
              <w:rPr>
                <w:rFonts w:ascii="Arial Narrow" w:eastAsia="Arial Narrow" w:hAnsi="Arial Narrow" w:cs="Arial Narrow"/>
                <w:sz w:val="20"/>
                <w:szCs w:val="20"/>
              </w:rPr>
              <w:t xml:space="preserve"> </w:t>
            </w:r>
          </w:p>
        </w:tc>
      </w:tr>
      <w:tr w:rsidR="00135F99" w:rsidRPr="00205340" w14:paraId="1470B5BE" w14:textId="77777777">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036C637F" w14:textId="77777777" w:rsidR="00135F99" w:rsidRPr="00205340" w:rsidRDefault="00135F99">
            <w:pPr>
              <w:spacing w:before="0"/>
              <w:rPr>
                <w:rFonts w:ascii="Arial Narrow" w:eastAsia="Arial Narrow" w:hAnsi="Arial Narrow" w:cs="Arial Narrow"/>
                <w:sz w:val="20"/>
                <w:szCs w:val="20"/>
              </w:rPr>
            </w:pPr>
            <w:r w:rsidRPr="00205340">
              <w:rPr>
                <w:rFonts w:ascii="Arial Narrow" w:eastAsia="Arial Narrow" w:hAnsi="Arial Narrow" w:cs="Arial Narrow"/>
                <w:sz w:val="20"/>
                <w:szCs w:val="20"/>
              </w:rPr>
              <w:t>Administration cost</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031A5A6" w14:textId="77777777" w:rsidR="00135F99" w:rsidRPr="00205340" w:rsidRDefault="00135F99">
            <w:pPr>
              <w:spacing w:before="0"/>
              <w:rPr>
                <w:rFonts w:ascii="Arial Narrow" w:eastAsia="Arial Narrow" w:hAnsi="Arial Narrow" w:cs="Arial Narrow"/>
                <w:sz w:val="20"/>
                <w:szCs w:val="20"/>
              </w:rPr>
            </w:pPr>
            <w:r w:rsidRPr="00205340">
              <w:rPr>
                <w:rFonts w:ascii="Arial Narrow" w:eastAsia="Arial Narrow" w:hAnsi="Arial Narrow" w:cs="Arial Narrow"/>
                <w:sz w:val="20"/>
                <w:szCs w:val="20"/>
              </w:rPr>
              <w:t>$0</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3BACB915" w14:textId="77777777" w:rsidR="00135F99" w:rsidRPr="00205340" w:rsidRDefault="00135F99" w:rsidP="005C116D">
            <w:pPr>
              <w:pStyle w:val="ListParagraph"/>
              <w:numPr>
                <w:ilvl w:val="0"/>
                <w:numId w:val="1"/>
              </w:numPr>
              <w:spacing w:before="0"/>
              <w:ind w:left="200" w:hanging="218"/>
              <w:rPr>
                <w:rFonts w:ascii="Arial Narrow" w:eastAsia="Arial Narrow" w:hAnsi="Arial Narrow" w:cs="Arial Narrow"/>
                <w:sz w:val="20"/>
                <w:szCs w:val="20"/>
              </w:rPr>
            </w:pPr>
            <w:r w:rsidRPr="00205340">
              <w:rPr>
                <w:rFonts w:ascii="Arial Narrow" w:eastAsia="Arial Narrow" w:hAnsi="Arial Narrow" w:cs="Arial Narrow"/>
                <w:sz w:val="20"/>
                <w:szCs w:val="20"/>
              </w:rPr>
              <w:t xml:space="preserve">Assume 50% patients administered under the guidance of a </w:t>
            </w:r>
            <w:r w:rsidRPr="00205340">
              <w:rPr>
                <w:rFonts w:ascii="Arial Narrow" w:hAnsi="Arial Narrow"/>
                <w:sz w:val="20"/>
                <w:szCs w:val="20"/>
              </w:rPr>
              <w:t>haematology clinical nurse specialist (</w:t>
            </w:r>
            <w:r w:rsidRPr="00205340">
              <w:rPr>
                <w:rFonts w:ascii="Arial Narrow" w:eastAsia="Arial Narrow" w:hAnsi="Arial Narrow" w:cs="Arial Narrow"/>
                <w:sz w:val="20"/>
                <w:szCs w:val="20"/>
              </w:rPr>
              <w:t>$375.96/administration), and 50% of patients self-administer ($0/administration)</w:t>
            </w:r>
          </w:p>
          <w:p w14:paraId="6C452422" w14:textId="77777777" w:rsidR="00135F99" w:rsidRPr="00205340" w:rsidRDefault="00135F99" w:rsidP="005C116D">
            <w:pPr>
              <w:pStyle w:val="ListParagraph"/>
              <w:numPr>
                <w:ilvl w:val="0"/>
                <w:numId w:val="1"/>
              </w:numPr>
              <w:spacing w:before="0"/>
              <w:ind w:left="200" w:hanging="218"/>
              <w:rPr>
                <w:rFonts w:ascii="Arial Narrow" w:eastAsia="Arial Narrow" w:hAnsi="Arial Narrow" w:cs="Arial Narrow"/>
                <w:sz w:val="20"/>
                <w:szCs w:val="20"/>
              </w:rPr>
            </w:pPr>
            <w:r w:rsidRPr="00205340">
              <w:rPr>
                <w:rFonts w:ascii="Arial Narrow" w:eastAsia="Arial Narrow" w:hAnsi="Arial Narrow" w:cs="Arial Narrow"/>
                <w:sz w:val="20"/>
                <w:szCs w:val="20"/>
              </w:rPr>
              <w:t>Adjusted for number of doses administered</w:t>
            </w:r>
          </w:p>
        </w:tc>
        <w:tc>
          <w:tcPr>
            <w:tcW w:w="2773" w:type="dxa"/>
            <w:tcBorders>
              <w:top w:val="single" w:sz="8" w:space="0" w:color="auto"/>
              <w:left w:val="single" w:sz="8" w:space="0" w:color="auto"/>
              <w:bottom w:val="single" w:sz="8" w:space="0" w:color="auto"/>
              <w:right w:val="single" w:sz="8" w:space="0" w:color="auto"/>
            </w:tcBorders>
            <w:tcMar>
              <w:left w:w="108" w:type="dxa"/>
              <w:right w:w="108" w:type="dxa"/>
            </w:tcMar>
          </w:tcPr>
          <w:p w14:paraId="33880D76" w14:textId="77777777" w:rsidR="00135F99" w:rsidRPr="00205340" w:rsidRDefault="00135F99">
            <w:r w:rsidRPr="00205340">
              <w:rPr>
                <w:rFonts w:ascii="Arial Narrow" w:eastAsia="Arial Narrow" w:hAnsi="Arial Narrow" w:cs="Arial Narrow"/>
                <w:sz w:val="20"/>
                <w:szCs w:val="20"/>
              </w:rPr>
              <w:t>1: Input provided by the National Blood Authority and published evidence suggest that a large proportion of patients self-administer. Value for nurse administration ($375.96) obtained from code 40.48 (</w:t>
            </w:r>
            <w:r w:rsidRPr="00205340">
              <w:rPr>
                <w:rFonts w:ascii="Arial Narrow" w:hAnsi="Arial Narrow"/>
                <w:sz w:val="20"/>
                <w:szCs w:val="20"/>
              </w:rPr>
              <w:t>haematology clinical nurse specialist consult)</w:t>
            </w:r>
            <w:r w:rsidRPr="00205340">
              <w:rPr>
                <w:rFonts w:ascii="Arial Narrow" w:eastAsia="Arial Narrow" w:hAnsi="Arial Narrow" w:cs="Arial Narrow"/>
                <w:sz w:val="20"/>
                <w:szCs w:val="20"/>
              </w:rPr>
              <w:t xml:space="preserve"> with price weight applied as per National Efficient Price Determination 2025-26</w:t>
            </w:r>
          </w:p>
          <w:p w14:paraId="05792AEF" w14:textId="77777777" w:rsidR="00135F99" w:rsidRPr="00205340" w:rsidRDefault="00135F99">
            <w:pPr>
              <w:spacing w:before="0"/>
              <w:rPr>
                <w:rFonts w:ascii="Arial Narrow" w:eastAsia="Arial Narrow" w:hAnsi="Arial Narrow" w:cs="Arial Narrow"/>
                <w:sz w:val="20"/>
                <w:szCs w:val="20"/>
              </w:rPr>
            </w:pPr>
            <w:r w:rsidRPr="00205340">
              <w:rPr>
                <w:rFonts w:ascii="Arial Narrow" w:eastAsia="Arial Narrow" w:hAnsi="Arial Narrow" w:cs="Arial Narrow"/>
                <w:sz w:val="20"/>
                <w:szCs w:val="20"/>
              </w:rPr>
              <w:t>2: Consistency with product cost and 1728.1 precedent</w:t>
            </w:r>
          </w:p>
        </w:tc>
      </w:tr>
    </w:tbl>
    <w:p w14:paraId="42F9063A" w14:textId="308E0A99" w:rsidR="00135F99" w:rsidRPr="00205340" w:rsidRDefault="00135F99" w:rsidP="00135F99">
      <w:pPr>
        <w:spacing w:before="240" w:after="120"/>
      </w:pPr>
      <w:r w:rsidRPr="00205340">
        <w:t xml:space="preserve">Regarding the CUA for the HMA and HMB populations presented in the ADAR, ESC noted that the CUA resulted in an incremental cost effectiveness ratio (ICER) per additional QALY gained of </w:t>
      </w:r>
      <w:r w:rsidRPr="00D32EBA">
        <w:t>$</w:t>
      </w:r>
      <w:r w:rsidR="00F27EA2" w:rsidRPr="00D32EBA">
        <w:rPr>
          <w:b/>
          <w:bCs/>
        </w:rPr>
        <w:t>redacted</w:t>
      </w:r>
      <w:r w:rsidRPr="00D32EBA">
        <w:t>.</w:t>
      </w:r>
      <w:r w:rsidRPr="00205340">
        <w:t xml:space="preserve"> ESC noted that the inputs used for the key drivers of the ADAR’s model, all favoured marstacimab. ESC noted that the pre-ESC response defended the combined CUA for both HMA and HMB populations against FVIII and FIX, on the basis that the mechanism of action of marstacimab is not factor specific. ESC considered that, although the approach of combining </w:t>
      </w:r>
      <w:r w:rsidRPr="00205340">
        <w:lastRenderedPageBreak/>
        <w:t>populations may be appropriate to demonstrate overall efficacy for regulatory purposes, it results in low confidence in the estimated extent of incremental (absolute) differences which are subject to treatment effect modifiers. For example, ESC noted the ADAR’s approach to adjusting its indirect comparison against emicizumab in HMA. ESC also considered that, in its pre-ESC response, the applicant had misinterpreted PASC’s advice to expand the requested population for concizumab (application 1805) to include patients with HMB without inhibitors as well as patients with HMB with inhibitors as being advice to present a combined clinical evaluation across these patient populations.</w:t>
      </w:r>
    </w:p>
    <w:p w14:paraId="6670AE7E" w14:textId="77777777" w:rsidR="00135F99" w:rsidRPr="00205340" w:rsidRDefault="00135F99" w:rsidP="00135F99">
      <w:pPr>
        <w:spacing w:before="240" w:after="120"/>
      </w:pPr>
      <w:r w:rsidRPr="00205340">
        <w:t xml:space="preserve">ESC recalled PASC advice that the economic evaluations for the HMA and HMB populations would need to be separated given that each population has different primary comparators, and that if superiority cannot be demonstrated for the comparison of marstacimab versus EHL FIX prophylaxis, then a CMA would be the most appropriate economic evaluation for the HMB population (as has been presented in the commentary). ESC therefore agreed with the view of the commentary that the presentation of a CUA with pooled HMA and HMB populations was not appropriate because superiority of marstacimab versus EHL FIX has not been established and the main comparator for HMA is emicizumab, not EHL FVIII. In addition, ESC noted that MSAC has not previously accepted any long-term health outcome gains transformed from accepted evidence of reduced rates of bleeds and questioned the strength of the clinical and epidemiological evidence supporting the surrogate to </w:t>
      </w:r>
      <w:proofErr w:type="gramStart"/>
      <w:r w:rsidRPr="00205340">
        <w:t>final outcome</w:t>
      </w:r>
      <w:proofErr w:type="gramEnd"/>
      <w:r w:rsidRPr="00205340">
        <w:t xml:space="preserve"> cascade inferred by the CUA model.</w:t>
      </w:r>
    </w:p>
    <w:p w14:paraId="0BE3064C" w14:textId="42C330BB" w:rsidR="00135F99" w:rsidRPr="00205340" w:rsidRDefault="00135F99" w:rsidP="00135F99">
      <w:pPr>
        <w:spacing w:before="240"/>
      </w:pPr>
      <w:r w:rsidRPr="00205340">
        <w:t xml:space="preserve">Regarding the financial analysis, ESC noted that the ADAR used epidemiological and market-share approaches to estimate the total number of patients with HMA and HMB who will receive treatment with marstacimab. ESC noted that, based on the ADAR’s financial analysis, listing of marstacimab on the NPPL would result in a net cost to the National Blood Agreement of </w:t>
      </w:r>
      <w:r w:rsidRPr="00D426B6">
        <w:t>approximately $</w:t>
      </w:r>
      <w:r w:rsidR="00D827A0" w:rsidRPr="00D426B6">
        <w:rPr>
          <w:b/>
          <w:bCs/>
        </w:rPr>
        <w:t>redacted</w:t>
      </w:r>
      <w:r w:rsidRPr="00D426B6">
        <w:t xml:space="preserve"> in year 1 increasing to $</w:t>
      </w:r>
      <w:r w:rsidR="00D827A0" w:rsidRPr="00D426B6">
        <w:rPr>
          <w:b/>
          <w:bCs/>
        </w:rPr>
        <w:t>redacted</w:t>
      </w:r>
      <w:r w:rsidR="00D426B6" w:rsidRPr="00D426B6">
        <w:rPr>
          <w:b/>
          <w:bCs/>
        </w:rPr>
        <w:t xml:space="preserve"> </w:t>
      </w:r>
      <w:r w:rsidRPr="00D426B6">
        <w:t>in year 6. It would also result in an overall net cost to the health care system of $23,936 in year 1 increasing to $135,235 in</w:t>
      </w:r>
      <w:r w:rsidRPr="00205340">
        <w:t xml:space="preserve"> year 6. ESC noted that, although the ADAR’s financial estimate only used the population of males aged 12 years and older, the population growth rate was estimated based on the whole Australian population. ESC agreed with the commentary that the population growth rate of males aged 12 years and older should be used in the financial analysis. ESC noted that the ADAR had used implausible patient estimates for prevalent patients with HMA treated with marstacimab, with estimated utilisation reducing in years 4 and 6. ESC considered that this was an artifact of an assumed stepped assumption for the projected switch from FVIII to emicizumab. ESC advised that the financial analysis be respecified to smooth the assumed switch from FVIII to emicizumab. ESC noted that the ADAR assumed that all patients complete a full year of treatment in the year of initiation. ESC noted from the commentary that this does not account for patients commencing treatment at different times during the year, and that due to the small population size, this overestimates the patient years of treatment in the first year by approximately 50%. ESC noted that, in its pre-ESC response, the applicant had inappropriately applied a 50% reduction in the number of patients in the first year (as opposed to number of scripts) to address this issue. ESC considered this issue to be minor as the overestimation in the first year would be largely matched by a corresponding offset from the substitution of the comparator. ESC noted that the ADAR’s financial analysis assumed fewer breakthrough bleeds in patients with HMB treated with marstacimab compared to FIX and had therefore included cost offsets associated with treating these bleeds. Given that superior effectiveness of marstacimab against FIX had not been demonstrated, ESC advised that these cost offsets be removed from the financial analysis. ESC advised that the financial analysis be respecified separately for the HMA and HMB populations matching the relevant inputs in the respecified CMA calculations (as outlined above) and the resultant cost-neutral prices. ESC also requested that a weighted average price be calculated for marstacimab across the HMA and HMB populations using the </w:t>
      </w:r>
      <w:r w:rsidRPr="00205340">
        <w:lastRenderedPageBreak/>
        <w:t xml:space="preserve">total costs across the 6-year respecified financial analyses. ESC advice for </w:t>
      </w:r>
      <w:proofErr w:type="spellStart"/>
      <w:r w:rsidRPr="00205340">
        <w:t>respecifications</w:t>
      </w:r>
      <w:proofErr w:type="spellEnd"/>
      <w:r w:rsidRPr="00205340">
        <w:t xml:space="preserve"> for re-calculating the financial analysis are summarised in </w:t>
      </w:r>
      <w:r w:rsidRPr="00205340">
        <w:fldChar w:fldCharType="begin" w:fldLock="1"/>
      </w:r>
      <w:r w:rsidRPr="00205340">
        <w:instrText xml:space="preserve"> REF _Ref223095562 \h </w:instrText>
      </w:r>
      <w:r w:rsidR="00205340">
        <w:instrText xml:space="preserve"> \* MERGEFORMAT </w:instrText>
      </w:r>
      <w:r w:rsidRPr="00205340">
        <w:fldChar w:fldCharType="separate"/>
      </w:r>
      <w:r w:rsidR="002C6A9B" w:rsidRPr="00205340">
        <w:t xml:space="preserve">Table </w:t>
      </w:r>
      <w:r w:rsidR="002C6A9B" w:rsidRPr="00205340">
        <w:rPr>
          <w:noProof/>
        </w:rPr>
        <w:t>48</w:t>
      </w:r>
      <w:r w:rsidRPr="00205340">
        <w:fldChar w:fldCharType="end"/>
      </w:r>
      <w:r w:rsidRPr="00205340">
        <w:t xml:space="preserve"> below.</w:t>
      </w:r>
    </w:p>
    <w:p w14:paraId="1F754204" w14:textId="612FCD42" w:rsidR="00135F99" w:rsidRPr="00205340" w:rsidRDefault="00135F99" w:rsidP="00135F99">
      <w:pPr>
        <w:pStyle w:val="Caption"/>
        <w:rPr>
          <w:rFonts w:eastAsia="Franklin Gothic Book"/>
          <w:lang w:val="en-US"/>
        </w:rPr>
      </w:pPr>
      <w:bookmarkStart w:id="80" w:name="_Ref223095562"/>
      <w:r w:rsidRPr="00205340">
        <w:t xml:space="preserve">Table </w:t>
      </w:r>
      <w:fldSimple w:instr=" SEQ Table \* ARABIC ">
        <w:r w:rsidR="002C6A9B" w:rsidRPr="00205340">
          <w:rPr>
            <w:noProof/>
          </w:rPr>
          <w:t>48</w:t>
        </w:r>
      </w:fldSimple>
      <w:bookmarkEnd w:id="80"/>
      <w:r w:rsidRPr="00205340">
        <w:t xml:space="preserve">: </w:t>
      </w:r>
      <w:r w:rsidRPr="00205340">
        <w:rPr>
          <w:rFonts w:eastAsia="Franklin Gothic Book"/>
        </w:rPr>
        <w:t xml:space="preserve">Additional ESC-recommended multiple </w:t>
      </w:r>
      <w:proofErr w:type="spellStart"/>
      <w:r w:rsidRPr="00205340">
        <w:rPr>
          <w:rFonts w:eastAsia="Franklin Gothic Book"/>
        </w:rPr>
        <w:t>respecifications</w:t>
      </w:r>
      <w:proofErr w:type="spellEnd"/>
      <w:r w:rsidRPr="00205340">
        <w:rPr>
          <w:rFonts w:eastAsia="Franklin Gothic Book"/>
        </w:rPr>
        <w:t xml:space="preserve"> for recalculating the financial analysis</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25"/>
        <w:gridCol w:w="2378"/>
        <w:gridCol w:w="2126"/>
        <w:gridCol w:w="2771"/>
      </w:tblGrid>
      <w:tr w:rsidR="00135F99" w:rsidRPr="00205340" w14:paraId="0E3F3B15" w14:textId="77777777">
        <w:trPr>
          <w:trHeight w:val="300"/>
        </w:trPr>
        <w:tc>
          <w:tcPr>
            <w:tcW w:w="1725" w:type="dxa"/>
            <w:tcBorders>
              <w:top w:val="single" w:sz="6" w:space="0" w:color="auto"/>
              <w:left w:val="single" w:sz="6" w:space="0" w:color="auto"/>
              <w:bottom w:val="single" w:sz="6" w:space="0" w:color="auto"/>
              <w:right w:val="single" w:sz="6" w:space="0" w:color="auto"/>
            </w:tcBorders>
            <w:tcMar>
              <w:left w:w="105" w:type="dxa"/>
              <w:right w:w="105" w:type="dxa"/>
            </w:tcMar>
          </w:tcPr>
          <w:p w14:paraId="707253F7" w14:textId="77777777" w:rsidR="00135F99" w:rsidRPr="00205340" w:rsidRDefault="00135F99">
            <w:pPr>
              <w:spacing w:before="0"/>
              <w:rPr>
                <w:rFonts w:ascii="Arial Narrow" w:eastAsia="Arial Narrow" w:hAnsi="Arial Narrow" w:cs="Arial Narrow"/>
                <w:sz w:val="20"/>
                <w:szCs w:val="20"/>
                <w:lang w:val="en-US"/>
              </w:rPr>
            </w:pPr>
            <w:r w:rsidRPr="00205340">
              <w:rPr>
                <w:rFonts w:ascii="Arial Narrow" w:eastAsia="Arial Narrow" w:hAnsi="Arial Narrow" w:cs="Arial Narrow"/>
                <w:b/>
                <w:bCs/>
                <w:sz w:val="20"/>
                <w:szCs w:val="20"/>
              </w:rPr>
              <w:t>Variable</w:t>
            </w:r>
          </w:p>
        </w:tc>
        <w:tc>
          <w:tcPr>
            <w:tcW w:w="2378" w:type="dxa"/>
            <w:tcBorders>
              <w:top w:val="single" w:sz="6" w:space="0" w:color="auto"/>
              <w:left w:val="single" w:sz="6" w:space="0" w:color="auto"/>
              <w:bottom w:val="single" w:sz="6" w:space="0" w:color="auto"/>
              <w:right w:val="single" w:sz="6" w:space="0" w:color="auto"/>
            </w:tcBorders>
            <w:tcMar>
              <w:left w:w="105" w:type="dxa"/>
              <w:right w:w="105" w:type="dxa"/>
            </w:tcMar>
          </w:tcPr>
          <w:p w14:paraId="6D0C13A1" w14:textId="77777777" w:rsidR="00135F99" w:rsidRPr="00205340" w:rsidRDefault="00135F99">
            <w:pPr>
              <w:spacing w:before="0"/>
              <w:rPr>
                <w:rFonts w:ascii="Arial Narrow" w:eastAsia="Arial Narrow" w:hAnsi="Arial Narrow" w:cs="Arial Narrow"/>
                <w:sz w:val="20"/>
                <w:szCs w:val="20"/>
                <w:lang w:val="en-US"/>
              </w:rPr>
            </w:pPr>
            <w:r w:rsidRPr="00205340">
              <w:rPr>
                <w:rFonts w:ascii="Arial Narrow" w:eastAsia="Arial Narrow" w:hAnsi="Arial Narrow" w:cs="Arial Narrow"/>
                <w:b/>
                <w:bCs/>
                <w:sz w:val="20"/>
                <w:szCs w:val="20"/>
              </w:rPr>
              <w:t>Proposed product</w:t>
            </w:r>
          </w:p>
        </w:tc>
        <w:tc>
          <w:tcPr>
            <w:tcW w:w="2126" w:type="dxa"/>
            <w:tcBorders>
              <w:top w:val="single" w:sz="6" w:space="0" w:color="auto"/>
              <w:left w:val="single" w:sz="6" w:space="0" w:color="auto"/>
              <w:bottom w:val="single" w:sz="6" w:space="0" w:color="auto"/>
              <w:right w:val="single" w:sz="6" w:space="0" w:color="auto"/>
            </w:tcBorders>
            <w:tcMar>
              <w:left w:w="105" w:type="dxa"/>
              <w:right w:w="105" w:type="dxa"/>
            </w:tcMar>
          </w:tcPr>
          <w:p w14:paraId="0359ECB8" w14:textId="77777777" w:rsidR="00135F99" w:rsidRPr="00205340" w:rsidRDefault="00135F99">
            <w:pPr>
              <w:spacing w:before="0"/>
              <w:rPr>
                <w:rFonts w:ascii="Arial Narrow" w:eastAsia="Arial Narrow" w:hAnsi="Arial Narrow" w:cs="Arial Narrow"/>
                <w:sz w:val="20"/>
                <w:szCs w:val="20"/>
                <w:lang w:val="en-US"/>
              </w:rPr>
            </w:pPr>
            <w:r w:rsidRPr="00205340">
              <w:rPr>
                <w:rFonts w:ascii="Arial Narrow" w:eastAsia="Arial Narrow" w:hAnsi="Arial Narrow" w:cs="Arial Narrow"/>
                <w:b/>
                <w:bCs/>
                <w:sz w:val="20"/>
                <w:szCs w:val="20"/>
              </w:rPr>
              <w:t>Comparator</w:t>
            </w:r>
          </w:p>
        </w:tc>
        <w:tc>
          <w:tcPr>
            <w:tcW w:w="2771" w:type="dxa"/>
            <w:tcBorders>
              <w:top w:val="single" w:sz="6" w:space="0" w:color="auto"/>
              <w:left w:val="single" w:sz="6" w:space="0" w:color="auto"/>
              <w:bottom w:val="single" w:sz="6" w:space="0" w:color="auto"/>
              <w:right w:val="single" w:sz="6" w:space="0" w:color="auto"/>
            </w:tcBorders>
            <w:tcMar>
              <w:left w:w="105" w:type="dxa"/>
              <w:right w:w="105" w:type="dxa"/>
            </w:tcMar>
          </w:tcPr>
          <w:p w14:paraId="2BDB119B" w14:textId="77777777" w:rsidR="00135F99" w:rsidRPr="00205340" w:rsidRDefault="00135F99">
            <w:pPr>
              <w:spacing w:before="0"/>
              <w:rPr>
                <w:rFonts w:ascii="Arial Narrow" w:eastAsia="Arial Narrow" w:hAnsi="Arial Narrow" w:cs="Arial Narrow"/>
                <w:sz w:val="20"/>
                <w:szCs w:val="20"/>
                <w:lang w:val="en-US"/>
              </w:rPr>
            </w:pPr>
            <w:r w:rsidRPr="00205340">
              <w:rPr>
                <w:rFonts w:ascii="Arial Narrow" w:eastAsia="Arial Narrow" w:hAnsi="Arial Narrow" w:cs="Arial Narrow"/>
                <w:b/>
                <w:bCs/>
                <w:sz w:val="20"/>
                <w:szCs w:val="20"/>
              </w:rPr>
              <w:t>Rationale</w:t>
            </w:r>
          </w:p>
        </w:tc>
      </w:tr>
      <w:tr w:rsidR="00135F99" w:rsidRPr="00205340" w14:paraId="073C01EB" w14:textId="77777777">
        <w:trPr>
          <w:trHeight w:val="300"/>
        </w:trPr>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2ACA4AF4" w14:textId="77777777" w:rsidR="00135F99" w:rsidRPr="00205340" w:rsidRDefault="00135F99">
            <w:pPr>
              <w:spacing w:before="0"/>
              <w:rPr>
                <w:rFonts w:ascii="Arial Narrow" w:eastAsia="Arial Narrow" w:hAnsi="Arial Narrow" w:cs="Arial Narrow"/>
                <w:sz w:val="20"/>
                <w:szCs w:val="20"/>
              </w:rPr>
            </w:pPr>
            <w:r w:rsidRPr="00205340">
              <w:rPr>
                <w:rFonts w:ascii="Arial Narrow" w:eastAsia="Arial Narrow" w:hAnsi="Arial Narrow" w:cs="Arial Narrow"/>
                <w:sz w:val="20"/>
                <w:szCs w:val="20"/>
              </w:rPr>
              <w:t>Number of eligible patients with HMA</w:t>
            </w:r>
          </w:p>
        </w:tc>
        <w:tc>
          <w:tcPr>
            <w:tcW w:w="2378" w:type="dxa"/>
            <w:tcBorders>
              <w:top w:val="single" w:sz="8" w:space="0" w:color="auto"/>
              <w:left w:val="single" w:sz="8" w:space="0" w:color="auto"/>
              <w:bottom w:val="single" w:sz="8" w:space="0" w:color="auto"/>
              <w:right w:val="single" w:sz="8" w:space="0" w:color="auto"/>
            </w:tcBorders>
            <w:tcMar>
              <w:left w:w="108" w:type="dxa"/>
              <w:right w:w="108" w:type="dxa"/>
            </w:tcMar>
          </w:tcPr>
          <w:p w14:paraId="2DAA4091" w14:textId="77777777" w:rsidR="00135F99" w:rsidRPr="00205340" w:rsidRDefault="00135F99">
            <w:pPr>
              <w:spacing w:before="0"/>
              <w:rPr>
                <w:rFonts w:ascii="Arial Narrow" w:eastAsia="Arial Narrow" w:hAnsi="Arial Narrow" w:cs="Arial Narrow"/>
                <w:sz w:val="20"/>
                <w:szCs w:val="20"/>
              </w:rPr>
            </w:pPr>
            <w:r w:rsidRPr="00205340">
              <w:rPr>
                <w:rFonts w:ascii="Arial Narrow" w:eastAsia="Arial Narrow" w:hAnsi="Arial Narrow" w:cs="Arial Narrow"/>
                <w:sz w:val="20"/>
                <w:szCs w:val="20"/>
              </w:rPr>
              <w:t>Smooth the “Remaining prevalent patients with severe HMA treated with marstacimab” for years 1-6 as follows: 85%, 87.5%, 90%, 92.5%, 95%, 97.5%</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tcPr>
          <w:p w14:paraId="777BD0EA" w14:textId="77777777" w:rsidR="00135F99" w:rsidRPr="00205340" w:rsidRDefault="00135F99">
            <w:pPr>
              <w:spacing w:before="0"/>
              <w:rPr>
                <w:rFonts w:ascii="Arial Narrow" w:eastAsia="Arial Narrow" w:hAnsi="Arial Narrow" w:cs="Arial Narrow"/>
                <w:sz w:val="20"/>
                <w:szCs w:val="20"/>
              </w:rPr>
            </w:pPr>
            <w:r w:rsidRPr="00205340">
              <w:rPr>
                <w:rFonts w:ascii="Arial Narrow" w:eastAsia="Arial Narrow" w:hAnsi="Arial Narrow" w:cs="Arial Narrow"/>
                <w:sz w:val="20"/>
                <w:szCs w:val="20"/>
              </w:rPr>
              <w:t>Accept the consequential change in emicizumab substitutions from this change</w:t>
            </w:r>
          </w:p>
        </w:tc>
        <w:tc>
          <w:tcPr>
            <w:tcW w:w="2771" w:type="dxa"/>
            <w:tcBorders>
              <w:top w:val="single" w:sz="8" w:space="0" w:color="auto"/>
              <w:left w:val="single" w:sz="8" w:space="0" w:color="auto"/>
              <w:bottom w:val="single" w:sz="8" w:space="0" w:color="auto"/>
              <w:right w:val="single" w:sz="8" w:space="0" w:color="auto"/>
            </w:tcBorders>
            <w:tcMar>
              <w:left w:w="108" w:type="dxa"/>
              <w:right w:w="108" w:type="dxa"/>
            </w:tcMar>
          </w:tcPr>
          <w:p w14:paraId="640AA3D5" w14:textId="77777777" w:rsidR="00135F99" w:rsidRPr="00205340" w:rsidRDefault="00135F99">
            <w:pPr>
              <w:spacing w:before="0"/>
              <w:rPr>
                <w:rFonts w:ascii="Arial Narrow" w:eastAsia="Arial Narrow" w:hAnsi="Arial Narrow" w:cs="Arial Narrow"/>
                <w:sz w:val="20"/>
                <w:szCs w:val="20"/>
              </w:rPr>
            </w:pPr>
            <w:r w:rsidRPr="00205340">
              <w:rPr>
                <w:rFonts w:ascii="Arial Narrow" w:eastAsia="Arial Narrow" w:hAnsi="Arial Narrow" w:cs="Arial Narrow"/>
                <w:sz w:val="20"/>
                <w:szCs w:val="20"/>
              </w:rPr>
              <w:t xml:space="preserve">The application’s projections generate implausible increases and then </w:t>
            </w:r>
            <w:proofErr w:type="gramStart"/>
            <w:r w:rsidRPr="00205340">
              <w:rPr>
                <w:rFonts w:ascii="Arial Narrow" w:eastAsia="Arial Narrow" w:hAnsi="Arial Narrow" w:cs="Arial Narrow"/>
                <w:sz w:val="20"/>
                <w:szCs w:val="20"/>
              </w:rPr>
              <w:t>decreases</w:t>
            </w:r>
            <w:proofErr w:type="gramEnd"/>
          </w:p>
        </w:tc>
      </w:tr>
      <w:tr w:rsidR="00135F99" w:rsidRPr="00205340" w14:paraId="418971BD" w14:textId="77777777">
        <w:trPr>
          <w:trHeight w:val="300"/>
        </w:trPr>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24223830" w14:textId="77777777" w:rsidR="00135F99" w:rsidRPr="00205340" w:rsidRDefault="00135F99">
            <w:pPr>
              <w:spacing w:before="0"/>
              <w:rPr>
                <w:rFonts w:ascii="Arial Narrow" w:eastAsia="Arial Narrow" w:hAnsi="Arial Narrow" w:cs="Arial Narrow"/>
                <w:sz w:val="20"/>
                <w:szCs w:val="20"/>
              </w:rPr>
            </w:pPr>
            <w:r w:rsidRPr="00205340">
              <w:rPr>
                <w:rFonts w:ascii="Arial Narrow" w:eastAsia="Arial Narrow" w:hAnsi="Arial Narrow" w:cs="Arial Narrow"/>
                <w:sz w:val="20"/>
                <w:szCs w:val="20"/>
              </w:rPr>
              <w:t>Breakthrough bleed costs and offsets</w:t>
            </w:r>
          </w:p>
        </w:tc>
        <w:tc>
          <w:tcPr>
            <w:tcW w:w="2378" w:type="dxa"/>
            <w:tcBorders>
              <w:top w:val="single" w:sz="8" w:space="0" w:color="auto"/>
              <w:left w:val="single" w:sz="8" w:space="0" w:color="auto"/>
              <w:bottom w:val="single" w:sz="8" w:space="0" w:color="auto"/>
              <w:right w:val="single" w:sz="8" w:space="0" w:color="auto"/>
            </w:tcBorders>
            <w:tcMar>
              <w:left w:w="108" w:type="dxa"/>
              <w:right w:w="108" w:type="dxa"/>
            </w:tcMar>
          </w:tcPr>
          <w:p w14:paraId="4FD25C88" w14:textId="77777777" w:rsidR="00135F99" w:rsidRPr="00205340" w:rsidRDefault="00135F99">
            <w:pPr>
              <w:spacing w:before="0"/>
              <w:rPr>
                <w:rFonts w:ascii="Arial Narrow" w:eastAsia="Arial Narrow" w:hAnsi="Arial Narrow" w:cs="Arial Narrow"/>
                <w:sz w:val="20"/>
                <w:szCs w:val="20"/>
              </w:rPr>
            </w:pPr>
            <w:r w:rsidRPr="00205340">
              <w:rPr>
                <w:rFonts w:ascii="Arial Narrow" w:eastAsia="Arial Narrow" w:hAnsi="Arial Narrow" w:cs="Arial Narrow"/>
                <w:sz w:val="20"/>
                <w:szCs w:val="20"/>
              </w:rPr>
              <w:t>Reject</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tcPr>
          <w:p w14:paraId="5434B81A" w14:textId="77777777" w:rsidR="00135F99" w:rsidRPr="00205340" w:rsidRDefault="00135F99">
            <w:pPr>
              <w:spacing w:before="0"/>
              <w:rPr>
                <w:rFonts w:ascii="Arial Narrow" w:eastAsia="Arial Narrow" w:hAnsi="Arial Narrow" w:cs="Arial Narrow"/>
                <w:sz w:val="20"/>
                <w:szCs w:val="20"/>
              </w:rPr>
            </w:pPr>
            <w:r w:rsidRPr="00205340">
              <w:rPr>
                <w:rFonts w:ascii="Arial Narrow" w:eastAsia="Arial Narrow" w:hAnsi="Arial Narrow" w:cs="Arial Narrow"/>
                <w:sz w:val="20"/>
                <w:szCs w:val="20"/>
              </w:rPr>
              <w:t>Reject</w:t>
            </w:r>
          </w:p>
        </w:tc>
        <w:tc>
          <w:tcPr>
            <w:tcW w:w="2771" w:type="dxa"/>
            <w:tcBorders>
              <w:top w:val="single" w:sz="8" w:space="0" w:color="auto"/>
              <w:left w:val="single" w:sz="8" w:space="0" w:color="auto"/>
              <w:bottom w:val="single" w:sz="8" w:space="0" w:color="auto"/>
              <w:right w:val="single" w:sz="8" w:space="0" w:color="auto"/>
            </w:tcBorders>
            <w:tcMar>
              <w:left w:w="108" w:type="dxa"/>
              <w:right w:w="108" w:type="dxa"/>
            </w:tcMar>
          </w:tcPr>
          <w:p w14:paraId="0587B077" w14:textId="77777777" w:rsidR="00135F99" w:rsidRPr="00205340" w:rsidRDefault="00135F99">
            <w:pPr>
              <w:spacing w:before="0"/>
              <w:rPr>
                <w:rFonts w:ascii="Arial Narrow" w:eastAsia="Arial Narrow" w:hAnsi="Arial Narrow" w:cs="Arial Narrow"/>
                <w:sz w:val="20"/>
                <w:szCs w:val="20"/>
              </w:rPr>
            </w:pPr>
            <w:r w:rsidRPr="00205340">
              <w:rPr>
                <w:rFonts w:ascii="Arial Narrow" w:eastAsia="Arial Narrow" w:hAnsi="Arial Narrow" w:cs="Arial Narrow"/>
                <w:sz w:val="20"/>
                <w:szCs w:val="20"/>
              </w:rPr>
              <w:t>For the same reasons as rejecting the CUA (especially not accept superiority shown over FIX in HMB)</w:t>
            </w:r>
          </w:p>
        </w:tc>
      </w:tr>
      <w:tr w:rsidR="00135F99" w:rsidRPr="00205340" w14:paraId="31255246" w14:textId="77777777">
        <w:trPr>
          <w:trHeight w:val="300"/>
        </w:trPr>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50DD3574" w14:textId="77777777" w:rsidR="00135F99" w:rsidRPr="00205340" w:rsidRDefault="00135F99">
            <w:pPr>
              <w:spacing w:before="0"/>
              <w:rPr>
                <w:rFonts w:ascii="Arial Narrow" w:eastAsia="Arial Narrow" w:hAnsi="Arial Narrow" w:cs="Arial Narrow"/>
                <w:sz w:val="20"/>
                <w:szCs w:val="20"/>
              </w:rPr>
            </w:pPr>
            <w:r w:rsidRPr="00205340">
              <w:rPr>
                <w:rFonts w:ascii="Arial Narrow" w:hAnsi="Arial Narrow"/>
                <w:sz w:val="20"/>
                <w:szCs w:val="20"/>
              </w:rPr>
              <w:t>Population growth rate</w:t>
            </w:r>
          </w:p>
        </w:tc>
        <w:tc>
          <w:tcPr>
            <w:tcW w:w="2378" w:type="dxa"/>
            <w:tcBorders>
              <w:top w:val="single" w:sz="8" w:space="0" w:color="auto"/>
              <w:left w:val="single" w:sz="8" w:space="0" w:color="auto"/>
              <w:bottom w:val="single" w:sz="8" w:space="0" w:color="auto"/>
              <w:right w:val="single" w:sz="8" w:space="0" w:color="auto"/>
            </w:tcBorders>
            <w:tcMar>
              <w:left w:w="108" w:type="dxa"/>
              <w:right w:w="108" w:type="dxa"/>
            </w:tcMar>
          </w:tcPr>
          <w:p w14:paraId="51587C28" w14:textId="77777777" w:rsidR="00135F99" w:rsidRPr="00205340" w:rsidRDefault="00135F99">
            <w:pPr>
              <w:spacing w:before="0"/>
              <w:rPr>
                <w:rFonts w:ascii="Arial Narrow" w:eastAsia="Arial Narrow" w:hAnsi="Arial Narrow" w:cs="Arial Narrow"/>
                <w:sz w:val="20"/>
                <w:szCs w:val="20"/>
              </w:rPr>
            </w:pPr>
            <w:r w:rsidRPr="00205340">
              <w:rPr>
                <w:rFonts w:ascii="Arial Narrow" w:hAnsi="Arial Narrow"/>
                <w:sz w:val="20"/>
                <w:szCs w:val="20"/>
              </w:rPr>
              <w:t>Use population growth rate of males aged ≥ 12 years</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tcPr>
          <w:p w14:paraId="4A9FDC47" w14:textId="77777777" w:rsidR="00135F99" w:rsidRPr="00205340" w:rsidRDefault="00135F99">
            <w:pPr>
              <w:spacing w:before="0"/>
              <w:rPr>
                <w:rFonts w:ascii="Arial Narrow" w:eastAsia="Arial Narrow" w:hAnsi="Arial Narrow" w:cs="Arial Narrow"/>
                <w:sz w:val="20"/>
                <w:szCs w:val="20"/>
              </w:rPr>
            </w:pPr>
            <w:r w:rsidRPr="00205340">
              <w:rPr>
                <w:rFonts w:ascii="Arial Narrow" w:hAnsi="Arial Narrow"/>
                <w:sz w:val="20"/>
                <w:szCs w:val="20"/>
              </w:rPr>
              <w:t>Use population growth rate of males aged ≥ 12 years</w:t>
            </w:r>
          </w:p>
        </w:tc>
        <w:tc>
          <w:tcPr>
            <w:tcW w:w="2771" w:type="dxa"/>
            <w:tcBorders>
              <w:top w:val="single" w:sz="8" w:space="0" w:color="auto"/>
              <w:left w:val="single" w:sz="8" w:space="0" w:color="auto"/>
              <w:bottom w:val="single" w:sz="8" w:space="0" w:color="auto"/>
              <w:right w:val="single" w:sz="8" w:space="0" w:color="auto"/>
            </w:tcBorders>
            <w:tcMar>
              <w:left w:w="108" w:type="dxa"/>
              <w:right w:w="108" w:type="dxa"/>
            </w:tcMar>
          </w:tcPr>
          <w:p w14:paraId="71D27026" w14:textId="77777777" w:rsidR="00135F99" w:rsidRPr="00205340" w:rsidRDefault="00135F99">
            <w:pPr>
              <w:spacing w:before="0"/>
              <w:rPr>
                <w:rFonts w:ascii="Arial Narrow" w:eastAsia="Arial Narrow" w:hAnsi="Arial Narrow" w:cs="Arial Narrow"/>
                <w:sz w:val="20"/>
                <w:szCs w:val="20"/>
              </w:rPr>
            </w:pPr>
            <w:r w:rsidRPr="00205340">
              <w:rPr>
                <w:rFonts w:ascii="Arial Narrow" w:eastAsia="Arial Narrow" w:hAnsi="Arial Narrow" w:cs="Arial Narrow"/>
                <w:sz w:val="20"/>
                <w:szCs w:val="20"/>
              </w:rPr>
              <w:t xml:space="preserve">Given that the ADAR’s financial analysis only used the population of males aged 12 years and older, the growth rate pertaining to this population should be used (as opposed to the growth rate of the whole Australian population used in the ADAR). </w:t>
            </w:r>
          </w:p>
        </w:tc>
      </w:tr>
      <w:tr w:rsidR="00135F99" w:rsidRPr="00205340" w14:paraId="130B1DE0" w14:textId="77777777">
        <w:trPr>
          <w:trHeight w:val="300"/>
        </w:trPr>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7FD213A1" w14:textId="77777777" w:rsidR="00135F99" w:rsidRPr="00205340" w:rsidRDefault="00135F99">
            <w:pPr>
              <w:spacing w:before="0"/>
              <w:rPr>
                <w:rFonts w:ascii="Arial Narrow" w:eastAsia="Arial Narrow" w:hAnsi="Arial Narrow" w:cs="Arial Narrow"/>
                <w:sz w:val="20"/>
                <w:szCs w:val="20"/>
              </w:rPr>
            </w:pPr>
            <w:r w:rsidRPr="00205340">
              <w:rPr>
                <w:rFonts w:ascii="Arial Narrow" w:eastAsia="Arial Narrow" w:hAnsi="Arial Narrow" w:cs="Arial Narrow"/>
                <w:sz w:val="20"/>
                <w:szCs w:val="20"/>
              </w:rPr>
              <w:t>Per patient per year costs</w:t>
            </w:r>
          </w:p>
        </w:tc>
        <w:tc>
          <w:tcPr>
            <w:tcW w:w="2378" w:type="dxa"/>
            <w:tcBorders>
              <w:top w:val="single" w:sz="8" w:space="0" w:color="auto"/>
              <w:left w:val="single" w:sz="8" w:space="0" w:color="auto"/>
              <w:bottom w:val="single" w:sz="8" w:space="0" w:color="auto"/>
              <w:right w:val="single" w:sz="8" w:space="0" w:color="auto"/>
            </w:tcBorders>
            <w:tcMar>
              <w:left w:w="108" w:type="dxa"/>
              <w:right w:w="108" w:type="dxa"/>
            </w:tcMar>
          </w:tcPr>
          <w:p w14:paraId="3947FD47" w14:textId="77777777" w:rsidR="00135F99" w:rsidRPr="00205340" w:rsidRDefault="00135F99">
            <w:pPr>
              <w:spacing w:before="0"/>
              <w:rPr>
                <w:rFonts w:ascii="Arial Narrow" w:eastAsia="Arial Narrow" w:hAnsi="Arial Narrow" w:cs="Arial Narrow"/>
                <w:sz w:val="20"/>
                <w:szCs w:val="20"/>
              </w:rPr>
            </w:pPr>
            <w:r w:rsidRPr="00205340">
              <w:rPr>
                <w:rFonts w:ascii="Arial Narrow" w:eastAsia="Arial Narrow" w:hAnsi="Arial Narrow" w:cs="Arial Narrow"/>
                <w:sz w:val="20"/>
                <w:szCs w:val="20"/>
              </w:rPr>
              <w:t>As for respecified CMAs above, including the back-calculated shadow prices of marstacimab in each population</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tcPr>
          <w:p w14:paraId="19CC54F4" w14:textId="77777777" w:rsidR="00135F99" w:rsidRPr="00205340" w:rsidRDefault="00135F99">
            <w:pPr>
              <w:spacing w:before="0"/>
              <w:rPr>
                <w:rFonts w:ascii="Arial Narrow" w:eastAsia="Arial Narrow" w:hAnsi="Arial Narrow" w:cs="Arial Narrow"/>
                <w:sz w:val="20"/>
                <w:szCs w:val="20"/>
              </w:rPr>
            </w:pPr>
            <w:r w:rsidRPr="00205340">
              <w:rPr>
                <w:rFonts w:ascii="Arial Narrow" w:eastAsia="Arial Narrow" w:hAnsi="Arial Narrow" w:cs="Arial Narrow"/>
                <w:sz w:val="20"/>
                <w:szCs w:val="20"/>
              </w:rPr>
              <w:t>As for respecified CMAs above</w:t>
            </w:r>
          </w:p>
        </w:tc>
        <w:tc>
          <w:tcPr>
            <w:tcW w:w="2771" w:type="dxa"/>
            <w:tcBorders>
              <w:top w:val="single" w:sz="8" w:space="0" w:color="auto"/>
              <w:left w:val="single" w:sz="8" w:space="0" w:color="auto"/>
              <w:bottom w:val="single" w:sz="8" w:space="0" w:color="auto"/>
              <w:right w:val="single" w:sz="8" w:space="0" w:color="auto"/>
            </w:tcBorders>
            <w:tcMar>
              <w:left w:w="108" w:type="dxa"/>
              <w:right w:w="108" w:type="dxa"/>
            </w:tcMar>
          </w:tcPr>
          <w:p w14:paraId="4EE3C50B" w14:textId="77777777" w:rsidR="00135F99" w:rsidRPr="00205340" w:rsidRDefault="00135F99">
            <w:pPr>
              <w:spacing w:before="0"/>
              <w:rPr>
                <w:rFonts w:ascii="Arial Narrow" w:eastAsia="Arial Narrow" w:hAnsi="Arial Narrow" w:cs="Arial Narrow"/>
                <w:sz w:val="20"/>
                <w:szCs w:val="20"/>
              </w:rPr>
            </w:pPr>
            <w:r w:rsidRPr="00205340">
              <w:rPr>
                <w:rFonts w:ascii="Arial Narrow" w:eastAsia="Arial Narrow" w:hAnsi="Arial Narrow" w:cs="Arial Narrow"/>
                <w:sz w:val="20"/>
                <w:szCs w:val="20"/>
              </w:rPr>
              <w:t>Consistency across economic and financial analyses</w:t>
            </w:r>
          </w:p>
        </w:tc>
      </w:tr>
      <w:tr w:rsidR="00135F99" w:rsidRPr="00205340" w14:paraId="2678BBE0" w14:textId="77777777">
        <w:trPr>
          <w:trHeight w:val="300"/>
        </w:trPr>
        <w:tc>
          <w:tcPr>
            <w:tcW w:w="900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C85DCEA" w14:textId="77777777" w:rsidR="00135F99" w:rsidRPr="00205340" w:rsidRDefault="00135F99">
            <w:pPr>
              <w:spacing w:before="0"/>
              <w:rPr>
                <w:rFonts w:ascii="Arial Narrow" w:eastAsia="Arial Narrow" w:hAnsi="Arial Narrow" w:cs="Arial Narrow"/>
                <w:sz w:val="20"/>
                <w:szCs w:val="20"/>
              </w:rPr>
            </w:pPr>
            <w:r w:rsidRPr="00205340">
              <w:rPr>
                <w:rFonts w:ascii="Arial Narrow" w:eastAsia="Arial Narrow" w:hAnsi="Arial Narrow" w:cs="Arial Narrow"/>
                <w:sz w:val="20"/>
                <w:szCs w:val="20"/>
              </w:rPr>
              <w:t>Calculate weighted average price across 6 years</w:t>
            </w:r>
          </w:p>
        </w:tc>
      </w:tr>
    </w:tbl>
    <w:p w14:paraId="00CC4311" w14:textId="77777777" w:rsidR="00135F99" w:rsidRPr="00205340" w:rsidRDefault="00135F99" w:rsidP="00135F99">
      <w:pPr>
        <w:rPr>
          <w:rFonts w:eastAsia="Franklin Gothic Book" w:cs="Franklin Gothic Book"/>
          <w:color w:val="000000" w:themeColor="text1"/>
        </w:rPr>
      </w:pPr>
      <w:r w:rsidRPr="00205340">
        <w:t>If supported for public funding, ESC considered that there may be a risk of use of marstacimab outside of the TGA registered populations, however noted input from the National Blood Authority that governance measures currently in place have been successful for reducing use in unintended populations for previously funded products. ESC considered that while MSAC has previously advised for risk share agreements with a high rebate for use above an expenditure cap</w:t>
      </w:r>
      <w:r w:rsidRPr="00205340" w:rsidDel="00B818F6">
        <w:t xml:space="preserve"> </w:t>
      </w:r>
      <w:r w:rsidRPr="00205340">
        <w:t xml:space="preserve">to reduce the risk of unintended usage, ESC considered that this may be challenging to implement for marstacimab </w:t>
      </w:r>
      <w:r w:rsidRPr="00205340">
        <w:rPr>
          <w:rFonts w:eastAsia="Franklin Gothic Book" w:cs="Franklin Gothic Book"/>
          <w:color w:val="000000" w:themeColor="text1"/>
        </w:rPr>
        <w:t>because of the complexity of the market (including HMA and HMB therapies) and the number of products. ESC considered a price negotiation to be more appropriate. In addition, MSAC may wish to consider a risk-share agreement based on the total annual marstacimab cost per patient and total administration costs.</w:t>
      </w:r>
    </w:p>
    <w:p w14:paraId="3735899D" w14:textId="2F6E2FEA" w:rsidR="00135F99" w:rsidRPr="00205340" w:rsidRDefault="00135F99" w:rsidP="00135F99">
      <w:pPr>
        <w:rPr>
          <w:rFonts w:eastAsia="Franklin Gothic Book" w:cs="Franklin Gothic Book"/>
          <w:color w:val="D13438"/>
        </w:rPr>
      </w:pPr>
      <w:r w:rsidRPr="00205340">
        <w:rPr>
          <w:rFonts w:eastAsia="Franklin Gothic Book" w:cs="Franklin Gothic Book"/>
          <w:color w:val="000000" w:themeColor="text1"/>
        </w:rPr>
        <w:t>ESC requested that the respecified</w:t>
      </w:r>
      <w:r w:rsidRPr="00205340">
        <w:rPr>
          <w:rFonts w:eastAsia="Franklin Gothic Book" w:cs="Franklin Gothic Book"/>
          <w:strike/>
          <w:color w:val="D13438"/>
        </w:rPr>
        <w:t xml:space="preserve"> </w:t>
      </w:r>
      <w:r w:rsidRPr="00205340">
        <w:rPr>
          <w:rFonts w:eastAsia="Franklin Gothic Book" w:cs="Franklin Gothic Book"/>
          <w:color w:val="000000" w:themeColor="text1"/>
        </w:rPr>
        <w:t xml:space="preserve">multivariate analyses of the economic and financial analyses be undertaken prior to MSAC to inform MSAC’s consideration. The results of these analyses are reported under </w:t>
      </w:r>
      <w:proofErr w:type="gramStart"/>
      <w:r w:rsidRPr="00205340">
        <w:rPr>
          <w:rFonts w:eastAsia="Franklin Gothic Book" w:cs="Franklin Gothic Book"/>
          <w:color w:val="000000" w:themeColor="text1"/>
        </w:rPr>
        <w:t>Post-ESC</w:t>
      </w:r>
      <w:proofErr w:type="gramEnd"/>
      <w:r w:rsidRPr="00205340">
        <w:rPr>
          <w:rFonts w:eastAsia="Franklin Gothic Book" w:cs="Franklin Gothic Book"/>
          <w:color w:val="000000" w:themeColor="text1"/>
        </w:rPr>
        <w:t xml:space="preserve"> work in Section </w:t>
      </w:r>
      <w:r w:rsidRPr="00205340">
        <w:rPr>
          <w:rFonts w:eastAsia="Franklin Gothic Book" w:cs="Franklin Gothic Book"/>
          <w:color w:val="000000" w:themeColor="text1"/>
        </w:rPr>
        <w:fldChar w:fldCharType="begin" w:fldLock="1"/>
      </w:r>
      <w:r w:rsidRPr="00205340">
        <w:rPr>
          <w:rFonts w:eastAsia="Franklin Gothic Book" w:cs="Franklin Gothic Book"/>
          <w:color w:val="000000" w:themeColor="text1"/>
        </w:rPr>
        <w:instrText xml:space="preserve"> REF _Ref223095712 \h </w:instrText>
      </w:r>
      <w:r w:rsidR="00205340">
        <w:rPr>
          <w:rFonts w:eastAsia="Franklin Gothic Book" w:cs="Franklin Gothic Book"/>
          <w:color w:val="000000" w:themeColor="text1"/>
        </w:rPr>
        <w:instrText xml:space="preserve"> \* MERGEFORMAT </w:instrText>
      </w:r>
      <w:r w:rsidRPr="00205340">
        <w:rPr>
          <w:rFonts w:eastAsia="Franklin Gothic Book" w:cs="Franklin Gothic Book"/>
          <w:color w:val="000000" w:themeColor="text1"/>
        </w:rPr>
      </w:r>
      <w:r w:rsidRPr="00205340">
        <w:rPr>
          <w:rFonts w:eastAsia="Franklin Gothic Book" w:cs="Franklin Gothic Book"/>
          <w:color w:val="000000" w:themeColor="text1"/>
        </w:rPr>
        <w:fldChar w:fldCharType="separate"/>
      </w:r>
      <w:r w:rsidRPr="00205340">
        <w:t>1</w:t>
      </w:r>
      <w:r w:rsidR="002C6A9B" w:rsidRPr="00205340">
        <w:t>6</w:t>
      </w:r>
      <w:r w:rsidRPr="00205340">
        <w:t>.</w:t>
      </w:r>
      <w:r w:rsidRPr="00205340">
        <w:tab/>
        <w:t>Committee-in-confidence information</w:t>
      </w:r>
      <w:r w:rsidRPr="00205340">
        <w:rPr>
          <w:rFonts w:eastAsia="Franklin Gothic Book" w:cs="Franklin Gothic Book"/>
          <w:color w:val="000000" w:themeColor="text1"/>
        </w:rPr>
        <w:fldChar w:fldCharType="end"/>
      </w:r>
      <w:r w:rsidRPr="00205340">
        <w:rPr>
          <w:rFonts w:eastAsia="Franklin Gothic Book" w:cs="Franklin Gothic Book"/>
          <w:color w:val="000000" w:themeColor="text1"/>
        </w:rPr>
        <w:t>.</w:t>
      </w:r>
    </w:p>
    <w:p w14:paraId="77898D41" w14:textId="77777777" w:rsidR="005C116D" w:rsidRPr="00205340" w:rsidRDefault="005C116D" w:rsidP="005C116D">
      <w:pPr>
        <w:pStyle w:val="Heading2"/>
        <w:keepNext w:val="0"/>
        <w:keepLines w:val="0"/>
        <w:numPr>
          <w:ilvl w:val="0"/>
          <w:numId w:val="29"/>
        </w:numPr>
        <w:ind w:hanging="720"/>
      </w:pPr>
      <w:bookmarkStart w:id="81" w:name="_Hlk213745948"/>
      <w:r w:rsidRPr="00205340">
        <w:t>Applicant comments on MSAC’s Public Summary Document</w:t>
      </w:r>
    </w:p>
    <w:p w14:paraId="2BC5BB18" w14:textId="0438C27A" w:rsidR="004A060F" w:rsidRPr="00205340" w:rsidRDefault="004A060F" w:rsidP="00E41E85">
      <w:pPr>
        <w:spacing w:after="240"/>
        <w:rPr>
          <w:lang w:val="en-GB"/>
        </w:rPr>
      </w:pPr>
      <w:r w:rsidRPr="004A060F">
        <w:rPr>
          <w:lang w:val="en-GB"/>
        </w:rPr>
        <w:t xml:space="preserve">Pfizer Australia is disappointed with the decision not to recommend funding for people aged 12 years and older with severe HMA and severe HMB, without inhibitors. Patients with severe haemophilia, particularly those with severe HMB, represent a small population. Access to a subcutaneous treatment option could substantially improve quality of life and reduce inequity of access relative to HMA. Pfizer is assessing the possibility of a resubmission </w:t>
      </w:r>
      <w:proofErr w:type="gramStart"/>
      <w:r w:rsidRPr="004A060F">
        <w:rPr>
          <w:lang w:val="en-GB"/>
        </w:rPr>
        <w:t>in light of</w:t>
      </w:r>
      <w:proofErr w:type="gramEnd"/>
      <w:r w:rsidRPr="004A060F">
        <w:rPr>
          <w:lang w:val="en-GB"/>
        </w:rPr>
        <w:t xml:space="preserve"> evidentiary requirements and expectations of MSAC.</w:t>
      </w:r>
    </w:p>
    <w:p w14:paraId="6C3C9130" w14:textId="77777777" w:rsidR="005C116D" w:rsidRPr="00205340" w:rsidRDefault="005C116D" w:rsidP="009F119C">
      <w:pPr>
        <w:pStyle w:val="Heading2"/>
        <w:numPr>
          <w:ilvl w:val="0"/>
          <w:numId w:val="29"/>
        </w:numPr>
        <w:ind w:hanging="720"/>
      </w:pPr>
      <w:r w:rsidRPr="00205340">
        <w:lastRenderedPageBreak/>
        <w:t>Further information on MSAC</w:t>
      </w:r>
    </w:p>
    <w:p w14:paraId="5A792374" w14:textId="23AD781B" w:rsidR="00135F99" w:rsidRPr="005C116D" w:rsidRDefault="005C116D" w:rsidP="009F119C">
      <w:pPr>
        <w:keepNext/>
        <w:keepLines/>
        <w:spacing w:before="0" w:line="269" w:lineRule="auto"/>
        <w:rPr>
          <w:rFonts w:eastAsia="Calibri" w:cs="Calibri"/>
        </w:rPr>
      </w:pPr>
      <w:r w:rsidRPr="00205340">
        <w:rPr>
          <w:rFonts w:eastAsia="Calibri" w:cs="Calibri"/>
          <w:bCs/>
          <w:iCs/>
        </w:rPr>
        <w:t xml:space="preserve">MSAC Terms of Reference and other information are available on the MSAC Website: </w:t>
      </w:r>
      <w:hyperlink r:id="rId18" w:tooltip="Link to the MSAC website" w:history="1">
        <w:r w:rsidRPr="00205340">
          <w:rPr>
            <w:rFonts w:eastAsia="Calibri" w:cs="Calibri"/>
            <w:iCs/>
            <w:color w:val="007BB8"/>
            <w:u w:val="single"/>
          </w:rPr>
          <w:t>visit the MSAC website</w:t>
        </w:r>
      </w:hyperlink>
      <w:bookmarkEnd w:id="81"/>
    </w:p>
    <w:sectPr w:rsidR="00135F99" w:rsidRPr="005C116D" w:rsidSect="00784341">
      <w:headerReference w:type="even" r:id="rId19"/>
      <w:headerReference w:type="default" r:id="rId20"/>
      <w:footerReference w:type="even" r:id="rId21"/>
      <w:footerReference w:type="default" r:id="rId22"/>
      <w:headerReference w:type="first" r:id="rId23"/>
      <w:footerReference w:type="first" r:id="rId24"/>
      <w:type w:val="odd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6213D" w14:textId="77777777" w:rsidR="00D23DF2" w:rsidRDefault="00D23DF2" w:rsidP="00B62DF2">
      <w:pPr>
        <w:spacing w:after="0" w:line="240" w:lineRule="auto"/>
      </w:pPr>
      <w:r>
        <w:separator/>
      </w:r>
    </w:p>
  </w:endnote>
  <w:endnote w:type="continuationSeparator" w:id="0">
    <w:p w14:paraId="09E0DFA0" w14:textId="77777777" w:rsidR="00D23DF2" w:rsidRDefault="00D23DF2" w:rsidP="00B6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timaLTStd-Medium">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D499" w14:textId="535A13C8" w:rsidR="005947B5" w:rsidRDefault="00202306" w:rsidP="00135F99">
    <w:pPr>
      <w:pStyle w:val="Footer"/>
      <w:jc w:val="right"/>
    </w:pPr>
    <w:r>
      <w:rPr>
        <w:noProof/>
      </w:rPr>
      <mc:AlternateContent>
        <mc:Choice Requires="wps">
          <w:drawing>
            <wp:anchor distT="0" distB="0" distL="0" distR="0" simplePos="0" relativeHeight="251663365" behindDoc="0" locked="0" layoutInCell="1" allowOverlap="1" wp14:anchorId="41B5C3B0" wp14:editId="108BB080">
              <wp:simplePos x="635" y="635"/>
              <wp:positionH relativeFrom="page">
                <wp:align>center</wp:align>
              </wp:positionH>
              <wp:positionV relativeFrom="page">
                <wp:align>bottom</wp:align>
              </wp:positionV>
              <wp:extent cx="622300" cy="467360"/>
              <wp:effectExtent l="0" t="0" r="6350" b="0"/>
              <wp:wrapNone/>
              <wp:docPr id="42478603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0D9F35B9" w14:textId="2FDCAEBC" w:rsidR="00202306" w:rsidRPr="00202306" w:rsidRDefault="00202306" w:rsidP="00202306">
                          <w:pPr>
                            <w:spacing w:after="0"/>
                            <w:rPr>
                              <w:rFonts w:ascii="Aptos" w:eastAsia="Aptos" w:hAnsi="Aptos" w:cs="Aptos"/>
                              <w:noProof/>
                              <w:color w:val="FF0000"/>
                              <w:sz w:val="24"/>
                              <w:szCs w:val="24"/>
                            </w:rPr>
                          </w:pPr>
                          <w:r w:rsidRPr="0020230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B5C3B0" id="_x0000_t202" coordsize="21600,21600" o:spt="202" path="m,l,21600r21600,l21600,xe">
              <v:stroke joinstyle="miter"/>
              <v:path gradientshapeok="t" o:connecttype="rect"/>
            </v:shapetype>
            <v:shape id="Text Box 11" o:spid="_x0000_s1028" type="#_x0000_t202" alt="OFFICIAL" style="position:absolute;left:0;text-align:left;margin-left:0;margin-top:0;width:49pt;height:36.8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A8DdtUDgIAABwE&#10;AAAOAAAAAAAAAAAAAAAAAC4CAABkcnMvZTJvRG9jLnhtbFBLAQItABQABgAIAAAAIQCQpICC2gAA&#10;AAMBAAAPAAAAAAAAAAAAAAAAAGgEAABkcnMvZG93bnJldi54bWxQSwUGAAAAAAQABADzAAAAbwUA&#10;AAAA&#10;" filled="f" stroked="f">
              <v:fill o:detectmouseclick="t"/>
              <v:textbox style="mso-fit-shape-to-text:t" inset="0,0,0,15pt">
                <w:txbxContent>
                  <w:p w14:paraId="0D9F35B9" w14:textId="2FDCAEBC" w:rsidR="00202306" w:rsidRPr="00202306" w:rsidRDefault="00202306" w:rsidP="00202306">
                    <w:pPr>
                      <w:spacing w:after="0"/>
                      <w:rPr>
                        <w:rFonts w:ascii="Aptos" w:eastAsia="Aptos" w:hAnsi="Aptos" w:cs="Aptos"/>
                        <w:noProof/>
                        <w:color w:val="FF0000"/>
                        <w:sz w:val="24"/>
                        <w:szCs w:val="24"/>
                      </w:rPr>
                    </w:pPr>
                    <w:r w:rsidRPr="00202306">
                      <w:rPr>
                        <w:rFonts w:ascii="Aptos" w:eastAsia="Aptos" w:hAnsi="Aptos" w:cs="Aptos"/>
                        <w:noProof/>
                        <w:color w:val="FF0000"/>
                        <w:sz w:val="24"/>
                        <w:szCs w:val="24"/>
                      </w:rPr>
                      <w:t>OFFICIAL</w:t>
                    </w:r>
                  </w:p>
                </w:txbxContent>
              </v:textbox>
              <w10:wrap anchorx="page" anchory="page"/>
            </v:shape>
          </w:pict>
        </mc:Fallback>
      </mc:AlternateContent>
    </w:r>
    <w:sdt>
      <w:sdtPr>
        <w:id w:val="1925460831"/>
        <w:docPartObj>
          <w:docPartGallery w:val="Page Numbers (Bottom of Page)"/>
          <w:docPartUnique/>
        </w:docPartObj>
      </w:sdtPr>
      <w:sdtEndPr>
        <w:rPr>
          <w:noProof/>
        </w:rPr>
      </w:sdtEndPr>
      <w:sdtContent>
        <w:r w:rsidR="005947B5">
          <w:fldChar w:fldCharType="begin"/>
        </w:r>
        <w:r w:rsidR="005947B5">
          <w:instrText xml:space="preserve"> PAGE   \* MERGEFORMAT </w:instrText>
        </w:r>
        <w:r w:rsidR="005947B5">
          <w:fldChar w:fldCharType="separate"/>
        </w:r>
        <w:r w:rsidR="00120BD3">
          <w:rPr>
            <w:noProof/>
          </w:rPr>
          <w:t>22</w:t>
        </w:r>
        <w:r w:rsidR="005947B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385A" w14:textId="224B38A8" w:rsidR="005947B5" w:rsidRDefault="00202306" w:rsidP="00135F99">
    <w:pPr>
      <w:pStyle w:val="Footer"/>
      <w:jc w:val="right"/>
    </w:pPr>
    <w:r>
      <w:rPr>
        <w:noProof/>
      </w:rPr>
      <mc:AlternateContent>
        <mc:Choice Requires="wps">
          <w:drawing>
            <wp:anchor distT="0" distB="0" distL="0" distR="0" simplePos="0" relativeHeight="251664389" behindDoc="0" locked="0" layoutInCell="1" allowOverlap="1" wp14:anchorId="3AC939C8" wp14:editId="7E9AB03B">
              <wp:simplePos x="635" y="635"/>
              <wp:positionH relativeFrom="page">
                <wp:align>center</wp:align>
              </wp:positionH>
              <wp:positionV relativeFrom="page">
                <wp:align>bottom</wp:align>
              </wp:positionV>
              <wp:extent cx="622300" cy="467360"/>
              <wp:effectExtent l="0" t="0" r="6350" b="0"/>
              <wp:wrapNone/>
              <wp:docPr id="181193874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1234ED17" w14:textId="13783997" w:rsidR="00202306" w:rsidRPr="00202306" w:rsidRDefault="00202306" w:rsidP="00202306">
                          <w:pPr>
                            <w:spacing w:after="0"/>
                            <w:rPr>
                              <w:rFonts w:ascii="Aptos" w:eastAsia="Aptos" w:hAnsi="Aptos" w:cs="Aptos"/>
                              <w:noProof/>
                              <w:color w:val="FF0000"/>
                              <w:sz w:val="24"/>
                              <w:szCs w:val="24"/>
                            </w:rPr>
                          </w:pPr>
                          <w:r w:rsidRPr="0020230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C939C8" id="_x0000_t202" coordsize="21600,21600" o:spt="202" path="m,l,21600r21600,l21600,xe">
              <v:stroke joinstyle="miter"/>
              <v:path gradientshapeok="t" o:connecttype="rect"/>
            </v:shapetype>
            <v:shape id="Text Box 12" o:spid="_x0000_s1029" type="#_x0000_t202" alt="OFFICIAL" style="position:absolute;left:0;text-align:left;margin-left:0;margin-top:0;width:49pt;height:36.8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BRsmlpDgIAABwE&#10;AAAOAAAAAAAAAAAAAAAAAC4CAABkcnMvZTJvRG9jLnhtbFBLAQItABQABgAIAAAAIQCQpICC2gAA&#10;AAMBAAAPAAAAAAAAAAAAAAAAAGgEAABkcnMvZG93bnJldi54bWxQSwUGAAAAAAQABADzAAAAbwUA&#10;AAAA&#10;" filled="f" stroked="f">
              <v:fill o:detectmouseclick="t"/>
              <v:textbox style="mso-fit-shape-to-text:t" inset="0,0,0,15pt">
                <w:txbxContent>
                  <w:p w14:paraId="1234ED17" w14:textId="13783997" w:rsidR="00202306" w:rsidRPr="00202306" w:rsidRDefault="00202306" w:rsidP="00202306">
                    <w:pPr>
                      <w:spacing w:after="0"/>
                      <w:rPr>
                        <w:rFonts w:ascii="Aptos" w:eastAsia="Aptos" w:hAnsi="Aptos" w:cs="Aptos"/>
                        <w:noProof/>
                        <w:color w:val="FF0000"/>
                        <w:sz w:val="24"/>
                        <w:szCs w:val="24"/>
                      </w:rPr>
                    </w:pPr>
                    <w:r w:rsidRPr="00202306">
                      <w:rPr>
                        <w:rFonts w:ascii="Aptos" w:eastAsia="Aptos" w:hAnsi="Aptos" w:cs="Aptos"/>
                        <w:noProof/>
                        <w:color w:val="FF0000"/>
                        <w:sz w:val="24"/>
                        <w:szCs w:val="24"/>
                      </w:rPr>
                      <w:t>OFFICIAL</w:t>
                    </w:r>
                  </w:p>
                </w:txbxContent>
              </v:textbox>
              <w10:wrap anchorx="page" anchory="page"/>
            </v:shape>
          </w:pict>
        </mc:Fallback>
      </mc:AlternateContent>
    </w:r>
    <w:sdt>
      <w:sdtPr>
        <w:id w:val="-18244847"/>
        <w:docPartObj>
          <w:docPartGallery w:val="Page Numbers (Bottom of Page)"/>
          <w:docPartUnique/>
        </w:docPartObj>
      </w:sdtPr>
      <w:sdtEndPr>
        <w:rPr>
          <w:noProof/>
        </w:rPr>
      </w:sdtEndPr>
      <w:sdtContent>
        <w:r w:rsidR="005947B5">
          <w:fldChar w:fldCharType="begin"/>
        </w:r>
        <w:r w:rsidR="005947B5">
          <w:instrText xml:space="preserve"> PAGE   \* MERGEFORMAT </w:instrText>
        </w:r>
        <w:r w:rsidR="005947B5">
          <w:fldChar w:fldCharType="separate"/>
        </w:r>
        <w:r w:rsidR="00120BD3">
          <w:rPr>
            <w:noProof/>
          </w:rPr>
          <w:t>21</w:t>
        </w:r>
        <w:r w:rsidR="005947B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708D" w14:textId="1AC12150" w:rsidR="00E7327D" w:rsidRDefault="00202306">
    <w:pPr>
      <w:pStyle w:val="Footer"/>
    </w:pPr>
    <w:r>
      <w:rPr>
        <w:noProof/>
      </w:rPr>
      <mc:AlternateContent>
        <mc:Choice Requires="wps">
          <w:drawing>
            <wp:anchor distT="0" distB="0" distL="0" distR="0" simplePos="0" relativeHeight="251662341" behindDoc="0" locked="0" layoutInCell="1" allowOverlap="1" wp14:anchorId="7E27AB36" wp14:editId="3134710F">
              <wp:simplePos x="635" y="635"/>
              <wp:positionH relativeFrom="page">
                <wp:align>center</wp:align>
              </wp:positionH>
              <wp:positionV relativeFrom="page">
                <wp:align>bottom</wp:align>
              </wp:positionV>
              <wp:extent cx="622300" cy="467360"/>
              <wp:effectExtent l="0" t="0" r="6350" b="0"/>
              <wp:wrapNone/>
              <wp:docPr id="138530516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7F89DDB0" w14:textId="670A98E1" w:rsidR="00202306" w:rsidRPr="00202306" w:rsidRDefault="00202306" w:rsidP="00202306">
                          <w:pPr>
                            <w:spacing w:after="0"/>
                            <w:rPr>
                              <w:rFonts w:ascii="Aptos" w:eastAsia="Aptos" w:hAnsi="Aptos" w:cs="Aptos"/>
                              <w:noProof/>
                              <w:color w:val="FF0000"/>
                              <w:sz w:val="24"/>
                              <w:szCs w:val="24"/>
                            </w:rPr>
                          </w:pPr>
                          <w:r w:rsidRPr="0020230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27AB36" id="_x0000_t202" coordsize="21600,21600" o:spt="202" path="m,l,21600r21600,l21600,xe">
              <v:stroke joinstyle="miter"/>
              <v:path gradientshapeok="t" o:connecttype="rect"/>
            </v:shapetype>
            <v:shape id="Text Box 10" o:spid="_x0000_s1031" type="#_x0000_t202" alt="OFFICIAL" style="position:absolute;margin-left:0;margin-top:0;width:49pt;height:36.8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A/McbkDgIAABwE&#10;AAAOAAAAAAAAAAAAAAAAAC4CAABkcnMvZTJvRG9jLnhtbFBLAQItABQABgAIAAAAIQCQpICC2gAA&#10;AAMBAAAPAAAAAAAAAAAAAAAAAGgEAABkcnMvZG93bnJldi54bWxQSwUGAAAAAAQABADzAAAAbwUA&#10;AAAA&#10;" filled="f" stroked="f">
              <v:fill o:detectmouseclick="t"/>
              <v:textbox style="mso-fit-shape-to-text:t" inset="0,0,0,15pt">
                <w:txbxContent>
                  <w:p w14:paraId="7F89DDB0" w14:textId="670A98E1" w:rsidR="00202306" w:rsidRPr="00202306" w:rsidRDefault="00202306" w:rsidP="00202306">
                    <w:pPr>
                      <w:spacing w:after="0"/>
                      <w:rPr>
                        <w:rFonts w:ascii="Aptos" w:eastAsia="Aptos" w:hAnsi="Aptos" w:cs="Aptos"/>
                        <w:noProof/>
                        <w:color w:val="FF0000"/>
                        <w:sz w:val="24"/>
                        <w:szCs w:val="24"/>
                      </w:rPr>
                    </w:pPr>
                    <w:r w:rsidRPr="00202306">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16B84" w14:textId="77777777" w:rsidR="00D23DF2" w:rsidRDefault="00D23DF2" w:rsidP="00B62DF2">
      <w:pPr>
        <w:spacing w:after="0" w:line="240" w:lineRule="auto"/>
      </w:pPr>
      <w:r>
        <w:separator/>
      </w:r>
    </w:p>
  </w:footnote>
  <w:footnote w:type="continuationSeparator" w:id="0">
    <w:p w14:paraId="75D875DC" w14:textId="77777777" w:rsidR="00D23DF2" w:rsidRDefault="00D23DF2" w:rsidP="00B62DF2">
      <w:pPr>
        <w:spacing w:after="0" w:line="240" w:lineRule="auto"/>
      </w:pPr>
      <w:r>
        <w:continuationSeparator/>
      </w:r>
    </w:p>
  </w:footnote>
  <w:footnote w:id="1">
    <w:p w14:paraId="14B1BC58" w14:textId="299CE942" w:rsidR="008526F1" w:rsidRDefault="008526F1">
      <w:pPr>
        <w:pStyle w:val="FootnoteText"/>
      </w:pPr>
      <w:r>
        <w:rPr>
          <w:rStyle w:val="FootnoteReference"/>
        </w:rPr>
        <w:footnoteRef/>
      </w:r>
      <w:r>
        <w:t xml:space="preserve"> </w:t>
      </w:r>
      <w:r w:rsidR="007E4B53" w:rsidRPr="007E4B53">
        <w:t>B</w:t>
      </w:r>
      <w:proofErr w:type="spellStart"/>
      <w:r w:rsidR="007E4B53" w:rsidRPr="007E4B53">
        <w:rPr>
          <w:lang w:val="en-US"/>
        </w:rPr>
        <w:t>rennan</w:t>
      </w:r>
      <w:proofErr w:type="spellEnd"/>
      <w:r w:rsidR="007E4B53" w:rsidRPr="007E4B53">
        <w:rPr>
          <w:lang w:val="en-US"/>
        </w:rPr>
        <w:t xml:space="preserve"> Y, Parikh S, McRae S and Tran H (2020) '</w:t>
      </w:r>
      <w:r w:rsidR="007E4B53" w:rsidRPr="007E4B53">
        <w:t>The Australian experience with switching to extended half-life factor VIII and IX concentrates: on behalf of the Australian Haemophilia Centre Directors' Organisation</w:t>
      </w:r>
      <w:r w:rsidR="007E4B53" w:rsidRPr="007E4B53">
        <w:rPr>
          <w:lang w:val="en-US"/>
        </w:rPr>
        <w:t xml:space="preserve">', </w:t>
      </w:r>
      <w:proofErr w:type="spellStart"/>
      <w:r w:rsidR="007E4B53" w:rsidRPr="007E4B53">
        <w:rPr>
          <w:i/>
          <w:iCs/>
          <w:lang w:val="en-US"/>
        </w:rPr>
        <w:t>Haemophilia</w:t>
      </w:r>
      <w:proofErr w:type="spellEnd"/>
      <w:r w:rsidR="007E4B53" w:rsidRPr="007E4B53">
        <w:rPr>
          <w:lang w:val="en-US"/>
        </w:rPr>
        <w:t>, 26(3):529–535.</w:t>
      </w:r>
    </w:p>
  </w:footnote>
  <w:footnote w:id="2">
    <w:p w14:paraId="7142EEAB" w14:textId="252B0C38" w:rsidR="007E4B53" w:rsidRDefault="007E4B53">
      <w:pPr>
        <w:pStyle w:val="FootnoteText"/>
      </w:pPr>
      <w:r>
        <w:rPr>
          <w:rStyle w:val="FootnoteReference"/>
        </w:rPr>
        <w:footnoteRef/>
      </w:r>
      <w:r>
        <w:t xml:space="preserve"> </w:t>
      </w:r>
      <w:r w:rsidR="00205F04" w:rsidRPr="00205F04">
        <w:t xml:space="preserve">George C, Parikh S, Carter T, </w:t>
      </w:r>
      <w:proofErr w:type="spellStart"/>
      <w:r w:rsidR="00205F04" w:rsidRPr="00205F04">
        <w:t>Mccosker</w:t>
      </w:r>
      <w:proofErr w:type="spellEnd"/>
      <w:r w:rsidR="00205F04" w:rsidRPr="00205F04">
        <w:t xml:space="preserve"> J, Carlino S and Tran H (2023) ‘Evaluation of treatment and outcome for patients with haemophilia A and haemophilia B on extended half-life (EHL) factor products: a 12-month data analysis’, </w:t>
      </w:r>
      <w:r w:rsidR="00205F04" w:rsidRPr="00205F04">
        <w:rPr>
          <w:i/>
          <w:iCs/>
        </w:rPr>
        <w:t>Haemophilia</w:t>
      </w:r>
      <w:r w:rsidR="00205F04" w:rsidRPr="00205F04">
        <w:t>, 29(5):1283–1290</w:t>
      </w:r>
    </w:p>
  </w:footnote>
  <w:footnote w:id="3">
    <w:p w14:paraId="69AACF6D" w14:textId="2D085298" w:rsidR="00205F04" w:rsidRDefault="00205F04">
      <w:pPr>
        <w:pStyle w:val="FootnoteText"/>
      </w:pPr>
      <w:r>
        <w:rPr>
          <w:rStyle w:val="FootnoteReference"/>
        </w:rPr>
        <w:footnoteRef/>
      </w:r>
      <w:r>
        <w:t xml:space="preserve"> </w:t>
      </w:r>
      <w:proofErr w:type="spellStart"/>
      <w:r w:rsidR="00AB06BB" w:rsidRPr="00AB06BB">
        <w:t>Koivusalo</w:t>
      </w:r>
      <w:proofErr w:type="spellEnd"/>
      <w:r w:rsidR="00AB06BB" w:rsidRPr="00AB06BB">
        <w:t xml:space="preserve"> M, Szanto T, Kovalainen T, </w:t>
      </w:r>
      <w:proofErr w:type="spellStart"/>
      <w:r w:rsidR="00AB06BB" w:rsidRPr="00AB06BB">
        <w:t>Vesikansa</w:t>
      </w:r>
      <w:proofErr w:type="spellEnd"/>
      <w:r w:rsidR="00AB06BB" w:rsidRPr="00AB06BB">
        <w:t xml:space="preserve"> A, Laine O, Partanen A et al. (2025) ‘Switching from standard to extended half-life coagulation factor replacement in haemophilia: clinical outcomes and costs of care in Finland’, </w:t>
      </w:r>
      <w:r w:rsidR="00AB06BB" w:rsidRPr="00AB06BB">
        <w:rPr>
          <w:i/>
          <w:iCs/>
        </w:rPr>
        <w:t>Haemophilia</w:t>
      </w:r>
      <w:r w:rsidR="00AB06BB" w:rsidRPr="00AB06BB">
        <w:t>, 31(4):722–733</w:t>
      </w:r>
    </w:p>
  </w:footnote>
  <w:footnote w:id="4">
    <w:p w14:paraId="4A721E18" w14:textId="70773D47" w:rsidR="00AB06BB" w:rsidRDefault="00AB06BB">
      <w:pPr>
        <w:pStyle w:val="FootnoteText"/>
      </w:pPr>
      <w:r>
        <w:rPr>
          <w:rStyle w:val="FootnoteReference"/>
        </w:rPr>
        <w:footnoteRef/>
      </w:r>
      <w:r>
        <w:t xml:space="preserve"> </w:t>
      </w:r>
      <w:proofErr w:type="spellStart"/>
      <w:r w:rsidR="00707970" w:rsidRPr="00707970">
        <w:t>Bidlingmaier</w:t>
      </w:r>
      <w:proofErr w:type="spellEnd"/>
      <w:r w:rsidR="00707970" w:rsidRPr="00707970">
        <w:t xml:space="preserve"> C, Heller C, Langer F, </w:t>
      </w:r>
      <w:proofErr w:type="spellStart"/>
      <w:r w:rsidR="00707970" w:rsidRPr="00707970">
        <w:t>Miesbach</w:t>
      </w:r>
      <w:proofErr w:type="spellEnd"/>
      <w:r w:rsidR="00707970" w:rsidRPr="00707970">
        <w:t xml:space="preserve"> W, Scholz U, Oldenburg J et al. (2024) ‘Real-world usage and effectiveness of recombinant factor VIII/factor IX Fc in </w:t>
      </w:r>
      <w:proofErr w:type="spellStart"/>
      <w:r w:rsidR="00707970" w:rsidRPr="00707970">
        <w:t>hemophilia</w:t>
      </w:r>
      <w:proofErr w:type="spellEnd"/>
      <w:r w:rsidR="00707970" w:rsidRPr="00707970">
        <w:t xml:space="preserve"> A/B: final data from the 24-month, prospective, noninterventional PREVENT study in Germany’, </w:t>
      </w:r>
      <w:r w:rsidR="00707970" w:rsidRPr="00707970">
        <w:rPr>
          <w:i/>
          <w:iCs/>
        </w:rPr>
        <w:t>Research and Practice in Thrombosis and Haemostasis</w:t>
      </w:r>
      <w:r w:rsidR="00707970" w:rsidRPr="00707970">
        <w:t>, 8(5):102482.</w:t>
      </w:r>
    </w:p>
  </w:footnote>
  <w:footnote w:id="5">
    <w:p w14:paraId="00806192" w14:textId="27C8F816" w:rsidR="000D6759" w:rsidRDefault="004E14A6">
      <w:pPr>
        <w:pStyle w:val="FootnoteText"/>
      </w:pPr>
      <w:r>
        <w:rPr>
          <w:rStyle w:val="FootnoteReference"/>
        </w:rPr>
        <w:footnoteRef/>
      </w:r>
      <w:r>
        <w:t xml:space="preserve"> MSAC application 1728.1 </w:t>
      </w:r>
      <w:r w:rsidR="000D6759">
        <w:t xml:space="preserve">- </w:t>
      </w:r>
      <w:r w:rsidR="000D6759" w:rsidRPr="000D6759">
        <w:t xml:space="preserve">Etranacogene dezaparvovec for the treatment of </w:t>
      </w:r>
      <w:r w:rsidR="006F6580">
        <w:t>h</w:t>
      </w:r>
      <w:r w:rsidR="000D6759" w:rsidRPr="000D6759">
        <w:t>aemophilia B</w:t>
      </w:r>
      <w:r w:rsidR="000D6759">
        <w:t xml:space="preserve">, considered and supported by MSAC at its July 2025 meeting. </w:t>
      </w:r>
      <w:r w:rsidR="00F47F03" w:rsidRPr="00F47F03">
        <w:t>https://www.msac.gov.au/applications/1728-1</w:t>
      </w:r>
    </w:p>
  </w:footnote>
  <w:footnote w:id="6">
    <w:p w14:paraId="79C2D861" w14:textId="7B42AE7D" w:rsidR="000D6759" w:rsidRDefault="000D6759">
      <w:pPr>
        <w:pStyle w:val="FootnoteText"/>
      </w:pPr>
      <w:r>
        <w:rPr>
          <w:rStyle w:val="FootnoteReference"/>
        </w:rPr>
        <w:footnoteRef/>
      </w:r>
      <w:r>
        <w:t xml:space="preserve"> MSAC application </w:t>
      </w:r>
      <w:r w:rsidR="00F47F03">
        <w:t xml:space="preserve">1805 - </w:t>
      </w:r>
      <w:r w:rsidR="00F47F03" w:rsidRPr="00F47F03">
        <w:t>Concizumab for routine prophylaxis to prevent bleeding in patients with haemophilia B</w:t>
      </w:r>
      <w:r w:rsidR="00CC0808">
        <w:t xml:space="preserve">, scheduled for consideration by MSAC at its April 2026 meeting. </w:t>
      </w:r>
      <w:r w:rsidR="00CC0808" w:rsidRPr="00CC0808">
        <w:t>https://www.msac.gov.au/applications/1805</w:t>
      </w:r>
    </w:p>
  </w:footnote>
  <w:footnote w:id="7">
    <w:p w14:paraId="572A2B86" w14:textId="52A3DD4B" w:rsidR="00B36A44" w:rsidRDefault="00B36A44" w:rsidP="00B36A44">
      <w:pPr>
        <w:pStyle w:val="FootnoteText"/>
      </w:pPr>
      <w:r>
        <w:rPr>
          <w:rStyle w:val="FootnoteReference"/>
        </w:rPr>
        <w:footnoteRef/>
      </w:r>
      <w:r>
        <w:t xml:space="preserve">TGA 2025. </w:t>
      </w:r>
      <w:hyperlink r:id="rId1" w:history="1">
        <w:r w:rsidR="000B6003" w:rsidRPr="000B6003">
          <w:rPr>
            <w:rStyle w:val="Hyperlink"/>
          </w:rPr>
          <w:t>Australian Product Information</w:t>
        </w:r>
      </w:hyperlink>
      <w:r w:rsidR="000B6003">
        <w:t xml:space="preserve"> for marstacimab</w:t>
      </w:r>
      <w:r>
        <w:t>.</w:t>
      </w:r>
    </w:p>
  </w:footnote>
  <w:footnote w:id="8">
    <w:p w14:paraId="578CF270" w14:textId="77777777" w:rsidR="00EB417B" w:rsidRDefault="00EB417B" w:rsidP="00EB417B">
      <w:r w:rsidRPr="006A1111">
        <w:rPr>
          <w:rFonts w:asciiTheme="minorHAnsi" w:hAnsiTheme="minorHAnsi"/>
          <w:sz w:val="18"/>
          <w:szCs w:val="20"/>
          <w:vertAlign w:val="superscript"/>
        </w:rPr>
        <w:footnoteRef/>
      </w:r>
      <w:r w:rsidRPr="006A1111">
        <w:rPr>
          <w:rFonts w:asciiTheme="minorHAnsi" w:hAnsiTheme="minorHAnsi"/>
          <w:sz w:val="18"/>
          <w:szCs w:val="20"/>
        </w:rPr>
        <w:t xml:space="preserve"> Haemophilia Foundation Australia 2023. Haemophilia. Darling. VIC: HFA.</w:t>
      </w:r>
    </w:p>
  </w:footnote>
  <w:footnote w:id="9">
    <w:p w14:paraId="634319FF" w14:textId="77777777" w:rsidR="00EB417B" w:rsidRDefault="00EB417B" w:rsidP="00EB417B">
      <w:pPr>
        <w:pStyle w:val="FootnoteText"/>
      </w:pPr>
      <w:r>
        <w:rPr>
          <w:rStyle w:val="FootnoteReference"/>
        </w:rPr>
        <w:footnoteRef/>
      </w:r>
      <w:r>
        <w:t xml:space="preserve"> National Blood Authority 2023a. </w:t>
      </w:r>
      <w:r w:rsidRPr="00231017">
        <w:t>‘Analyses requested by Pfizer from the ABDR’, NBA.</w:t>
      </w:r>
    </w:p>
  </w:footnote>
  <w:footnote w:id="10">
    <w:p w14:paraId="20492494" w14:textId="77777777" w:rsidR="00EB417B" w:rsidRDefault="00EB417B" w:rsidP="00EB417B">
      <w:pPr>
        <w:pStyle w:val="FootnoteText"/>
      </w:pPr>
      <w:r>
        <w:rPr>
          <w:rStyle w:val="FootnoteReference"/>
        </w:rPr>
        <w:footnoteRef/>
      </w:r>
      <w:r>
        <w:t xml:space="preserve"> National Blood Authority 2023b. </w:t>
      </w:r>
      <w:hyperlink r:id="rId2" w:history="1">
        <w:r w:rsidRPr="00231017">
          <w:rPr>
            <w:rStyle w:val="Hyperlink"/>
          </w:rPr>
          <w:t>Australian Blood Disorders Registry Annual Report 2021-22</w:t>
        </w:r>
      </w:hyperlink>
      <w:r>
        <w:t xml:space="preserve">, </w:t>
      </w:r>
      <w:r>
        <w:rPr>
          <w:i/>
          <w:iCs/>
        </w:rPr>
        <w:t>NBA.</w:t>
      </w:r>
    </w:p>
  </w:footnote>
  <w:footnote w:id="11">
    <w:p w14:paraId="630BFBBC" w14:textId="314C00E0" w:rsidR="0084096C" w:rsidRDefault="0084096C">
      <w:pPr>
        <w:pStyle w:val="FootnoteText"/>
      </w:pPr>
      <w:r>
        <w:rPr>
          <w:rStyle w:val="FootnoteReference"/>
        </w:rPr>
        <w:footnoteRef/>
      </w:r>
      <w:r>
        <w:t xml:space="preserve"> IQVIA (2024). Marstacimab for the Treatment of Haemophilia A and B: A Systematic Literature Review, Feasibility Assessment, and Indirect Treatment Comparison.</w:t>
      </w:r>
    </w:p>
  </w:footnote>
  <w:footnote w:id="12">
    <w:p w14:paraId="2DE43491" w14:textId="77777777" w:rsidR="00084D54" w:rsidRDefault="00084D54" w:rsidP="00084D54">
      <w:pPr>
        <w:pStyle w:val="FootnoteText"/>
      </w:pPr>
      <w:r>
        <w:rPr>
          <w:rStyle w:val="FootnoteReference"/>
        </w:rPr>
        <w:footnoteRef/>
      </w:r>
      <w:r>
        <w:t xml:space="preserve"> </w:t>
      </w:r>
      <w:r w:rsidRPr="00CF1990">
        <w:t xml:space="preserve">Chhabra A, Spurden D, Fogarty PF, </w:t>
      </w:r>
      <w:proofErr w:type="spellStart"/>
      <w:r w:rsidRPr="00CF1990">
        <w:t>Tortella</w:t>
      </w:r>
      <w:proofErr w:type="spellEnd"/>
      <w:r w:rsidRPr="00CF1990">
        <w:t xml:space="preserve"> BJ, Rubinstein E, Harris S, Pleil AM, Mellor J, de Courcy J, Alvir J. Real-world outcomes associated with standard half-life and extended half-life factor replacement products for treatment of haemophilia A and B. Blood </w:t>
      </w:r>
      <w:proofErr w:type="spellStart"/>
      <w:r w:rsidRPr="00CF1990">
        <w:t>Coagul</w:t>
      </w:r>
      <w:proofErr w:type="spellEnd"/>
      <w:r w:rsidRPr="00CF1990">
        <w:t xml:space="preserve"> Fibrinolysis. 2020 Apr;31(3):186-192. </w:t>
      </w:r>
      <w:proofErr w:type="spellStart"/>
      <w:r w:rsidRPr="00CF1990">
        <w:t>doi</w:t>
      </w:r>
      <w:proofErr w:type="spellEnd"/>
      <w:r w:rsidRPr="00CF1990">
        <w:t>: 10.1097/MBC.0000000000000885. PMID: 32271314; PMCID: PMC7195855.</w:t>
      </w:r>
      <w:r>
        <w:t xml:space="preserve"> &lt; </w:t>
      </w:r>
      <w:r w:rsidRPr="00CF1990">
        <w:t>https://pmc.ncbi.nlm.nih.gov/articles/PMC7195855/</w:t>
      </w:r>
      <w:r>
        <w:t>&gt;</w:t>
      </w:r>
    </w:p>
  </w:footnote>
  <w:footnote w:id="13">
    <w:p w14:paraId="7E6F4EB9" w14:textId="77777777" w:rsidR="0093608E" w:rsidRDefault="0093608E" w:rsidP="0093608E">
      <w:pPr>
        <w:pStyle w:val="FootnoteText"/>
      </w:pPr>
      <w:r>
        <w:rPr>
          <w:rStyle w:val="FootnoteReference"/>
        </w:rPr>
        <w:footnoteRef/>
      </w:r>
      <w:r>
        <w:t xml:space="preserve"> </w:t>
      </w:r>
      <w:r w:rsidRPr="00CB0B25">
        <w:t>National Blood Authority Australia. Annual Report 2024 -2025. 2025.</w:t>
      </w:r>
    </w:p>
  </w:footnote>
  <w:footnote w:id="14">
    <w:p w14:paraId="0F2C03E0" w14:textId="77777777" w:rsidR="0093608E" w:rsidRDefault="0093608E" w:rsidP="0093608E">
      <w:pPr>
        <w:pStyle w:val="FootnoteText"/>
      </w:pPr>
      <w:r>
        <w:rPr>
          <w:rStyle w:val="FootnoteReference"/>
        </w:rPr>
        <w:footnoteRef/>
      </w:r>
      <w:r>
        <w:t xml:space="preserve"> </w:t>
      </w:r>
      <w:r w:rsidRPr="00FD0BB9">
        <w:t xml:space="preserve">Brennan, Y, Parikh, S, McRae, S &amp; Tran, H 2020, 'The Australian experience with switching to extended half-life factor VIII and IX concentrates: On behalf of the Australian Haemophilia Centre Directors' Organisation', </w:t>
      </w:r>
      <w:r w:rsidRPr="00FD0BB9">
        <w:rPr>
          <w:i/>
          <w:iCs/>
        </w:rPr>
        <w:t>Haemophilia</w:t>
      </w:r>
      <w:r w:rsidRPr="00FD0BB9">
        <w:t>, vol. 26, no. 3, 2020/05/01, pp. 529-535.</w:t>
      </w:r>
    </w:p>
  </w:footnote>
  <w:footnote w:id="15">
    <w:p w14:paraId="269D54CF" w14:textId="77777777" w:rsidR="0093608E" w:rsidRDefault="0093608E" w:rsidP="0093608E">
      <w:pPr>
        <w:pStyle w:val="FootnoteText"/>
      </w:pPr>
      <w:r>
        <w:rPr>
          <w:rStyle w:val="FootnoteReference"/>
        </w:rPr>
        <w:footnoteRef/>
      </w:r>
      <w:r>
        <w:t xml:space="preserve"> </w:t>
      </w:r>
      <w:r w:rsidRPr="00446C1B">
        <w:t xml:space="preserve">Zhang L, Guo J, Wei S, Li J, Dou Y, Cheng T, et al. The prediction of haemophilic arthropathy progression based on MRI findings and clinical characteristics. </w:t>
      </w:r>
      <w:proofErr w:type="spellStart"/>
      <w:r w:rsidRPr="00446C1B">
        <w:t>Orphanet</w:t>
      </w:r>
      <w:proofErr w:type="spellEnd"/>
      <w:r w:rsidRPr="00446C1B">
        <w:t xml:space="preserve"> Journal of Rare Diseases. 2025 2025/04/18;20(1):190.</w:t>
      </w:r>
    </w:p>
  </w:footnote>
  <w:footnote w:id="16">
    <w:p w14:paraId="7CCB5805" w14:textId="77777777" w:rsidR="0093608E" w:rsidRDefault="0093608E" w:rsidP="0093608E">
      <w:pPr>
        <w:pStyle w:val="FootnoteText"/>
      </w:pPr>
      <w:r>
        <w:rPr>
          <w:rStyle w:val="FootnoteReference"/>
        </w:rPr>
        <w:footnoteRef/>
      </w:r>
      <w:r>
        <w:t xml:space="preserve"> </w:t>
      </w:r>
      <w:r w:rsidRPr="00B573A3">
        <w:rPr>
          <w:noProof/>
        </w:rPr>
        <w:t>Hassan S, Monahan RC, Mauser-Bunschoten EP, van Vulpen LFD, Eikenboom J, Beckers EAM, et al. Mortality, life expectancy, and causes of death of persons with hemophilia in the Netherlands 2001-2018. J Thromb Haemost. 2021 Mar;19(3):645-53.</w:t>
      </w:r>
    </w:p>
  </w:footnote>
  <w:footnote w:id="17">
    <w:p w14:paraId="7555C044" w14:textId="51798A5C" w:rsidR="00841DE4" w:rsidRDefault="00841DE4" w:rsidP="00841DE4">
      <w:pPr>
        <w:pStyle w:val="FootnoteText"/>
      </w:pPr>
      <w:r>
        <w:rPr>
          <w:rStyle w:val="FootnoteReference"/>
        </w:rPr>
        <w:footnoteRef/>
      </w:r>
      <w:r>
        <w:t xml:space="preserve"> Institute for Clinical and Economic Review 2020, </w:t>
      </w:r>
      <w:proofErr w:type="spellStart"/>
      <w:r>
        <w:t>Valoctocogene</w:t>
      </w:r>
      <w:proofErr w:type="spellEnd"/>
      <w:r>
        <w:t xml:space="preserve"> </w:t>
      </w:r>
      <w:proofErr w:type="spellStart"/>
      <w:r>
        <w:t>Roxaparvovec</w:t>
      </w:r>
      <w:proofErr w:type="spellEnd"/>
      <w:r>
        <w:t xml:space="preserve"> and Emicizumab for </w:t>
      </w:r>
      <w:proofErr w:type="spellStart"/>
      <w:r>
        <w:t>Hemophilia</w:t>
      </w:r>
      <w:proofErr w:type="spellEnd"/>
      <w:r>
        <w:t xml:space="preserve"> A without Inhibitors: Effectiveness and Value </w:t>
      </w:r>
      <w:hyperlink r:id="rId3" w:history="1">
        <w:r w:rsidRPr="005F71EA">
          <w:rPr>
            <w:rStyle w:val="Hyperlink"/>
          </w:rPr>
          <w:t>https://icer.org/wp-content/uploads/2020/10/ICER_Hemophilia-A_Final-Report_112020.pdf</w:t>
        </w:r>
      </w:hyperlink>
    </w:p>
  </w:footnote>
  <w:footnote w:id="18">
    <w:p w14:paraId="29F5B2C9" w14:textId="35D4F8C0" w:rsidR="00841DE4" w:rsidRDefault="00841DE4">
      <w:pPr>
        <w:pStyle w:val="FootnoteText"/>
      </w:pPr>
      <w:r>
        <w:rPr>
          <w:rStyle w:val="FootnoteReference"/>
        </w:rPr>
        <w:footnoteRef/>
      </w:r>
      <w:r>
        <w:t xml:space="preserve"> Institute for Clinical and Economic Review 2022, Gene Therapy for </w:t>
      </w:r>
      <w:proofErr w:type="spellStart"/>
      <w:r>
        <w:t>Hemophilia</w:t>
      </w:r>
      <w:proofErr w:type="spellEnd"/>
      <w:r>
        <w:t xml:space="preserve"> B and An Update on Gene Therapy for </w:t>
      </w:r>
      <w:proofErr w:type="spellStart"/>
      <w:r>
        <w:t>Hemophilia</w:t>
      </w:r>
      <w:proofErr w:type="spellEnd"/>
      <w:r>
        <w:t xml:space="preserve"> A:  Effectiveness and Value &lt;https://icer.org/wp-content/uploads/2022/05/ICER_Hemophilia_Final_Report_12222022.pdf.</w:t>
      </w:r>
    </w:p>
  </w:footnote>
  <w:footnote w:id="19">
    <w:p w14:paraId="7D6A6D24" w14:textId="77777777" w:rsidR="00DD58C0" w:rsidRPr="00416B17" w:rsidRDefault="00DD58C0" w:rsidP="00DD58C0">
      <w:pPr>
        <w:pStyle w:val="FootnoteText"/>
      </w:pPr>
      <w:r>
        <w:rPr>
          <w:rStyle w:val="FootnoteReference"/>
        </w:rPr>
        <w:footnoteRef/>
      </w:r>
      <w:r>
        <w:t xml:space="preserve"> </w:t>
      </w:r>
      <w:r w:rsidRPr="00416B17">
        <w:t>Miller CH, Bean CJ. Genetic causes of haemophilia in women and girls. Haemophilia. 2021 Mar;27(2</w:t>
      </w:r>
      <w:proofErr w:type="gramStart"/>
      <w:r w:rsidRPr="00416B17">
        <w:t>):e</w:t>
      </w:r>
      <w:proofErr w:type="gramEnd"/>
      <w:r w:rsidRPr="00416B17">
        <w:t xml:space="preserve">164-e179. </w:t>
      </w:r>
      <w:proofErr w:type="spellStart"/>
      <w:r w:rsidRPr="00416B17">
        <w:t>doi</w:t>
      </w:r>
      <w:proofErr w:type="spellEnd"/>
      <w:r w:rsidRPr="00416B17">
        <w:t xml:space="preserve">: 10.1111/hae.14186. </w:t>
      </w:r>
      <w:proofErr w:type="spellStart"/>
      <w:r w:rsidRPr="00416B17">
        <w:t>Epub</w:t>
      </w:r>
      <w:proofErr w:type="spellEnd"/>
      <w:r w:rsidRPr="00416B17">
        <w:t xml:space="preserve"> 2020 Dec 13. PMID: 33314404; PMCID: PMC8132474.</w:t>
      </w:r>
    </w:p>
  </w:footnote>
  <w:footnote w:id="20">
    <w:p w14:paraId="1BED2CD9" w14:textId="77777777" w:rsidR="00135F99" w:rsidRDefault="00135F99" w:rsidP="00135F99">
      <w:pPr>
        <w:pStyle w:val="FootnoteText"/>
        <w:spacing w:before="0"/>
        <w:rPr>
          <w:lang w:val="en-US"/>
        </w:rPr>
      </w:pPr>
      <w:r>
        <w:rPr>
          <w:rStyle w:val="FootnoteReference"/>
        </w:rPr>
        <w:footnoteRef/>
      </w:r>
      <w:r>
        <w:t xml:space="preserve"> B</w:t>
      </w:r>
      <w:proofErr w:type="spellStart"/>
      <w:r>
        <w:rPr>
          <w:lang w:val="en-US"/>
        </w:rPr>
        <w:t>rennan</w:t>
      </w:r>
      <w:proofErr w:type="spellEnd"/>
      <w:r>
        <w:rPr>
          <w:lang w:val="en-US"/>
        </w:rPr>
        <w:t xml:space="preserve"> Y, Parikh S, McRae S and Tran H (2020) '</w:t>
      </w:r>
      <w:r w:rsidRPr="00341233">
        <w:t>The Australian experience with switching to extended half-life factor VIII and IX concentrates: on behalf of the Australian Haemophilia Centre Directors' Organisation</w:t>
      </w:r>
      <w:r>
        <w:rPr>
          <w:lang w:val="en-US"/>
        </w:rPr>
        <w:t xml:space="preserve">', </w:t>
      </w:r>
      <w:proofErr w:type="spellStart"/>
      <w:r>
        <w:rPr>
          <w:rStyle w:val="Emphasis"/>
          <w:lang w:val="en-US"/>
        </w:rPr>
        <w:t>Haemophilia</w:t>
      </w:r>
      <w:proofErr w:type="spellEnd"/>
      <w:r>
        <w:rPr>
          <w:lang w:val="en-US"/>
        </w:rPr>
        <w:t>, 26(3):529–535.</w:t>
      </w:r>
    </w:p>
  </w:footnote>
  <w:footnote w:id="21">
    <w:p w14:paraId="74DE337B" w14:textId="77777777" w:rsidR="00135F99" w:rsidRDefault="00135F99" w:rsidP="00135F99">
      <w:pPr>
        <w:pStyle w:val="FootnoteText"/>
        <w:spacing w:before="0"/>
        <w:rPr>
          <w:lang w:val="en-US"/>
        </w:rPr>
      </w:pPr>
      <w:r>
        <w:rPr>
          <w:rStyle w:val="FootnoteReference"/>
        </w:rPr>
        <w:footnoteRef/>
      </w:r>
      <w:r>
        <w:t xml:space="preserve"> George C, Parikh S, Carter T, </w:t>
      </w:r>
      <w:proofErr w:type="spellStart"/>
      <w:r>
        <w:t>Mccosker</w:t>
      </w:r>
      <w:proofErr w:type="spellEnd"/>
      <w:r>
        <w:t xml:space="preserve"> J, Carlino S and Tran H (2023) ‘</w:t>
      </w:r>
      <w:r w:rsidRPr="00341233">
        <w:t>Evaluation of treatment and outcome for patients with haemophilia A and haemophilia B on extended half-life (EHL) factor products: a 12-month data analysis</w:t>
      </w:r>
      <w:r>
        <w:t xml:space="preserve">’, </w:t>
      </w:r>
      <w:r>
        <w:rPr>
          <w:rStyle w:val="Emphasis"/>
        </w:rPr>
        <w:t>Haemophilia</w:t>
      </w:r>
      <w:r>
        <w:t xml:space="preserve">, 29(5):1283–1290 </w:t>
      </w:r>
    </w:p>
  </w:footnote>
  <w:footnote w:id="22">
    <w:p w14:paraId="0B69EDCC" w14:textId="77777777" w:rsidR="00135F99" w:rsidRDefault="00135F99" w:rsidP="00135F99">
      <w:pPr>
        <w:pStyle w:val="FootnoteText"/>
        <w:spacing w:before="0"/>
      </w:pPr>
      <w:r>
        <w:rPr>
          <w:rStyle w:val="FootnoteReference"/>
        </w:rPr>
        <w:footnoteRef/>
      </w:r>
      <w:r>
        <w:t xml:space="preserve"> </w:t>
      </w:r>
      <w:proofErr w:type="spellStart"/>
      <w:r>
        <w:t>Koivusalo</w:t>
      </w:r>
      <w:proofErr w:type="spellEnd"/>
      <w:r>
        <w:t xml:space="preserve"> M, Szanto T, Kovalainen T, </w:t>
      </w:r>
      <w:proofErr w:type="spellStart"/>
      <w:r>
        <w:t>Vesikansa</w:t>
      </w:r>
      <w:proofErr w:type="spellEnd"/>
      <w:r>
        <w:t xml:space="preserve"> A, Laine O, Partanen A et al. (2025) ‘</w:t>
      </w:r>
      <w:r w:rsidRPr="00D07215">
        <w:t>Switching from standard to extended half-life coagulation factor replacement in haemophilia: clinical outcomes and costs of care in Finland</w:t>
      </w:r>
      <w:r>
        <w:t xml:space="preserve">’, </w:t>
      </w:r>
      <w:r>
        <w:rPr>
          <w:rStyle w:val="Emphasis"/>
        </w:rPr>
        <w:t>Haemophilia</w:t>
      </w:r>
      <w:r>
        <w:t>, 31(4):722–733</w:t>
      </w:r>
    </w:p>
  </w:footnote>
  <w:footnote w:id="23">
    <w:p w14:paraId="79D4652D" w14:textId="77777777" w:rsidR="00135F99" w:rsidRDefault="00135F99" w:rsidP="00135F99">
      <w:pPr>
        <w:pStyle w:val="FootnoteText"/>
        <w:spacing w:before="0"/>
      </w:pPr>
      <w:r>
        <w:rPr>
          <w:rStyle w:val="FootnoteReference"/>
        </w:rPr>
        <w:footnoteRef/>
      </w:r>
      <w:r>
        <w:t xml:space="preserve"> </w:t>
      </w:r>
      <w:proofErr w:type="spellStart"/>
      <w:r>
        <w:t>Bidlingmaier</w:t>
      </w:r>
      <w:proofErr w:type="spellEnd"/>
      <w:r>
        <w:t xml:space="preserve"> C, Heller C, Langer F, </w:t>
      </w:r>
      <w:proofErr w:type="spellStart"/>
      <w:r>
        <w:t>Miesbach</w:t>
      </w:r>
      <w:proofErr w:type="spellEnd"/>
      <w:r>
        <w:t xml:space="preserve"> W, Scholz U, Oldenburg J et al. (2024) ‘</w:t>
      </w:r>
      <w:r w:rsidRPr="009167EF">
        <w:t xml:space="preserve">Real-world usage and effectiveness of recombinant factor VIII/factor IX Fc in </w:t>
      </w:r>
      <w:proofErr w:type="spellStart"/>
      <w:r w:rsidRPr="009167EF">
        <w:t>hemophilia</w:t>
      </w:r>
      <w:proofErr w:type="spellEnd"/>
      <w:r w:rsidRPr="009167EF">
        <w:t xml:space="preserve"> A/B: final data from the 24-month, prospective, noninterventional PREVENT study in Germany</w:t>
      </w:r>
      <w:r>
        <w:t xml:space="preserve">’, </w:t>
      </w:r>
      <w:r>
        <w:rPr>
          <w:rStyle w:val="Emphasis"/>
        </w:rPr>
        <w:t>Research and Practice in Thrombosis and Haemostasis</w:t>
      </w:r>
      <w:r>
        <w:t>, 8(5):102482.</w:t>
      </w:r>
    </w:p>
  </w:footnote>
  <w:footnote w:id="24">
    <w:p w14:paraId="643A66C8" w14:textId="77777777" w:rsidR="00135F99" w:rsidRDefault="00135F99" w:rsidP="00135F99">
      <w:pPr>
        <w:pStyle w:val="FootnoteText"/>
      </w:pPr>
      <w:r>
        <w:rPr>
          <w:rStyle w:val="FootnoteReference"/>
        </w:rPr>
        <w:footnoteRef/>
      </w:r>
      <w:r>
        <w:t xml:space="preserve"> </w:t>
      </w:r>
      <w:proofErr w:type="spellStart"/>
      <w:r>
        <w:t>Pagnot</w:t>
      </w:r>
      <w:proofErr w:type="spellEnd"/>
      <w:r>
        <w:t xml:space="preserve"> L, Novais T, </w:t>
      </w:r>
      <w:proofErr w:type="spellStart"/>
      <w:r>
        <w:t>Carhoreau</w:t>
      </w:r>
      <w:proofErr w:type="spellEnd"/>
      <w:r>
        <w:t xml:space="preserve"> V, et al., (2026) Medication adherence after transition to emicizumab in patients with severe </w:t>
      </w:r>
      <w:proofErr w:type="spellStart"/>
      <w:r>
        <w:t>hemophilia</w:t>
      </w:r>
      <w:proofErr w:type="spellEnd"/>
      <w:r>
        <w:t xml:space="preserve"> A: Results from the ADHEMI study, </w:t>
      </w:r>
      <w:proofErr w:type="spellStart"/>
      <w:r>
        <w:t>JAPhA</w:t>
      </w:r>
      <w:proofErr w:type="spellEnd"/>
      <w:r>
        <w:t xml:space="preserve"> Pharmacotherapy, 3(1), 100025</w:t>
      </w:r>
    </w:p>
  </w:footnote>
  <w:footnote w:id="25">
    <w:p w14:paraId="2F85F52D" w14:textId="77777777" w:rsidR="00135F99" w:rsidRDefault="00135F99" w:rsidP="00135F99">
      <w:pPr>
        <w:pStyle w:val="FootnoteText"/>
        <w:spacing w:before="0"/>
      </w:pPr>
      <w:r>
        <w:rPr>
          <w:rStyle w:val="FootnoteReference"/>
        </w:rPr>
        <w:footnoteRef/>
      </w:r>
      <w:r>
        <w:t xml:space="preserve"> </w:t>
      </w:r>
      <w:r w:rsidRPr="00EB186A">
        <w:t>George C, Parikh S, Carter T, Mccosker J, Carlino S, Tran H. Evaluation of treatment and outcome for patients with haemophilia A and haemophilia B on extended half-life (EHL) factor products: A 12-month data analysis. </w:t>
      </w:r>
      <w:r w:rsidRPr="00EB186A">
        <w:rPr>
          <w:i/>
          <w:iCs/>
        </w:rPr>
        <w:t>Haemophilia</w:t>
      </w:r>
      <w:r w:rsidRPr="00EB186A">
        <w:t>. 2023; 29: 1283–1290. </w:t>
      </w:r>
      <w:hyperlink r:id="rId4" w:history="1">
        <w:r w:rsidRPr="009167EF">
          <w:rPr>
            <w:rStyle w:val="Hyperlink"/>
          </w:rPr>
          <w:t>https://doi.org/10.1111/hae.14842</w:t>
        </w:r>
      </w:hyperlink>
    </w:p>
  </w:footnote>
  <w:footnote w:id="26">
    <w:p w14:paraId="411B961D" w14:textId="77777777" w:rsidR="00135F99" w:rsidRDefault="00135F99" w:rsidP="00135F99">
      <w:pPr>
        <w:pStyle w:val="FootnoteText"/>
        <w:spacing w:before="0"/>
      </w:pPr>
      <w:r>
        <w:rPr>
          <w:rStyle w:val="FootnoteReference"/>
        </w:rPr>
        <w:footnoteRef/>
      </w:r>
      <w:r>
        <w:t xml:space="preserve"> </w:t>
      </w:r>
      <w:proofErr w:type="spellStart"/>
      <w:r w:rsidRPr="00E67FF8">
        <w:t>Schrijvers</w:t>
      </w:r>
      <w:proofErr w:type="spellEnd"/>
      <w:r w:rsidRPr="00E67FF8">
        <w:t xml:space="preserve">, L., </w:t>
      </w:r>
      <w:proofErr w:type="spellStart"/>
      <w:r w:rsidRPr="00E67FF8">
        <w:t>Beijlevelt</w:t>
      </w:r>
      <w:proofErr w:type="spellEnd"/>
      <w:r w:rsidRPr="00E67FF8">
        <w:t>-Van der Zande, M., Peters, M., Lock, J., Cnossen, M., Schuurmans, M., &amp; Fischer, K. (2016). Achieving self-management of prophylactic treatment in adolescents: The case of haemophilia. </w:t>
      </w:r>
      <w:r w:rsidRPr="00E67FF8">
        <w:rPr>
          <w:i/>
          <w:iCs/>
        </w:rPr>
        <w:t xml:space="preserve">Patient education and </w:t>
      </w:r>
      <w:proofErr w:type="spellStart"/>
      <w:r w:rsidRPr="00E67FF8">
        <w:rPr>
          <w:i/>
          <w:iCs/>
        </w:rPr>
        <w:t>counseling</w:t>
      </w:r>
      <w:proofErr w:type="spellEnd"/>
      <w:r w:rsidRPr="00E67FF8">
        <w:t>, </w:t>
      </w:r>
      <w:r w:rsidRPr="00E67FF8">
        <w:rPr>
          <w:i/>
          <w:iCs/>
        </w:rPr>
        <w:t>99</w:t>
      </w:r>
      <w:r w:rsidRPr="00E67FF8">
        <w:t>(7), 1179–1183. https://doi.org/10.1016/j.pec.2016.01.016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2716" w14:textId="7670BEAC" w:rsidR="00E7327D" w:rsidRDefault="00202306">
    <w:pPr>
      <w:pStyle w:val="Header"/>
    </w:pPr>
    <w:r>
      <w:rPr>
        <w:noProof/>
      </w:rPr>
      <mc:AlternateContent>
        <mc:Choice Requires="wps">
          <w:drawing>
            <wp:anchor distT="0" distB="0" distL="0" distR="0" simplePos="0" relativeHeight="251660293" behindDoc="0" locked="0" layoutInCell="1" allowOverlap="1" wp14:anchorId="5E4FCFFB" wp14:editId="5E51D154">
              <wp:simplePos x="635" y="635"/>
              <wp:positionH relativeFrom="page">
                <wp:align>center</wp:align>
              </wp:positionH>
              <wp:positionV relativeFrom="page">
                <wp:align>top</wp:align>
              </wp:positionV>
              <wp:extent cx="622300" cy="467360"/>
              <wp:effectExtent l="0" t="0" r="6350" b="8890"/>
              <wp:wrapNone/>
              <wp:docPr id="44752126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6807461E" w14:textId="7A19EDD9" w:rsidR="00202306" w:rsidRPr="00202306" w:rsidRDefault="00202306" w:rsidP="00202306">
                          <w:pPr>
                            <w:spacing w:after="0"/>
                            <w:rPr>
                              <w:rFonts w:ascii="Aptos" w:eastAsia="Aptos" w:hAnsi="Aptos" w:cs="Aptos"/>
                              <w:noProof/>
                              <w:color w:val="FF0000"/>
                              <w:sz w:val="24"/>
                              <w:szCs w:val="24"/>
                            </w:rPr>
                          </w:pPr>
                          <w:r w:rsidRPr="0020230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4FCFFB" id="_x0000_t202" coordsize="21600,21600" o:spt="202" path="m,l,21600r21600,l21600,xe">
              <v:stroke joinstyle="miter"/>
              <v:path gradientshapeok="t" o:connecttype="rect"/>
            </v:shapetype>
            <v:shape id="Text Box 8" o:spid="_x0000_s1026" type="#_x0000_t202" alt="OFFICIAL" style="position:absolute;margin-left:0;margin-top:0;width:49pt;height:36.8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" filled="f" stroked="f">
              <v:fill o:detectmouseclick="t"/>
              <v:textbox style="mso-fit-shape-to-text:t" inset="0,15pt,0,0">
                <w:txbxContent>
                  <w:p w14:paraId="6807461E" w14:textId="7A19EDD9" w:rsidR="00202306" w:rsidRPr="00202306" w:rsidRDefault="00202306" w:rsidP="00202306">
                    <w:pPr>
                      <w:spacing w:after="0"/>
                      <w:rPr>
                        <w:rFonts w:ascii="Aptos" w:eastAsia="Aptos" w:hAnsi="Aptos" w:cs="Aptos"/>
                        <w:noProof/>
                        <w:color w:val="FF0000"/>
                        <w:sz w:val="24"/>
                        <w:szCs w:val="24"/>
                      </w:rPr>
                    </w:pPr>
                    <w:r w:rsidRPr="0020230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A17D" w14:textId="2011CBC2" w:rsidR="00E7327D" w:rsidRDefault="00202306">
    <w:pPr>
      <w:pStyle w:val="Header"/>
    </w:pPr>
    <w:r>
      <w:rPr>
        <w:noProof/>
      </w:rPr>
      <mc:AlternateContent>
        <mc:Choice Requires="wps">
          <w:drawing>
            <wp:anchor distT="0" distB="0" distL="0" distR="0" simplePos="0" relativeHeight="251661317" behindDoc="0" locked="0" layoutInCell="1" allowOverlap="1" wp14:anchorId="65C28720" wp14:editId="2495C9EA">
              <wp:simplePos x="635" y="635"/>
              <wp:positionH relativeFrom="page">
                <wp:align>center</wp:align>
              </wp:positionH>
              <wp:positionV relativeFrom="page">
                <wp:align>top</wp:align>
              </wp:positionV>
              <wp:extent cx="622300" cy="467360"/>
              <wp:effectExtent l="0" t="0" r="6350" b="8890"/>
              <wp:wrapNone/>
              <wp:docPr id="136479141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4BBD1348" w14:textId="2F998A66" w:rsidR="00202306" w:rsidRPr="00202306" w:rsidRDefault="00202306" w:rsidP="00202306">
                          <w:pPr>
                            <w:spacing w:after="0"/>
                            <w:rPr>
                              <w:rFonts w:ascii="Aptos" w:eastAsia="Aptos" w:hAnsi="Aptos" w:cs="Aptos"/>
                              <w:noProof/>
                              <w:color w:val="FF0000"/>
                              <w:sz w:val="24"/>
                              <w:szCs w:val="24"/>
                            </w:rPr>
                          </w:pPr>
                          <w:r w:rsidRPr="0020230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C28720" id="_x0000_t202" coordsize="21600,21600" o:spt="202" path="m,l,21600r21600,l21600,xe">
              <v:stroke joinstyle="miter"/>
              <v:path gradientshapeok="t" o:connecttype="rect"/>
            </v:shapetype>
            <v:shape id="Text Box 9" o:spid="_x0000_s1027" type="#_x0000_t202" alt="OFFICIAL" style="position:absolute;margin-left:0;margin-top:0;width:49pt;height:36.8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" filled="f" stroked="f">
              <v:fill o:detectmouseclick="t"/>
              <v:textbox style="mso-fit-shape-to-text:t" inset="0,15pt,0,0">
                <w:txbxContent>
                  <w:p w14:paraId="4BBD1348" w14:textId="2F998A66" w:rsidR="00202306" w:rsidRPr="00202306" w:rsidRDefault="00202306" w:rsidP="00202306">
                    <w:pPr>
                      <w:spacing w:after="0"/>
                      <w:rPr>
                        <w:rFonts w:ascii="Aptos" w:eastAsia="Aptos" w:hAnsi="Aptos" w:cs="Aptos"/>
                        <w:noProof/>
                        <w:color w:val="FF0000"/>
                        <w:sz w:val="24"/>
                        <w:szCs w:val="24"/>
                      </w:rPr>
                    </w:pPr>
                    <w:r w:rsidRPr="00202306">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0323" w14:textId="21D85A7A" w:rsidR="00E7327D" w:rsidRDefault="00202306">
    <w:pPr>
      <w:pStyle w:val="Header"/>
    </w:pPr>
    <w:r>
      <w:rPr>
        <w:noProof/>
      </w:rPr>
      <mc:AlternateContent>
        <mc:Choice Requires="wps">
          <w:drawing>
            <wp:anchor distT="0" distB="0" distL="0" distR="0" simplePos="0" relativeHeight="251659269" behindDoc="0" locked="0" layoutInCell="1" allowOverlap="1" wp14:anchorId="0413B96A" wp14:editId="162A61E2">
              <wp:simplePos x="635" y="635"/>
              <wp:positionH relativeFrom="page">
                <wp:align>center</wp:align>
              </wp:positionH>
              <wp:positionV relativeFrom="page">
                <wp:align>top</wp:align>
              </wp:positionV>
              <wp:extent cx="622300" cy="467360"/>
              <wp:effectExtent l="0" t="0" r="6350" b="8890"/>
              <wp:wrapNone/>
              <wp:docPr id="2780636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7C6DBB18" w14:textId="18AF9004" w:rsidR="00202306" w:rsidRPr="00202306" w:rsidRDefault="00202306" w:rsidP="00202306">
                          <w:pPr>
                            <w:spacing w:after="0"/>
                            <w:rPr>
                              <w:rFonts w:ascii="Aptos" w:eastAsia="Aptos" w:hAnsi="Aptos" w:cs="Aptos"/>
                              <w:noProof/>
                              <w:color w:val="FF0000"/>
                              <w:sz w:val="24"/>
                              <w:szCs w:val="24"/>
                            </w:rPr>
                          </w:pPr>
                          <w:r w:rsidRPr="0020230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13B96A" id="_x0000_t202" coordsize="21600,21600" o:spt="202" path="m,l,21600r21600,l21600,xe">
              <v:stroke joinstyle="miter"/>
              <v:path gradientshapeok="t" o:connecttype="rect"/>
            </v:shapetype>
            <v:shape id="Text Box 7" o:spid="_x0000_s1030" type="#_x0000_t202" alt="OFFICIAL" style="position:absolute;margin-left:0;margin-top:0;width:49pt;height:36.8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" filled="f" stroked="f">
              <v:fill o:detectmouseclick="t"/>
              <v:textbox style="mso-fit-shape-to-text:t" inset="0,15pt,0,0">
                <w:txbxContent>
                  <w:p w14:paraId="7C6DBB18" w14:textId="18AF9004" w:rsidR="00202306" w:rsidRPr="00202306" w:rsidRDefault="00202306" w:rsidP="00202306">
                    <w:pPr>
                      <w:spacing w:after="0"/>
                      <w:rPr>
                        <w:rFonts w:ascii="Aptos" w:eastAsia="Aptos" w:hAnsi="Aptos" w:cs="Aptos"/>
                        <w:noProof/>
                        <w:color w:val="FF0000"/>
                        <w:sz w:val="24"/>
                        <w:szCs w:val="24"/>
                      </w:rPr>
                    </w:pPr>
                    <w:r w:rsidRPr="00202306">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048C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12AF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E8089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0C16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28473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50C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F89F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3814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66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6426D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B685D"/>
    <w:multiLevelType w:val="multilevel"/>
    <w:tmpl w:val="F418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404D5B"/>
    <w:multiLevelType w:val="hybridMultilevel"/>
    <w:tmpl w:val="D062C8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0A4476"/>
    <w:multiLevelType w:val="hybridMultilevel"/>
    <w:tmpl w:val="F5D2F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00007A"/>
    <w:multiLevelType w:val="multilevel"/>
    <w:tmpl w:val="E198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35519A"/>
    <w:multiLevelType w:val="hybridMultilevel"/>
    <w:tmpl w:val="62C816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6EDA31EC">
      <w:start w:val="5"/>
      <w:numFmt w:val="bullet"/>
      <w:lvlText w:val=""/>
      <w:lvlJc w:val="left"/>
      <w:pPr>
        <w:ind w:left="2160" w:hanging="360"/>
      </w:pPr>
      <w:rPr>
        <w:rFonts w:ascii="Franklin Gothic Book" w:eastAsiaTheme="minorHAnsi" w:hAnsi="Franklin Gothic Book"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0A4756"/>
    <w:multiLevelType w:val="hybridMultilevel"/>
    <w:tmpl w:val="DB340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E4E456"/>
    <w:multiLevelType w:val="hybridMultilevel"/>
    <w:tmpl w:val="F512580E"/>
    <w:lvl w:ilvl="0" w:tplc="770EF0F2">
      <w:start w:val="1"/>
      <w:numFmt w:val="decimal"/>
      <w:lvlText w:val="%1."/>
      <w:lvlJc w:val="left"/>
      <w:pPr>
        <w:ind w:left="720" w:hanging="360"/>
      </w:pPr>
    </w:lvl>
    <w:lvl w:ilvl="1" w:tplc="26E6C1A0">
      <w:start w:val="1"/>
      <w:numFmt w:val="lowerLetter"/>
      <w:lvlText w:val="%2."/>
      <w:lvlJc w:val="left"/>
      <w:pPr>
        <w:ind w:left="1440" w:hanging="360"/>
      </w:pPr>
    </w:lvl>
    <w:lvl w:ilvl="2" w:tplc="AD6C993A">
      <w:start w:val="1"/>
      <w:numFmt w:val="lowerRoman"/>
      <w:lvlText w:val="%3."/>
      <w:lvlJc w:val="right"/>
      <w:pPr>
        <w:ind w:left="2160" w:hanging="180"/>
      </w:pPr>
    </w:lvl>
    <w:lvl w:ilvl="3" w:tplc="B6B02C40">
      <w:start w:val="1"/>
      <w:numFmt w:val="decimal"/>
      <w:lvlText w:val="%4."/>
      <w:lvlJc w:val="left"/>
      <w:pPr>
        <w:ind w:left="2880" w:hanging="360"/>
      </w:pPr>
    </w:lvl>
    <w:lvl w:ilvl="4" w:tplc="E2905040">
      <w:start w:val="1"/>
      <w:numFmt w:val="lowerLetter"/>
      <w:lvlText w:val="%5."/>
      <w:lvlJc w:val="left"/>
      <w:pPr>
        <w:ind w:left="3600" w:hanging="360"/>
      </w:pPr>
    </w:lvl>
    <w:lvl w:ilvl="5" w:tplc="3F2CD762">
      <w:start w:val="1"/>
      <w:numFmt w:val="lowerRoman"/>
      <w:lvlText w:val="%6."/>
      <w:lvlJc w:val="right"/>
      <w:pPr>
        <w:ind w:left="4320" w:hanging="180"/>
      </w:pPr>
    </w:lvl>
    <w:lvl w:ilvl="6" w:tplc="52529C2E">
      <w:start w:val="1"/>
      <w:numFmt w:val="decimal"/>
      <w:lvlText w:val="%7."/>
      <w:lvlJc w:val="left"/>
      <w:pPr>
        <w:ind w:left="5040" w:hanging="360"/>
      </w:pPr>
    </w:lvl>
    <w:lvl w:ilvl="7" w:tplc="3CDE8400">
      <w:start w:val="1"/>
      <w:numFmt w:val="lowerLetter"/>
      <w:lvlText w:val="%8."/>
      <w:lvlJc w:val="left"/>
      <w:pPr>
        <w:ind w:left="5760" w:hanging="360"/>
      </w:pPr>
    </w:lvl>
    <w:lvl w:ilvl="8" w:tplc="7E146856">
      <w:start w:val="1"/>
      <w:numFmt w:val="lowerRoman"/>
      <w:lvlText w:val="%9."/>
      <w:lvlJc w:val="right"/>
      <w:pPr>
        <w:ind w:left="6480" w:hanging="180"/>
      </w:pPr>
    </w:lvl>
  </w:abstractNum>
  <w:abstractNum w:abstractNumId="18" w15:restartNumberingAfterBreak="0">
    <w:nsid w:val="237C0EE4"/>
    <w:multiLevelType w:val="multilevel"/>
    <w:tmpl w:val="FEE071C8"/>
    <w:styleLink w:val="ESSectionheading-numbered"/>
    <w:lvl w:ilvl="0">
      <w:start w:val="1"/>
      <w:numFmt w:val="none"/>
      <w:lvlText w:val="A.1"/>
      <w:lvlJc w:val="left"/>
      <w:pPr>
        <w:ind w:left="1134" w:hanging="1134"/>
      </w:pPr>
      <w:rPr>
        <w:rFonts w:ascii="Calibri" w:hAnsi="Calibri" w:hint="default"/>
        <w:b/>
        <w:i w:val="0"/>
        <w:color w:val="auto"/>
        <w:sz w:val="24"/>
      </w:rPr>
    </w:lvl>
    <w:lvl w:ilvl="1">
      <w:start w:val="1"/>
      <w:numFmt w:val="decimal"/>
      <w:lvlText w:val="B.%2."/>
      <w:lvlJc w:val="left"/>
      <w:pPr>
        <w:ind w:left="1134" w:hanging="1134"/>
      </w:pPr>
      <w:rPr>
        <w:rFonts w:ascii="Calibri" w:hAnsi="Calibri" w:hint="default"/>
        <w:b/>
        <w:i w:val="0"/>
        <w:sz w:val="24"/>
      </w:rPr>
    </w:lvl>
    <w:lvl w:ilvl="2">
      <w:start w:val="1"/>
      <w:numFmt w:val="decimal"/>
      <w:lvlText w:val="C.%3."/>
      <w:lvlJc w:val="left"/>
      <w:pPr>
        <w:ind w:left="1134" w:hanging="1134"/>
      </w:pPr>
      <w:rPr>
        <w:rFonts w:ascii="Calibri" w:hAnsi="Calibri" w:hint="default"/>
        <w:b/>
        <w:i w:val="0"/>
        <w:sz w:val="24"/>
      </w:rPr>
    </w:lvl>
    <w:lvl w:ilvl="3">
      <w:start w:val="1"/>
      <w:numFmt w:val="decimal"/>
      <w:lvlText w:val="D.%4."/>
      <w:lvlJc w:val="left"/>
      <w:pPr>
        <w:ind w:left="1134" w:hanging="1134"/>
      </w:pPr>
      <w:rPr>
        <w:rFonts w:ascii="Calibri" w:hAnsi="Calibri" w:hint="default"/>
        <w:b/>
        <w:i w:val="0"/>
        <w:sz w:val="24"/>
      </w:rPr>
    </w:lvl>
    <w:lvl w:ilvl="4">
      <w:start w:val="1"/>
      <w:numFmt w:val="decimal"/>
      <w:lvlText w:val="E.%5."/>
      <w:lvlJc w:val="left"/>
      <w:pPr>
        <w:ind w:left="1134" w:hanging="1134"/>
      </w:pPr>
      <w:rPr>
        <w:rFonts w:ascii="Calibri" w:hAnsi="Calibri" w:hint="default"/>
        <w:b/>
        <w:i w:val="0"/>
        <w:sz w:val="24"/>
      </w:rPr>
    </w:lvl>
    <w:lvl w:ilvl="5">
      <w:start w:val="1"/>
      <w:numFmt w:val="decimal"/>
      <w:lvlText w:val="A.%6"/>
      <w:lvlJc w:val="left"/>
      <w:pPr>
        <w:ind w:left="1134" w:hanging="1134"/>
      </w:pPr>
      <w:rPr>
        <w:rFonts w:ascii="Calibri" w:hAnsi="Calibri" w:hint="default"/>
        <w:b/>
        <w:i w:val="0"/>
        <w:color w:val="auto"/>
        <w:sz w:val="24"/>
      </w:rPr>
    </w:lvl>
    <w:lvl w:ilvl="6">
      <w:start w:val="1"/>
      <w:numFmt w:val="none"/>
      <w:lvlText w:val=""/>
      <w:lvlJc w:val="left"/>
      <w:pPr>
        <w:ind w:left="1134" w:hanging="1134"/>
      </w:pPr>
      <w:rPr>
        <w:rFonts w:ascii="Calibri" w:hAnsi="Calibri" w:hint="default"/>
        <w:b/>
        <w:i w:val="0"/>
        <w:sz w:val="24"/>
      </w:rPr>
    </w:lvl>
    <w:lvl w:ilvl="7">
      <w:start w:val="1"/>
      <w:numFmt w:val="none"/>
      <w:lvlText w:val="%8"/>
      <w:lvlJc w:val="left"/>
      <w:pPr>
        <w:ind w:left="1134" w:hanging="1134"/>
      </w:pPr>
      <w:rPr>
        <w:rFonts w:hint="default"/>
      </w:rPr>
    </w:lvl>
    <w:lvl w:ilvl="8">
      <w:start w:val="1"/>
      <w:numFmt w:val="none"/>
      <w:lvlText w:val="%9"/>
      <w:lvlJc w:val="right"/>
      <w:pPr>
        <w:ind w:left="1134" w:hanging="1134"/>
      </w:pPr>
      <w:rPr>
        <w:rFonts w:hint="default"/>
      </w:rPr>
    </w:lvl>
  </w:abstractNum>
  <w:abstractNum w:abstractNumId="19"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EE085C"/>
    <w:multiLevelType w:val="hybridMultilevel"/>
    <w:tmpl w:val="ACAA92DE"/>
    <w:lvl w:ilvl="0" w:tplc="EEE09208">
      <w:start w:val="1"/>
      <w:numFmt w:val="bullet"/>
      <w:lvlText w:val=""/>
      <w:lvlJc w:val="left"/>
      <w:pPr>
        <w:ind w:left="720" w:hanging="360"/>
      </w:pPr>
      <w:rPr>
        <w:rFonts w:ascii="Symbol" w:hAnsi="Symbol"/>
      </w:rPr>
    </w:lvl>
    <w:lvl w:ilvl="1" w:tplc="C2D03B32">
      <w:start w:val="1"/>
      <w:numFmt w:val="bullet"/>
      <w:lvlText w:val=""/>
      <w:lvlJc w:val="left"/>
      <w:pPr>
        <w:ind w:left="720" w:hanging="360"/>
      </w:pPr>
      <w:rPr>
        <w:rFonts w:ascii="Symbol" w:hAnsi="Symbol"/>
      </w:rPr>
    </w:lvl>
    <w:lvl w:ilvl="2" w:tplc="439C3D84">
      <w:start w:val="1"/>
      <w:numFmt w:val="bullet"/>
      <w:lvlText w:val=""/>
      <w:lvlJc w:val="left"/>
      <w:pPr>
        <w:ind w:left="720" w:hanging="360"/>
      </w:pPr>
      <w:rPr>
        <w:rFonts w:ascii="Symbol" w:hAnsi="Symbol"/>
      </w:rPr>
    </w:lvl>
    <w:lvl w:ilvl="3" w:tplc="6FCEBDA0">
      <w:start w:val="1"/>
      <w:numFmt w:val="bullet"/>
      <w:lvlText w:val=""/>
      <w:lvlJc w:val="left"/>
      <w:pPr>
        <w:ind w:left="720" w:hanging="360"/>
      </w:pPr>
      <w:rPr>
        <w:rFonts w:ascii="Symbol" w:hAnsi="Symbol"/>
      </w:rPr>
    </w:lvl>
    <w:lvl w:ilvl="4" w:tplc="5CEE9DC2">
      <w:start w:val="1"/>
      <w:numFmt w:val="bullet"/>
      <w:lvlText w:val=""/>
      <w:lvlJc w:val="left"/>
      <w:pPr>
        <w:ind w:left="720" w:hanging="360"/>
      </w:pPr>
      <w:rPr>
        <w:rFonts w:ascii="Symbol" w:hAnsi="Symbol"/>
      </w:rPr>
    </w:lvl>
    <w:lvl w:ilvl="5" w:tplc="AE30F49E">
      <w:start w:val="1"/>
      <w:numFmt w:val="bullet"/>
      <w:lvlText w:val=""/>
      <w:lvlJc w:val="left"/>
      <w:pPr>
        <w:ind w:left="720" w:hanging="360"/>
      </w:pPr>
      <w:rPr>
        <w:rFonts w:ascii="Symbol" w:hAnsi="Symbol"/>
      </w:rPr>
    </w:lvl>
    <w:lvl w:ilvl="6" w:tplc="0A56D640">
      <w:start w:val="1"/>
      <w:numFmt w:val="bullet"/>
      <w:lvlText w:val=""/>
      <w:lvlJc w:val="left"/>
      <w:pPr>
        <w:ind w:left="720" w:hanging="360"/>
      </w:pPr>
      <w:rPr>
        <w:rFonts w:ascii="Symbol" w:hAnsi="Symbol"/>
      </w:rPr>
    </w:lvl>
    <w:lvl w:ilvl="7" w:tplc="FF82E7C4">
      <w:start w:val="1"/>
      <w:numFmt w:val="bullet"/>
      <w:lvlText w:val=""/>
      <w:lvlJc w:val="left"/>
      <w:pPr>
        <w:ind w:left="720" w:hanging="360"/>
      </w:pPr>
      <w:rPr>
        <w:rFonts w:ascii="Symbol" w:hAnsi="Symbol"/>
      </w:rPr>
    </w:lvl>
    <w:lvl w:ilvl="8" w:tplc="D298CFBE">
      <w:start w:val="1"/>
      <w:numFmt w:val="bullet"/>
      <w:lvlText w:val=""/>
      <w:lvlJc w:val="left"/>
      <w:pPr>
        <w:ind w:left="720" w:hanging="360"/>
      </w:pPr>
      <w:rPr>
        <w:rFonts w:ascii="Symbol" w:hAnsi="Symbol"/>
      </w:rPr>
    </w:lvl>
  </w:abstractNum>
  <w:abstractNum w:abstractNumId="21" w15:restartNumberingAfterBreak="0">
    <w:nsid w:val="280E5E56"/>
    <w:multiLevelType w:val="hybridMultilevel"/>
    <w:tmpl w:val="B2726862"/>
    <w:lvl w:ilvl="0" w:tplc="F4BEAF9C">
      <w:start w:val="1"/>
      <w:numFmt w:val="decimal"/>
      <w:lvlText w:val="%1."/>
      <w:lvlJc w:val="left"/>
      <w:pPr>
        <w:ind w:left="720" w:hanging="360"/>
      </w:pPr>
    </w:lvl>
    <w:lvl w:ilvl="1" w:tplc="8470652C">
      <w:start w:val="1"/>
      <w:numFmt w:val="lowerLetter"/>
      <w:lvlText w:val="%2."/>
      <w:lvlJc w:val="left"/>
      <w:pPr>
        <w:ind w:left="1440" w:hanging="360"/>
      </w:pPr>
    </w:lvl>
    <w:lvl w:ilvl="2" w:tplc="AE301AA6">
      <w:start w:val="1"/>
      <w:numFmt w:val="lowerRoman"/>
      <w:lvlText w:val="%3."/>
      <w:lvlJc w:val="right"/>
      <w:pPr>
        <w:ind w:left="2160" w:hanging="180"/>
      </w:pPr>
    </w:lvl>
    <w:lvl w:ilvl="3" w:tplc="9D52E348">
      <w:start w:val="1"/>
      <w:numFmt w:val="decimal"/>
      <w:lvlText w:val="%4."/>
      <w:lvlJc w:val="left"/>
      <w:pPr>
        <w:ind w:left="2880" w:hanging="360"/>
      </w:pPr>
    </w:lvl>
    <w:lvl w:ilvl="4" w:tplc="DE0C149C">
      <w:start w:val="1"/>
      <w:numFmt w:val="lowerLetter"/>
      <w:lvlText w:val="%5."/>
      <w:lvlJc w:val="left"/>
      <w:pPr>
        <w:ind w:left="3600" w:hanging="360"/>
      </w:pPr>
    </w:lvl>
    <w:lvl w:ilvl="5" w:tplc="EEB428CC">
      <w:start w:val="1"/>
      <w:numFmt w:val="lowerRoman"/>
      <w:lvlText w:val="%6."/>
      <w:lvlJc w:val="right"/>
      <w:pPr>
        <w:ind w:left="4320" w:hanging="180"/>
      </w:pPr>
    </w:lvl>
    <w:lvl w:ilvl="6" w:tplc="81B0D876">
      <w:start w:val="1"/>
      <w:numFmt w:val="decimal"/>
      <w:lvlText w:val="%7."/>
      <w:lvlJc w:val="left"/>
      <w:pPr>
        <w:ind w:left="5040" w:hanging="360"/>
      </w:pPr>
    </w:lvl>
    <w:lvl w:ilvl="7" w:tplc="B194FAC2">
      <w:start w:val="1"/>
      <w:numFmt w:val="lowerLetter"/>
      <w:lvlText w:val="%8."/>
      <w:lvlJc w:val="left"/>
      <w:pPr>
        <w:ind w:left="5760" w:hanging="360"/>
      </w:pPr>
    </w:lvl>
    <w:lvl w:ilvl="8" w:tplc="9AD0A17C">
      <w:start w:val="1"/>
      <w:numFmt w:val="lowerRoman"/>
      <w:lvlText w:val="%9."/>
      <w:lvlJc w:val="right"/>
      <w:pPr>
        <w:ind w:left="6480" w:hanging="180"/>
      </w:pPr>
    </w:lvl>
  </w:abstractNum>
  <w:abstractNum w:abstractNumId="22" w15:restartNumberingAfterBreak="0">
    <w:nsid w:val="2A5E246B"/>
    <w:multiLevelType w:val="hybridMultilevel"/>
    <w:tmpl w:val="C4F2253C"/>
    <w:lvl w:ilvl="0" w:tplc="B0E28340">
      <w:start w:val="1"/>
      <w:numFmt w:val="decimal"/>
      <w:pStyle w:val="ESHeading1"/>
      <w:lvlText w:val="%1."/>
      <w:lvlJc w:val="left"/>
      <w:pPr>
        <w:ind w:left="216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4371DC"/>
    <w:multiLevelType w:val="multilevel"/>
    <w:tmpl w:val="4A02812C"/>
    <w:lvl w:ilvl="0">
      <w:start w:val="1"/>
      <w:numFmt w:val="decimal"/>
      <w:pStyle w:val="Heading1"/>
      <w:lvlText w:val="Section %1"/>
      <w:lvlJc w:val="left"/>
      <w:pPr>
        <w:ind w:left="786" w:hanging="360"/>
      </w:pPr>
      <w:rPr>
        <w:rFonts w:hint="default"/>
      </w:rPr>
    </w:lvl>
    <w:lvl w:ilvl="1">
      <w:start w:val="1"/>
      <w:numFmt w:val="decimal"/>
      <w:lvlText w:val="%1.%2"/>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48B074B"/>
    <w:multiLevelType w:val="hybridMultilevel"/>
    <w:tmpl w:val="0F544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6FB0BE9"/>
    <w:multiLevelType w:val="multilevel"/>
    <w:tmpl w:val="14FA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BF4C71"/>
    <w:multiLevelType w:val="hybridMultilevel"/>
    <w:tmpl w:val="CA384916"/>
    <w:lvl w:ilvl="0" w:tplc="509855D8">
      <w:start w:val="1"/>
      <w:numFmt w:val="decimal"/>
      <w:lvlText w:val="%1."/>
      <w:lvlJc w:val="left"/>
      <w:pPr>
        <w:ind w:left="720" w:hanging="360"/>
      </w:pPr>
    </w:lvl>
    <w:lvl w:ilvl="1" w:tplc="9782E738">
      <w:start w:val="1"/>
      <w:numFmt w:val="lowerLetter"/>
      <w:lvlText w:val="%2."/>
      <w:lvlJc w:val="left"/>
      <w:pPr>
        <w:ind w:left="1440" w:hanging="360"/>
      </w:pPr>
    </w:lvl>
    <w:lvl w:ilvl="2" w:tplc="E2FEE8D6">
      <w:start w:val="1"/>
      <w:numFmt w:val="lowerRoman"/>
      <w:lvlText w:val="%3."/>
      <w:lvlJc w:val="right"/>
      <w:pPr>
        <w:ind w:left="2160" w:hanging="180"/>
      </w:pPr>
    </w:lvl>
    <w:lvl w:ilvl="3" w:tplc="0AA4AFFE">
      <w:start w:val="1"/>
      <w:numFmt w:val="decimal"/>
      <w:lvlText w:val="%4."/>
      <w:lvlJc w:val="left"/>
      <w:pPr>
        <w:ind w:left="2880" w:hanging="360"/>
      </w:pPr>
    </w:lvl>
    <w:lvl w:ilvl="4" w:tplc="4364DFB8">
      <w:start w:val="1"/>
      <w:numFmt w:val="lowerLetter"/>
      <w:lvlText w:val="%5."/>
      <w:lvlJc w:val="left"/>
      <w:pPr>
        <w:ind w:left="3600" w:hanging="360"/>
      </w:pPr>
    </w:lvl>
    <w:lvl w:ilvl="5" w:tplc="421A68E6">
      <w:start w:val="1"/>
      <w:numFmt w:val="lowerRoman"/>
      <w:lvlText w:val="%6."/>
      <w:lvlJc w:val="right"/>
      <w:pPr>
        <w:ind w:left="4320" w:hanging="180"/>
      </w:pPr>
    </w:lvl>
    <w:lvl w:ilvl="6" w:tplc="CE9CDD5E">
      <w:start w:val="1"/>
      <w:numFmt w:val="decimal"/>
      <w:lvlText w:val="%7."/>
      <w:lvlJc w:val="left"/>
      <w:pPr>
        <w:ind w:left="5040" w:hanging="360"/>
      </w:pPr>
    </w:lvl>
    <w:lvl w:ilvl="7" w:tplc="E3ACC474">
      <w:start w:val="1"/>
      <w:numFmt w:val="lowerLetter"/>
      <w:lvlText w:val="%8."/>
      <w:lvlJc w:val="left"/>
      <w:pPr>
        <w:ind w:left="5760" w:hanging="360"/>
      </w:pPr>
    </w:lvl>
    <w:lvl w:ilvl="8" w:tplc="22C09A18">
      <w:start w:val="1"/>
      <w:numFmt w:val="lowerRoman"/>
      <w:lvlText w:val="%9."/>
      <w:lvlJc w:val="right"/>
      <w:pPr>
        <w:ind w:left="6480" w:hanging="180"/>
      </w:pPr>
    </w:lvl>
  </w:abstractNum>
  <w:abstractNum w:abstractNumId="28" w15:restartNumberingAfterBreak="0">
    <w:nsid w:val="3E922DCF"/>
    <w:multiLevelType w:val="hybridMultilevel"/>
    <w:tmpl w:val="157A3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0D1411"/>
    <w:multiLevelType w:val="multilevel"/>
    <w:tmpl w:val="FFE8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6932896"/>
    <w:multiLevelType w:val="hybridMultilevel"/>
    <w:tmpl w:val="8A705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7095746"/>
    <w:multiLevelType w:val="hybridMultilevel"/>
    <w:tmpl w:val="BE986C44"/>
    <w:lvl w:ilvl="0" w:tplc="A26EFB64">
      <w:start w:val="1"/>
      <w:numFmt w:val="bullet"/>
      <w:pStyle w:val="Instructionaltext-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470B368D"/>
    <w:multiLevelType w:val="hybridMultilevel"/>
    <w:tmpl w:val="53CC5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2C09DA"/>
    <w:multiLevelType w:val="multilevel"/>
    <w:tmpl w:val="2642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FB5319"/>
    <w:multiLevelType w:val="hybridMultilevel"/>
    <w:tmpl w:val="429A6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2F66955"/>
    <w:multiLevelType w:val="hybridMultilevel"/>
    <w:tmpl w:val="5BC4E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4A03A91"/>
    <w:multiLevelType w:val="hybridMultilevel"/>
    <w:tmpl w:val="32C63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9647EA"/>
    <w:multiLevelType w:val="hybridMultilevel"/>
    <w:tmpl w:val="4872C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2239FE"/>
    <w:multiLevelType w:val="multilevel"/>
    <w:tmpl w:val="27DA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7A7F84"/>
    <w:multiLevelType w:val="multilevel"/>
    <w:tmpl w:val="82A2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D07584"/>
    <w:multiLevelType w:val="hybridMultilevel"/>
    <w:tmpl w:val="29482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B426E5"/>
    <w:multiLevelType w:val="multilevel"/>
    <w:tmpl w:val="9632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D81F07"/>
    <w:multiLevelType w:val="multilevel"/>
    <w:tmpl w:val="F86E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BC74F1"/>
    <w:multiLevelType w:val="hybridMultilevel"/>
    <w:tmpl w:val="08F86D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7F9604E"/>
    <w:multiLevelType w:val="hybridMultilevel"/>
    <w:tmpl w:val="91B43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AC812BF"/>
    <w:multiLevelType w:val="hybridMultilevel"/>
    <w:tmpl w:val="B1FA5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ACC3978"/>
    <w:multiLevelType w:val="hybridMultilevel"/>
    <w:tmpl w:val="C25CC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C935750"/>
    <w:multiLevelType w:val="hybridMultilevel"/>
    <w:tmpl w:val="E1CCF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F181516"/>
    <w:multiLevelType w:val="hybridMultilevel"/>
    <w:tmpl w:val="FF9EE7EA"/>
    <w:lvl w:ilvl="0" w:tplc="99525AAE">
      <w:start w:val="1"/>
      <w:numFmt w:val="decimal"/>
      <w:pStyle w:val="Nnumberedlist"/>
      <w:lvlText w:val="%1."/>
      <w:lvlJc w:val="left"/>
      <w:pPr>
        <w:tabs>
          <w:tab w:val="num" w:pos="1440"/>
        </w:tabs>
        <w:ind w:left="1440" w:hanging="360"/>
      </w:pPr>
    </w:lvl>
    <w:lvl w:ilvl="1" w:tplc="389C2200" w:tentative="1">
      <w:start w:val="1"/>
      <w:numFmt w:val="lowerLetter"/>
      <w:lvlText w:val="%2."/>
      <w:lvlJc w:val="left"/>
      <w:pPr>
        <w:tabs>
          <w:tab w:val="num" w:pos="2160"/>
        </w:tabs>
        <w:ind w:left="2160" w:hanging="360"/>
      </w:pPr>
    </w:lvl>
    <w:lvl w:ilvl="2" w:tplc="C3F8B188" w:tentative="1">
      <w:start w:val="1"/>
      <w:numFmt w:val="lowerRoman"/>
      <w:lvlText w:val="%3."/>
      <w:lvlJc w:val="right"/>
      <w:pPr>
        <w:tabs>
          <w:tab w:val="num" w:pos="2880"/>
        </w:tabs>
        <w:ind w:left="2880" w:hanging="180"/>
      </w:pPr>
    </w:lvl>
    <w:lvl w:ilvl="3" w:tplc="391E97F0" w:tentative="1">
      <w:start w:val="1"/>
      <w:numFmt w:val="decimal"/>
      <w:lvlText w:val="%4."/>
      <w:lvlJc w:val="left"/>
      <w:pPr>
        <w:tabs>
          <w:tab w:val="num" w:pos="3600"/>
        </w:tabs>
        <w:ind w:left="3600" w:hanging="360"/>
      </w:pPr>
    </w:lvl>
    <w:lvl w:ilvl="4" w:tplc="4F42265E" w:tentative="1">
      <w:start w:val="1"/>
      <w:numFmt w:val="lowerLetter"/>
      <w:lvlText w:val="%5."/>
      <w:lvlJc w:val="left"/>
      <w:pPr>
        <w:tabs>
          <w:tab w:val="num" w:pos="4320"/>
        </w:tabs>
        <w:ind w:left="4320" w:hanging="360"/>
      </w:pPr>
    </w:lvl>
    <w:lvl w:ilvl="5" w:tplc="30546058" w:tentative="1">
      <w:start w:val="1"/>
      <w:numFmt w:val="lowerRoman"/>
      <w:lvlText w:val="%6."/>
      <w:lvlJc w:val="right"/>
      <w:pPr>
        <w:tabs>
          <w:tab w:val="num" w:pos="5040"/>
        </w:tabs>
        <w:ind w:left="5040" w:hanging="180"/>
      </w:pPr>
    </w:lvl>
    <w:lvl w:ilvl="6" w:tplc="6E10F0C6" w:tentative="1">
      <w:start w:val="1"/>
      <w:numFmt w:val="decimal"/>
      <w:lvlText w:val="%7."/>
      <w:lvlJc w:val="left"/>
      <w:pPr>
        <w:tabs>
          <w:tab w:val="num" w:pos="5760"/>
        </w:tabs>
        <w:ind w:left="5760" w:hanging="360"/>
      </w:pPr>
    </w:lvl>
    <w:lvl w:ilvl="7" w:tplc="70B07B9C" w:tentative="1">
      <w:start w:val="1"/>
      <w:numFmt w:val="lowerLetter"/>
      <w:lvlText w:val="%8."/>
      <w:lvlJc w:val="left"/>
      <w:pPr>
        <w:tabs>
          <w:tab w:val="num" w:pos="6480"/>
        </w:tabs>
        <w:ind w:left="6480" w:hanging="360"/>
      </w:pPr>
    </w:lvl>
    <w:lvl w:ilvl="8" w:tplc="9BF48AAC" w:tentative="1">
      <w:start w:val="1"/>
      <w:numFmt w:val="lowerRoman"/>
      <w:lvlText w:val="%9."/>
      <w:lvlJc w:val="right"/>
      <w:pPr>
        <w:tabs>
          <w:tab w:val="num" w:pos="7200"/>
        </w:tabs>
        <w:ind w:left="7200" w:hanging="180"/>
      </w:pPr>
    </w:lvl>
  </w:abstractNum>
  <w:num w:numId="1" w16cid:durableId="1447578162">
    <w:abstractNumId w:val="17"/>
  </w:num>
  <w:num w:numId="2" w16cid:durableId="797065566">
    <w:abstractNumId w:val="21"/>
  </w:num>
  <w:num w:numId="3" w16cid:durableId="191497129">
    <w:abstractNumId w:val="27"/>
  </w:num>
  <w:num w:numId="4" w16cid:durableId="1749109160">
    <w:abstractNumId w:val="24"/>
  </w:num>
  <w:num w:numId="5" w16cid:durableId="1270162788">
    <w:abstractNumId w:val="49"/>
  </w:num>
  <w:num w:numId="6" w16cid:durableId="1754930659">
    <w:abstractNumId w:val="12"/>
  </w:num>
  <w:num w:numId="7" w16cid:durableId="410388863">
    <w:abstractNumId w:val="18"/>
  </w:num>
  <w:num w:numId="8" w16cid:durableId="1821774551">
    <w:abstractNumId w:val="45"/>
  </w:num>
  <w:num w:numId="9" w16cid:durableId="758334604">
    <w:abstractNumId w:val="19"/>
  </w:num>
  <w:num w:numId="10" w16cid:durableId="1414619933">
    <w:abstractNumId w:val="22"/>
  </w:num>
  <w:num w:numId="11" w16cid:durableId="747844684">
    <w:abstractNumId w:val="23"/>
  </w:num>
  <w:num w:numId="12" w16cid:durableId="1180662619">
    <w:abstractNumId w:val="31"/>
  </w:num>
  <w:num w:numId="13" w16cid:durableId="2096659368">
    <w:abstractNumId w:val="28"/>
  </w:num>
  <w:num w:numId="14" w16cid:durableId="212737770">
    <w:abstractNumId w:val="25"/>
  </w:num>
  <w:num w:numId="15" w16cid:durableId="1133015261">
    <w:abstractNumId w:val="13"/>
  </w:num>
  <w:num w:numId="16" w16cid:durableId="1346782184">
    <w:abstractNumId w:val="40"/>
  </w:num>
  <w:num w:numId="17" w16cid:durableId="1854954356">
    <w:abstractNumId w:val="32"/>
  </w:num>
  <w:num w:numId="18" w16cid:durableId="1563172193">
    <w:abstractNumId w:val="30"/>
  </w:num>
  <w:num w:numId="19" w16cid:durableId="92869532">
    <w:abstractNumId w:val="44"/>
  </w:num>
  <w:num w:numId="20" w16cid:durableId="838741141">
    <w:abstractNumId w:val="15"/>
  </w:num>
  <w:num w:numId="21" w16cid:durableId="478352513">
    <w:abstractNumId w:val="35"/>
  </w:num>
  <w:num w:numId="22" w16cid:durableId="236209609">
    <w:abstractNumId w:val="48"/>
  </w:num>
  <w:num w:numId="23" w16cid:durableId="355619777">
    <w:abstractNumId w:val="37"/>
  </w:num>
  <w:num w:numId="24" w16cid:durableId="819230880">
    <w:abstractNumId w:val="11"/>
  </w:num>
  <w:num w:numId="25" w16cid:durableId="1839729549">
    <w:abstractNumId w:val="34"/>
  </w:num>
  <w:num w:numId="26" w16cid:durableId="1198157846">
    <w:abstractNumId w:val="36"/>
  </w:num>
  <w:num w:numId="27" w16cid:durableId="939145452">
    <w:abstractNumId w:val="46"/>
  </w:num>
  <w:num w:numId="28" w16cid:durableId="1107888992">
    <w:abstractNumId w:val="16"/>
  </w:num>
  <w:num w:numId="29" w16cid:durableId="1805929960">
    <w:abstractNumId w:val="43"/>
  </w:num>
  <w:num w:numId="30" w16cid:durableId="1984432096">
    <w:abstractNumId w:val="14"/>
  </w:num>
  <w:num w:numId="31" w16cid:durableId="374622845">
    <w:abstractNumId w:val="33"/>
  </w:num>
  <w:num w:numId="32" w16cid:durableId="19667375">
    <w:abstractNumId w:val="42"/>
  </w:num>
  <w:num w:numId="33" w16cid:durableId="610479072">
    <w:abstractNumId w:val="10"/>
  </w:num>
  <w:num w:numId="34" w16cid:durableId="1480613402">
    <w:abstractNumId w:val="41"/>
  </w:num>
  <w:num w:numId="35" w16cid:durableId="1977175249">
    <w:abstractNumId w:val="38"/>
  </w:num>
  <w:num w:numId="36" w16cid:durableId="626669987">
    <w:abstractNumId w:val="26"/>
  </w:num>
  <w:num w:numId="37" w16cid:durableId="1391533202">
    <w:abstractNumId w:val="39"/>
  </w:num>
  <w:num w:numId="38" w16cid:durableId="99226232">
    <w:abstractNumId w:val="29"/>
  </w:num>
  <w:num w:numId="39" w16cid:durableId="2029868200">
    <w:abstractNumId w:val="47"/>
  </w:num>
  <w:num w:numId="40" w16cid:durableId="480192306">
    <w:abstractNumId w:val="20"/>
  </w:num>
  <w:num w:numId="41" w16cid:durableId="477654094">
    <w:abstractNumId w:val="9"/>
  </w:num>
  <w:num w:numId="42" w16cid:durableId="135223806">
    <w:abstractNumId w:val="7"/>
  </w:num>
  <w:num w:numId="43" w16cid:durableId="1364938572">
    <w:abstractNumId w:val="6"/>
  </w:num>
  <w:num w:numId="44" w16cid:durableId="1805388018">
    <w:abstractNumId w:val="5"/>
  </w:num>
  <w:num w:numId="45" w16cid:durableId="2001228406">
    <w:abstractNumId w:val="4"/>
  </w:num>
  <w:num w:numId="46" w16cid:durableId="1196043286">
    <w:abstractNumId w:val="8"/>
  </w:num>
  <w:num w:numId="47" w16cid:durableId="256254261">
    <w:abstractNumId w:val="3"/>
  </w:num>
  <w:num w:numId="48" w16cid:durableId="712075016">
    <w:abstractNumId w:val="2"/>
  </w:num>
  <w:num w:numId="49" w16cid:durableId="1985964465">
    <w:abstractNumId w:val="1"/>
  </w:num>
  <w:num w:numId="50" w16cid:durableId="2106731689">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Harvard UofA (Style Manual Australia 6th edn) + DOI&lt;/Style&gt;&lt;LeftDelim&gt;{&lt;/LeftDelim&gt;&lt;RightDelim&gt;}&lt;/RightDelim&gt;&lt;FontName&gt;Franklin Gothic Book&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8157F1"/>
    <w:rsid w:val="00000617"/>
    <w:rsid w:val="00000C16"/>
    <w:rsid w:val="00000FBD"/>
    <w:rsid w:val="0000109A"/>
    <w:rsid w:val="0000192C"/>
    <w:rsid w:val="00001AE6"/>
    <w:rsid w:val="00001D55"/>
    <w:rsid w:val="000023CC"/>
    <w:rsid w:val="000026AF"/>
    <w:rsid w:val="000028B6"/>
    <w:rsid w:val="00002D64"/>
    <w:rsid w:val="00002F0C"/>
    <w:rsid w:val="00003BFF"/>
    <w:rsid w:val="000040A1"/>
    <w:rsid w:val="0000439C"/>
    <w:rsid w:val="00004D69"/>
    <w:rsid w:val="00004F7F"/>
    <w:rsid w:val="000051C5"/>
    <w:rsid w:val="000054C9"/>
    <w:rsid w:val="00005CAE"/>
    <w:rsid w:val="00006151"/>
    <w:rsid w:val="000067A4"/>
    <w:rsid w:val="00006840"/>
    <w:rsid w:val="00006B25"/>
    <w:rsid w:val="000078B9"/>
    <w:rsid w:val="0001053A"/>
    <w:rsid w:val="0001145C"/>
    <w:rsid w:val="00011568"/>
    <w:rsid w:val="0001186C"/>
    <w:rsid w:val="00012928"/>
    <w:rsid w:val="00013F22"/>
    <w:rsid w:val="00014172"/>
    <w:rsid w:val="00014412"/>
    <w:rsid w:val="000147DF"/>
    <w:rsid w:val="00014974"/>
    <w:rsid w:val="00014A1D"/>
    <w:rsid w:val="00014D0C"/>
    <w:rsid w:val="00014E0C"/>
    <w:rsid w:val="000153D7"/>
    <w:rsid w:val="000162F5"/>
    <w:rsid w:val="00016431"/>
    <w:rsid w:val="000171A9"/>
    <w:rsid w:val="000175A4"/>
    <w:rsid w:val="00017B83"/>
    <w:rsid w:val="00017DFF"/>
    <w:rsid w:val="00020C8F"/>
    <w:rsid w:val="000212CD"/>
    <w:rsid w:val="00021439"/>
    <w:rsid w:val="00022207"/>
    <w:rsid w:val="000228B8"/>
    <w:rsid w:val="00022ADD"/>
    <w:rsid w:val="0002335D"/>
    <w:rsid w:val="000233D8"/>
    <w:rsid w:val="000237C9"/>
    <w:rsid w:val="0002381B"/>
    <w:rsid w:val="000241DE"/>
    <w:rsid w:val="00024EA5"/>
    <w:rsid w:val="000252B3"/>
    <w:rsid w:val="000259B6"/>
    <w:rsid w:val="00025D77"/>
    <w:rsid w:val="00025FFC"/>
    <w:rsid w:val="00026B36"/>
    <w:rsid w:val="00027513"/>
    <w:rsid w:val="0002755F"/>
    <w:rsid w:val="000275DE"/>
    <w:rsid w:val="000277EA"/>
    <w:rsid w:val="00027B48"/>
    <w:rsid w:val="00027CA0"/>
    <w:rsid w:val="00027EBF"/>
    <w:rsid w:val="00027F32"/>
    <w:rsid w:val="000300A6"/>
    <w:rsid w:val="000306E6"/>
    <w:rsid w:val="000313D4"/>
    <w:rsid w:val="000315FA"/>
    <w:rsid w:val="00031FD4"/>
    <w:rsid w:val="000322CB"/>
    <w:rsid w:val="000323C2"/>
    <w:rsid w:val="000329DF"/>
    <w:rsid w:val="000333CB"/>
    <w:rsid w:val="00033A5A"/>
    <w:rsid w:val="000340C8"/>
    <w:rsid w:val="0003423A"/>
    <w:rsid w:val="0003464F"/>
    <w:rsid w:val="0003477F"/>
    <w:rsid w:val="0003504B"/>
    <w:rsid w:val="000357C7"/>
    <w:rsid w:val="00036AD8"/>
    <w:rsid w:val="00037037"/>
    <w:rsid w:val="00037302"/>
    <w:rsid w:val="000375C9"/>
    <w:rsid w:val="0004005D"/>
    <w:rsid w:val="0004011B"/>
    <w:rsid w:val="0004074D"/>
    <w:rsid w:val="00040ADF"/>
    <w:rsid w:val="00040B48"/>
    <w:rsid w:val="00040DCE"/>
    <w:rsid w:val="00040FB4"/>
    <w:rsid w:val="000413C5"/>
    <w:rsid w:val="0004178C"/>
    <w:rsid w:val="00041F5D"/>
    <w:rsid w:val="00042250"/>
    <w:rsid w:val="000423C6"/>
    <w:rsid w:val="000425BF"/>
    <w:rsid w:val="0004264F"/>
    <w:rsid w:val="0004286F"/>
    <w:rsid w:val="00042A17"/>
    <w:rsid w:val="00042CB3"/>
    <w:rsid w:val="000432EC"/>
    <w:rsid w:val="000436F9"/>
    <w:rsid w:val="000439F7"/>
    <w:rsid w:val="00043A40"/>
    <w:rsid w:val="00043B2F"/>
    <w:rsid w:val="000443A6"/>
    <w:rsid w:val="000449D1"/>
    <w:rsid w:val="00045A27"/>
    <w:rsid w:val="00045B8D"/>
    <w:rsid w:val="00045CC5"/>
    <w:rsid w:val="000464C6"/>
    <w:rsid w:val="00046882"/>
    <w:rsid w:val="00046919"/>
    <w:rsid w:val="00046B6A"/>
    <w:rsid w:val="00046D73"/>
    <w:rsid w:val="0004707D"/>
    <w:rsid w:val="000470B1"/>
    <w:rsid w:val="000472D4"/>
    <w:rsid w:val="000473B0"/>
    <w:rsid w:val="000475E1"/>
    <w:rsid w:val="00047938"/>
    <w:rsid w:val="00047C84"/>
    <w:rsid w:val="00047D51"/>
    <w:rsid w:val="00047ED2"/>
    <w:rsid w:val="0005043A"/>
    <w:rsid w:val="00050678"/>
    <w:rsid w:val="00050C1F"/>
    <w:rsid w:val="00050D1C"/>
    <w:rsid w:val="00051447"/>
    <w:rsid w:val="00051BA4"/>
    <w:rsid w:val="0005225A"/>
    <w:rsid w:val="000524B3"/>
    <w:rsid w:val="00052DB7"/>
    <w:rsid w:val="00052DD3"/>
    <w:rsid w:val="0005326D"/>
    <w:rsid w:val="000535F2"/>
    <w:rsid w:val="000539F8"/>
    <w:rsid w:val="00053F6C"/>
    <w:rsid w:val="000550FD"/>
    <w:rsid w:val="00055F93"/>
    <w:rsid w:val="00056A55"/>
    <w:rsid w:val="000575C7"/>
    <w:rsid w:val="00057C88"/>
    <w:rsid w:val="000606D2"/>
    <w:rsid w:val="00060AA7"/>
    <w:rsid w:val="00060AD4"/>
    <w:rsid w:val="00060E13"/>
    <w:rsid w:val="00060F41"/>
    <w:rsid w:val="00060FB7"/>
    <w:rsid w:val="00061159"/>
    <w:rsid w:val="000615FB"/>
    <w:rsid w:val="0006215D"/>
    <w:rsid w:val="00062818"/>
    <w:rsid w:val="00062F8C"/>
    <w:rsid w:val="000632BC"/>
    <w:rsid w:val="0006334D"/>
    <w:rsid w:val="0006339C"/>
    <w:rsid w:val="00063563"/>
    <w:rsid w:val="00064783"/>
    <w:rsid w:val="000647C2"/>
    <w:rsid w:val="00065506"/>
    <w:rsid w:val="000659AC"/>
    <w:rsid w:val="00066243"/>
    <w:rsid w:val="0006663C"/>
    <w:rsid w:val="00066BAF"/>
    <w:rsid w:val="000672A3"/>
    <w:rsid w:val="000678B0"/>
    <w:rsid w:val="000701A5"/>
    <w:rsid w:val="0007021F"/>
    <w:rsid w:val="0007024C"/>
    <w:rsid w:val="00070250"/>
    <w:rsid w:val="00070754"/>
    <w:rsid w:val="000709A0"/>
    <w:rsid w:val="00070DE7"/>
    <w:rsid w:val="000713E8"/>
    <w:rsid w:val="000719FF"/>
    <w:rsid w:val="00072169"/>
    <w:rsid w:val="00072293"/>
    <w:rsid w:val="00072C4E"/>
    <w:rsid w:val="00072E56"/>
    <w:rsid w:val="00073775"/>
    <w:rsid w:val="00073BF3"/>
    <w:rsid w:val="00074156"/>
    <w:rsid w:val="0007416A"/>
    <w:rsid w:val="00074199"/>
    <w:rsid w:val="000744FD"/>
    <w:rsid w:val="00075E07"/>
    <w:rsid w:val="00076CB3"/>
    <w:rsid w:val="00077449"/>
    <w:rsid w:val="000776C7"/>
    <w:rsid w:val="00077BB2"/>
    <w:rsid w:val="00080241"/>
    <w:rsid w:val="00080A82"/>
    <w:rsid w:val="00080C24"/>
    <w:rsid w:val="00081226"/>
    <w:rsid w:val="000816C6"/>
    <w:rsid w:val="00081778"/>
    <w:rsid w:val="00082256"/>
    <w:rsid w:val="000823EB"/>
    <w:rsid w:val="00082462"/>
    <w:rsid w:val="00082842"/>
    <w:rsid w:val="00082FA5"/>
    <w:rsid w:val="000833C6"/>
    <w:rsid w:val="00083885"/>
    <w:rsid w:val="00083A49"/>
    <w:rsid w:val="00083C90"/>
    <w:rsid w:val="00084009"/>
    <w:rsid w:val="00084624"/>
    <w:rsid w:val="00084709"/>
    <w:rsid w:val="0008474B"/>
    <w:rsid w:val="00084B78"/>
    <w:rsid w:val="00084D54"/>
    <w:rsid w:val="000853AD"/>
    <w:rsid w:val="00085495"/>
    <w:rsid w:val="000857C3"/>
    <w:rsid w:val="00085D05"/>
    <w:rsid w:val="00086E90"/>
    <w:rsid w:val="000870B6"/>
    <w:rsid w:val="000871A7"/>
    <w:rsid w:val="00087565"/>
    <w:rsid w:val="0008780D"/>
    <w:rsid w:val="00087DE5"/>
    <w:rsid w:val="00087EA3"/>
    <w:rsid w:val="000903E6"/>
    <w:rsid w:val="00090613"/>
    <w:rsid w:val="00090682"/>
    <w:rsid w:val="00090841"/>
    <w:rsid w:val="00090BD1"/>
    <w:rsid w:val="00091077"/>
    <w:rsid w:val="00091211"/>
    <w:rsid w:val="00091857"/>
    <w:rsid w:val="00091949"/>
    <w:rsid w:val="00091C59"/>
    <w:rsid w:val="00092489"/>
    <w:rsid w:val="00092875"/>
    <w:rsid w:val="00092A21"/>
    <w:rsid w:val="00093653"/>
    <w:rsid w:val="00093A09"/>
    <w:rsid w:val="00093B1C"/>
    <w:rsid w:val="00093D9A"/>
    <w:rsid w:val="00093E2C"/>
    <w:rsid w:val="00094407"/>
    <w:rsid w:val="0009453D"/>
    <w:rsid w:val="00094656"/>
    <w:rsid w:val="000946CC"/>
    <w:rsid w:val="0009471E"/>
    <w:rsid w:val="00095217"/>
    <w:rsid w:val="000953CE"/>
    <w:rsid w:val="0009542B"/>
    <w:rsid w:val="0009552E"/>
    <w:rsid w:val="00095888"/>
    <w:rsid w:val="000958D8"/>
    <w:rsid w:val="0009596E"/>
    <w:rsid w:val="00096056"/>
    <w:rsid w:val="00096B52"/>
    <w:rsid w:val="00096B62"/>
    <w:rsid w:val="00097410"/>
    <w:rsid w:val="00097496"/>
    <w:rsid w:val="00097529"/>
    <w:rsid w:val="00097561"/>
    <w:rsid w:val="00097FA1"/>
    <w:rsid w:val="000A01FB"/>
    <w:rsid w:val="000A0234"/>
    <w:rsid w:val="000A049A"/>
    <w:rsid w:val="000A0571"/>
    <w:rsid w:val="000A0824"/>
    <w:rsid w:val="000A10BF"/>
    <w:rsid w:val="000A1544"/>
    <w:rsid w:val="000A198D"/>
    <w:rsid w:val="000A1B51"/>
    <w:rsid w:val="000A1F61"/>
    <w:rsid w:val="000A24CB"/>
    <w:rsid w:val="000A2ACD"/>
    <w:rsid w:val="000A2B65"/>
    <w:rsid w:val="000A2DA8"/>
    <w:rsid w:val="000A36A6"/>
    <w:rsid w:val="000A4171"/>
    <w:rsid w:val="000A41F0"/>
    <w:rsid w:val="000A4291"/>
    <w:rsid w:val="000A45E5"/>
    <w:rsid w:val="000A53AD"/>
    <w:rsid w:val="000A5494"/>
    <w:rsid w:val="000A54D4"/>
    <w:rsid w:val="000A5C47"/>
    <w:rsid w:val="000A5E5C"/>
    <w:rsid w:val="000A629E"/>
    <w:rsid w:val="000A6B30"/>
    <w:rsid w:val="000A7DA1"/>
    <w:rsid w:val="000A7E4D"/>
    <w:rsid w:val="000B0D88"/>
    <w:rsid w:val="000B1CC6"/>
    <w:rsid w:val="000B2654"/>
    <w:rsid w:val="000B30C8"/>
    <w:rsid w:val="000B32F8"/>
    <w:rsid w:val="000B3330"/>
    <w:rsid w:val="000B3B4B"/>
    <w:rsid w:val="000B3C21"/>
    <w:rsid w:val="000B3E12"/>
    <w:rsid w:val="000B4070"/>
    <w:rsid w:val="000B49AA"/>
    <w:rsid w:val="000B4CB6"/>
    <w:rsid w:val="000B5D04"/>
    <w:rsid w:val="000B6003"/>
    <w:rsid w:val="000B65C3"/>
    <w:rsid w:val="000B690C"/>
    <w:rsid w:val="000B6A37"/>
    <w:rsid w:val="000B6CF0"/>
    <w:rsid w:val="000B720C"/>
    <w:rsid w:val="000B7665"/>
    <w:rsid w:val="000B77E7"/>
    <w:rsid w:val="000B7DC4"/>
    <w:rsid w:val="000C0113"/>
    <w:rsid w:val="000C01F9"/>
    <w:rsid w:val="000C02E1"/>
    <w:rsid w:val="000C0494"/>
    <w:rsid w:val="000C0570"/>
    <w:rsid w:val="000C0768"/>
    <w:rsid w:val="000C0F34"/>
    <w:rsid w:val="000C103B"/>
    <w:rsid w:val="000C1325"/>
    <w:rsid w:val="000C1657"/>
    <w:rsid w:val="000C16C4"/>
    <w:rsid w:val="000C1E9F"/>
    <w:rsid w:val="000C1F43"/>
    <w:rsid w:val="000C21EA"/>
    <w:rsid w:val="000C2631"/>
    <w:rsid w:val="000C3ADB"/>
    <w:rsid w:val="000C3C37"/>
    <w:rsid w:val="000C4E70"/>
    <w:rsid w:val="000C4EDD"/>
    <w:rsid w:val="000C531D"/>
    <w:rsid w:val="000C552B"/>
    <w:rsid w:val="000C5B11"/>
    <w:rsid w:val="000C60ED"/>
    <w:rsid w:val="000C63BF"/>
    <w:rsid w:val="000C6526"/>
    <w:rsid w:val="000C746D"/>
    <w:rsid w:val="000C74B4"/>
    <w:rsid w:val="000C76EC"/>
    <w:rsid w:val="000C7C46"/>
    <w:rsid w:val="000C7D4F"/>
    <w:rsid w:val="000C7E42"/>
    <w:rsid w:val="000D06BB"/>
    <w:rsid w:val="000D0D51"/>
    <w:rsid w:val="000D0DCA"/>
    <w:rsid w:val="000D1155"/>
    <w:rsid w:val="000D122A"/>
    <w:rsid w:val="000D1389"/>
    <w:rsid w:val="000D1B52"/>
    <w:rsid w:val="000D21DF"/>
    <w:rsid w:val="000D2553"/>
    <w:rsid w:val="000D386B"/>
    <w:rsid w:val="000D3E74"/>
    <w:rsid w:val="000D494C"/>
    <w:rsid w:val="000D4C1B"/>
    <w:rsid w:val="000D52DE"/>
    <w:rsid w:val="000D5523"/>
    <w:rsid w:val="000D58BF"/>
    <w:rsid w:val="000D6133"/>
    <w:rsid w:val="000D6759"/>
    <w:rsid w:val="000D6B4E"/>
    <w:rsid w:val="000E02ED"/>
    <w:rsid w:val="000E03DC"/>
    <w:rsid w:val="000E0402"/>
    <w:rsid w:val="000E093A"/>
    <w:rsid w:val="000E0FDF"/>
    <w:rsid w:val="000E1124"/>
    <w:rsid w:val="000E190E"/>
    <w:rsid w:val="000E1A99"/>
    <w:rsid w:val="000E1C85"/>
    <w:rsid w:val="000E2985"/>
    <w:rsid w:val="000E2A59"/>
    <w:rsid w:val="000E3065"/>
    <w:rsid w:val="000E3970"/>
    <w:rsid w:val="000E47F6"/>
    <w:rsid w:val="000E526A"/>
    <w:rsid w:val="000E5531"/>
    <w:rsid w:val="000E56E4"/>
    <w:rsid w:val="000E5FB8"/>
    <w:rsid w:val="000E61F8"/>
    <w:rsid w:val="000E63D9"/>
    <w:rsid w:val="000E6410"/>
    <w:rsid w:val="000E678B"/>
    <w:rsid w:val="000E6DFF"/>
    <w:rsid w:val="000E75A1"/>
    <w:rsid w:val="000E75D8"/>
    <w:rsid w:val="000E7742"/>
    <w:rsid w:val="000F12D6"/>
    <w:rsid w:val="000F168E"/>
    <w:rsid w:val="000F1862"/>
    <w:rsid w:val="000F1A57"/>
    <w:rsid w:val="000F2054"/>
    <w:rsid w:val="000F2252"/>
    <w:rsid w:val="000F2E01"/>
    <w:rsid w:val="000F3661"/>
    <w:rsid w:val="000F3BAF"/>
    <w:rsid w:val="000F3CBE"/>
    <w:rsid w:val="000F3EA3"/>
    <w:rsid w:val="000F4CFA"/>
    <w:rsid w:val="000F5005"/>
    <w:rsid w:val="000F5A54"/>
    <w:rsid w:val="000F5A61"/>
    <w:rsid w:val="000F5C5A"/>
    <w:rsid w:val="000F5D0D"/>
    <w:rsid w:val="000F5F9A"/>
    <w:rsid w:val="000F67EA"/>
    <w:rsid w:val="000F6E64"/>
    <w:rsid w:val="000F7987"/>
    <w:rsid w:val="0010051C"/>
    <w:rsid w:val="00100670"/>
    <w:rsid w:val="001006D4"/>
    <w:rsid w:val="00100ECA"/>
    <w:rsid w:val="0010122C"/>
    <w:rsid w:val="00101411"/>
    <w:rsid w:val="001018A3"/>
    <w:rsid w:val="00102080"/>
    <w:rsid w:val="0010230E"/>
    <w:rsid w:val="00102382"/>
    <w:rsid w:val="001025F9"/>
    <w:rsid w:val="001026A8"/>
    <w:rsid w:val="00102FFF"/>
    <w:rsid w:val="00103053"/>
    <w:rsid w:val="00103B0A"/>
    <w:rsid w:val="00104219"/>
    <w:rsid w:val="0010448B"/>
    <w:rsid w:val="00104889"/>
    <w:rsid w:val="00104AE8"/>
    <w:rsid w:val="00105037"/>
    <w:rsid w:val="001050C1"/>
    <w:rsid w:val="0010521F"/>
    <w:rsid w:val="0010559C"/>
    <w:rsid w:val="0010625A"/>
    <w:rsid w:val="001065E8"/>
    <w:rsid w:val="00106A2E"/>
    <w:rsid w:val="00106B2D"/>
    <w:rsid w:val="00106F9E"/>
    <w:rsid w:val="00107275"/>
    <w:rsid w:val="00107524"/>
    <w:rsid w:val="00107B00"/>
    <w:rsid w:val="00107C9B"/>
    <w:rsid w:val="00107DCD"/>
    <w:rsid w:val="00107EF0"/>
    <w:rsid w:val="00110164"/>
    <w:rsid w:val="00110358"/>
    <w:rsid w:val="00110B07"/>
    <w:rsid w:val="00111417"/>
    <w:rsid w:val="00111964"/>
    <w:rsid w:val="00111C9F"/>
    <w:rsid w:val="00111FE4"/>
    <w:rsid w:val="001122BD"/>
    <w:rsid w:val="00112EFC"/>
    <w:rsid w:val="00113161"/>
    <w:rsid w:val="00113C60"/>
    <w:rsid w:val="001140B9"/>
    <w:rsid w:val="00114AF8"/>
    <w:rsid w:val="00114BB1"/>
    <w:rsid w:val="00114C3B"/>
    <w:rsid w:val="00114C92"/>
    <w:rsid w:val="00115691"/>
    <w:rsid w:val="00115AB8"/>
    <w:rsid w:val="001160A0"/>
    <w:rsid w:val="0011649A"/>
    <w:rsid w:val="001164E9"/>
    <w:rsid w:val="00116B7B"/>
    <w:rsid w:val="00116FAE"/>
    <w:rsid w:val="00117039"/>
    <w:rsid w:val="00117AF1"/>
    <w:rsid w:val="00117F04"/>
    <w:rsid w:val="00120A02"/>
    <w:rsid w:val="00120BD3"/>
    <w:rsid w:val="001210F8"/>
    <w:rsid w:val="001216DE"/>
    <w:rsid w:val="00121ED5"/>
    <w:rsid w:val="001225A2"/>
    <w:rsid w:val="001227A2"/>
    <w:rsid w:val="001229D1"/>
    <w:rsid w:val="00122AE3"/>
    <w:rsid w:val="00122EE1"/>
    <w:rsid w:val="0012316D"/>
    <w:rsid w:val="00123380"/>
    <w:rsid w:val="00123658"/>
    <w:rsid w:val="001237AF"/>
    <w:rsid w:val="001238FA"/>
    <w:rsid w:val="00123CAD"/>
    <w:rsid w:val="001247EB"/>
    <w:rsid w:val="00124C77"/>
    <w:rsid w:val="00124F3C"/>
    <w:rsid w:val="00125024"/>
    <w:rsid w:val="00125408"/>
    <w:rsid w:val="00125453"/>
    <w:rsid w:val="0012579F"/>
    <w:rsid w:val="00125B61"/>
    <w:rsid w:val="00126122"/>
    <w:rsid w:val="00126A59"/>
    <w:rsid w:val="00126ECF"/>
    <w:rsid w:val="001279CA"/>
    <w:rsid w:val="00130320"/>
    <w:rsid w:val="001314F7"/>
    <w:rsid w:val="001317F5"/>
    <w:rsid w:val="00131D45"/>
    <w:rsid w:val="001320F0"/>
    <w:rsid w:val="00132B9C"/>
    <w:rsid w:val="00133610"/>
    <w:rsid w:val="001336E0"/>
    <w:rsid w:val="001337F4"/>
    <w:rsid w:val="00133AE7"/>
    <w:rsid w:val="00133D1A"/>
    <w:rsid w:val="00133F34"/>
    <w:rsid w:val="00134035"/>
    <w:rsid w:val="00135067"/>
    <w:rsid w:val="0013520D"/>
    <w:rsid w:val="00135273"/>
    <w:rsid w:val="0013542F"/>
    <w:rsid w:val="001356D8"/>
    <w:rsid w:val="00135D9D"/>
    <w:rsid w:val="00135F99"/>
    <w:rsid w:val="00135FC9"/>
    <w:rsid w:val="00136CFF"/>
    <w:rsid w:val="001370C3"/>
    <w:rsid w:val="00137900"/>
    <w:rsid w:val="00137ED4"/>
    <w:rsid w:val="00140458"/>
    <w:rsid w:val="0014055C"/>
    <w:rsid w:val="00140F7F"/>
    <w:rsid w:val="00140F88"/>
    <w:rsid w:val="0014102D"/>
    <w:rsid w:val="00141139"/>
    <w:rsid w:val="00141A1E"/>
    <w:rsid w:val="0014337A"/>
    <w:rsid w:val="00143478"/>
    <w:rsid w:val="0014378C"/>
    <w:rsid w:val="001439A9"/>
    <w:rsid w:val="00143F2F"/>
    <w:rsid w:val="001444F1"/>
    <w:rsid w:val="00144653"/>
    <w:rsid w:val="00144732"/>
    <w:rsid w:val="00144A12"/>
    <w:rsid w:val="00144A53"/>
    <w:rsid w:val="001460A3"/>
    <w:rsid w:val="00146624"/>
    <w:rsid w:val="001466B6"/>
    <w:rsid w:val="00147099"/>
    <w:rsid w:val="00147173"/>
    <w:rsid w:val="001473A0"/>
    <w:rsid w:val="00147845"/>
    <w:rsid w:val="00147D99"/>
    <w:rsid w:val="00150376"/>
    <w:rsid w:val="001507F0"/>
    <w:rsid w:val="00150A20"/>
    <w:rsid w:val="00151115"/>
    <w:rsid w:val="001519FC"/>
    <w:rsid w:val="00151C26"/>
    <w:rsid w:val="00151C40"/>
    <w:rsid w:val="00151DBD"/>
    <w:rsid w:val="00151F62"/>
    <w:rsid w:val="00152618"/>
    <w:rsid w:val="00152A13"/>
    <w:rsid w:val="00152D9E"/>
    <w:rsid w:val="001531D6"/>
    <w:rsid w:val="001537CD"/>
    <w:rsid w:val="00155061"/>
    <w:rsid w:val="00155434"/>
    <w:rsid w:val="00155995"/>
    <w:rsid w:val="00155A43"/>
    <w:rsid w:val="00155BDA"/>
    <w:rsid w:val="00155C99"/>
    <w:rsid w:val="00155D6B"/>
    <w:rsid w:val="00156268"/>
    <w:rsid w:val="001563C1"/>
    <w:rsid w:val="00156422"/>
    <w:rsid w:val="001566D6"/>
    <w:rsid w:val="001566EE"/>
    <w:rsid w:val="001568ED"/>
    <w:rsid w:val="001569C7"/>
    <w:rsid w:val="00156E26"/>
    <w:rsid w:val="00156FA7"/>
    <w:rsid w:val="001570AA"/>
    <w:rsid w:val="0015738A"/>
    <w:rsid w:val="00157525"/>
    <w:rsid w:val="0015787C"/>
    <w:rsid w:val="00157B12"/>
    <w:rsid w:val="00157B7B"/>
    <w:rsid w:val="00157E2C"/>
    <w:rsid w:val="0016023A"/>
    <w:rsid w:val="001608FC"/>
    <w:rsid w:val="0016155A"/>
    <w:rsid w:val="001617CA"/>
    <w:rsid w:val="00161D3C"/>
    <w:rsid w:val="0016217E"/>
    <w:rsid w:val="0016250D"/>
    <w:rsid w:val="00162DBF"/>
    <w:rsid w:val="00162DE2"/>
    <w:rsid w:val="00163096"/>
    <w:rsid w:val="001644AB"/>
    <w:rsid w:val="001648F9"/>
    <w:rsid w:val="00164B8C"/>
    <w:rsid w:val="00164CF8"/>
    <w:rsid w:val="00165101"/>
    <w:rsid w:val="001651BD"/>
    <w:rsid w:val="001653AE"/>
    <w:rsid w:val="00165C32"/>
    <w:rsid w:val="00165CAE"/>
    <w:rsid w:val="00166349"/>
    <w:rsid w:val="0016696D"/>
    <w:rsid w:val="00166AE9"/>
    <w:rsid w:val="00166B32"/>
    <w:rsid w:val="00166E56"/>
    <w:rsid w:val="00166F64"/>
    <w:rsid w:val="001671F1"/>
    <w:rsid w:val="00167988"/>
    <w:rsid w:val="00167A6A"/>
    <w:rsid w:val="001704DB"/>
    <w:rsid w:val="0017051A"/>
    <w:rsid w:val="0017064C"/>
    <w:rsid w:val="00170AB2"/>
    <w:rsid w:val="00170ACF"/>
    <w:rsid w:val="00170B3B"/>
    <w:rsid w:val="00170D5B"/>
    <w:rsid w:val="00170EFE"/>
    <w:rsid w:val="00170F2B"/>
    <w:rsid w:val="001711A4"/>
    <w:rsid w:val="00171515"/>
    <w:rsid w:val="00171751"/>
    <w:rsid w:val="001719EF"/>
    <w:rsid w:val="00171BE1"/>
    <w:rsid w:val="00171F7A"/>
    <w:rsid w:val="0017220B"/>
    <w:rsid w:val="001723E9"/>
    <w:rsid w:val="001723FC"/>
    <w:rsid w:val="001729E3"/>
    <w:rsid w:val="00172B8F"/>
    <w:rsid w:val="001731AD"/>
    <w:rsid w:val="001736F8"/>
    <w:rsid w:val="00173A7A"/>
    <w:rsid w:val="00173D85"/>
    <w:rsid w:val="00173F18"/>
    <w:rsid w:val="001742F1"/>
    <w:rsid w:val="00174FD4"/>
    <w:rsid w:val="00175140"/>
    <w:rsid w:val="00175157"/>
    <w:rsid w:val="00175174"/>
    <w:rsid w:val="00175C26"/>
    <w:rsid w:val="0017615C"/>
    <w:rsid w:val="001765FF"/>
    <w:rsid w:val="00176A45"/>
    <w:rsid w:val="00177024"/>
    <w:rsid w:val="001777AB"/>
    <w:rsid w:val="001801DC"/>
    <w:rsid w:val="00180472"/>
    <w:rsid w:val="00180EC7"/>
    <w:rsid w:val="00180FF1"/>
    <w:rsid w:val="001813BE"/>
    <w:rsid w:val="00181A2F"/>
    <w:rsid w:val="00181F8C"/>
    <w:rsid w:val="0018211A"/>
    <w:rsid w:val="001821ED"/>
    <w:rsid w:val="001825F7"/>
    <w:rsid w:val="00182DC7"/>
    <w:rsid w:val="00182FBF"/>
    <w:rsid w:val="00183462"/>
    <w:rsid w:val="001835F7"/>
    <w:rsid w:val="0018360A"/>
    <w:rsid w:val="00184817"/>
    <w:rsid w:val="001848A7"/>
    <w:rsid w:val="00184B20"/>
    <w:rsid w:val="00184B3E"/>
    <w:rsid w:val="00184BAE"/>
    <w:rsid w:val="00184FEA"/>
    <w:rsid w:val="001852A3"/>
    <w:rsid w:val="00185676"/>
    <w:rsid w:val="001860D8"/>
    <w:rsid w:val="00186A86"/>
    <w:rsid w:val="0018704A"/>
    <w:rsid w:val="0018789F"/>
    <w:rsid w:val="00187992"/>
    <w:rsid w:val="001904F8"/>
    <w:rsid w:val="001905EE"/>
    <w:rsid w:val="001906F9"/>
    <w:rsid w:val="00190A6D"/>
    <w:rsid w:val="001913FC"/>
    <w:rsid w:val="00191986"/>
    <w:rsid w:val="00191E97"/>
    <w:rsid w:val="00192125"/>
    <w:rsid w:val="0019241A"/>
    <w:rsid w:val="001928A1"/>
    <w:rsid w:val="00192972"/>
    <w:rsid w:val="0019362A"/>
    <w:rsid w:val="00193854"/>
    <w:rsid w:val="00193857"/>
    <w:rsid w:val="00193FBB"/>
    <w:rsid w:val="0019474E"/>
    <w:rsid w:val="0019484D"/>
    <w:rsid w:val="00194EF1"/>
    <w:rsid w:val="0019526F"/>
    <w:rsid w:val="001955A3"/>
    <w:rsid w:val="001955F8"/>
    <w:rsid w:val="00195728"/>
    <w:rsid w:val="00196565"/>
    <w:rsid w:val="00196873"/>
    <w:rsid w:val="001970C0"/>
    <w:rsid w:val="00197D75"/>
    <w:rsid w:val="001A09B6"/>
    <w:rsid w:val="001A0BB6"/>
    <w:rsid w:val="001A0E9E"/>
    <w:rsid w:val="001A144E"/>
    <w:rsid w:val="001A1CB7"/>
    <w:rsid w:val="001A2780"/>
    <w:rsid w:val="001A32AC"/>
    <w:rsid w:val="001A3B0D"/>
    <w:rsid w:val="001A420B"/>
    <w:rsid w:val="001A4561"/>
    <w:rsid w:val="001A496D"/>
    <w:rsid w:val="001A4B97"/>
    <w:rsid w:val="001A4E2F"/>
    <w:rsid w:val="001A4F7D"/>
    <w:rsid w:val="001A53AD"/>
    <w:rsid w:val="001A66F8"/>
    <w:rsid w:val="001A6AFB"/>
    <w:rsid w:val="001A6DEF"/>
    <w:rsid w:val="001A7167"/>
    <w:rsid w:val="001A738C"/>
    <w:rsid w:val="001A750B"/>
    <w:rsid w:val="001A7581"/>
    <w:rsid w:val="001A7B42"/>
    <w:rsid w:val="001A7B9F"/>
    <w:rsid w:val="001A7D8F"/>
    <w:rsid w:val="001B0A6D"/>
    <w:rsid w:val="001B0CE3"/>
    <w:rsid w:val="001B0EFB"/>
    <w:rsid w:val="001B17C1"/>
    <w:rsid w:val="001B2A84"/>
    <w:rsid w:val="001B2A97"/>
    <w:rsid w:val="001B2AF0"/>
    <w:rsid w:val="001B2CD4"/>
    <w:rsid w:val="001B3222"/>
    <w:rsid w:val="001B398A"/>
    <w:rsid w:val="001B3B7E"/>
    <w:rsid w:val="001B3EE3"/>
    <w:rsid w:val="001B423A"/>
    <w:rsid w:val="001B44D8"/>
    <w:rsid w:val="001B4B98"/>
    <w:rsid w:val="001B52FA"/>
    <w:rsid w:val="001B5663"/>
    <w:rsid w:val="001B5A94"/>
    <w:rsid w:val="001B64DB"/>
    <w:rsid w:val="001B6EC4"/>
    <w:rsid w:val="001B7329"/>
    <w:rsid w:val="001B7331"/>
    <w:rsid w:val="001C024F"/>
    <w:rsid w:val="001C0265"/>
    <w:rsid w:val="001C02C3"/>
    <w:rsid w:val="001C074A"/>
    <w:rsid w:val="001C0AFC"/>
    <w:rsid w:val="001C0E56"/>
    <w:rsid w:val="001C0E91"/>
    <w:rsid w:val="001C1329"/>
    <w:rsid w:val="001C1734"/>
    <w:rsid w:val="001C174A"/>
    <w:rsid w:val="001C1792"/>
    <w:rsid w:val="001C1BFB"/>
    <w:rsid w:val="001C1D05"/>
    <w:rsid w:val="001C226D"/>
    <w:rsid w:val="001C2803"/>
    <w:rsid w:val="001C2A48"/>
    <w:rsid w:val="001C2C72"/>
    <w:rsid w:val="001C3331"/>
    <w:rsid w:val="001C39DC"/>
    <w:rsid w:val="001C3A11"/>
    <w:rsid w:val="001C3EB5"/>
    <w:rsid w:val="001C3F2E"/>
    <w:rsid w:val="001C3FAB"/>
    <w:rsid w:val="001C4623"/>
    <w:rsid w:val="001C4822"/>
    <w:rsid w:val="001C4EE1"/>
    <w:rsid w:val="001C5EEA"/>
    <w:rsid w:val="001C60A0"/>
    <w:rsid w:val="001C69E3"/>
    <w:rsid w:val="001C6DF7"/>
    <w:rsid w:val="001C6DFD"/>
    <w:rsid w:val="001C7AA5"/>
    <w:rsid w:val="001C7D45"/>
    <w:rsid w:val="001D07F5"/>
    <w:rsid w:val="001D09C4"/>
    <w:rsid w:val="001D0CD0"/>
    <w:rsid w:val="001D0D72"/>
    <w:rsid w:val="001D11CB"/>
    <w:rsid w:val="001D1E04"/>
    <w:rsid w:val="001D2C45"/>
    <w:rsid w:val="001D2D79"/>
    <w:rsid w:val="001D2E2D"/>
    <w:rsid w:val="001D3015"/>
    <w:rsid w:val="001D32C0"/>
    <w:rsid w:val="001D338F"/>
    <w:rsid w:val="001D3A64"/>
    <w:rsid w:val="001D3C22"/>
    <w:rsid w:val="001D419C"/>
    <w:rsid w:val="001D5793"/>
    <w:rsid w:val="001D5DB1"/>
    <w:rsid w:val="001D7320"/>
    <w:rsid w:val="001D74A7"/>
    <w:rsid w:val="001D7CA3"/>
    <w:rsid w:val="001E00D3"/>
    <w:rsid w:val="001E0CC2"/>
    <w:rsid w:val="001E15F2"/>
    <w:rsid w:val="001E22F7"/>
    <w:rsid w:val="001E28C8"/>
    <w:rsid w:val="001E2B08"/>
    <w:rsid w:val="001E2B12"/>
    <w:rsid w:val="001E2E8B"/>
    <w:rsid w:val="001E3E16"/>
    <w:rsid w:val="001E3F30"/>
    <w:rsid w:val="001E40AE"/>
    <w:rsid w:val="001E465F"/>
    <w:rsid w:val="001E5111"/>
    <w:rsid w:val="001E58E7"/>
    <w:rsid w:val="001E61FE"/>
    <w:rsid w:val="001E6BFE"/>
    <w:rsid w:val="001E71CA"/>
    <w:rsid w:val="001E7F6B"/>
    <w:rsid w:val="001F0DA2"/>
    <w:rsid w:val="001F1DA8"/>
    <w:rsid w:val="001F1E6F"/>
    <w:rsid w:val="001F1F93"/>
    <w:rsid w:val="001F2902"/>
    <w:rsid w:val="001F3641"/>
    <w:rsid w:val="001F3774"/>
    <w:rsid w:val="001F392B"/>
    <w:rsid w:val="001F3B18"/>
    <w:rsid w:val="001F3C71"/>
    <w:rsid w:val="001F3F36"/>
    <w:rsid w:val="001F4392"/>
    <w:rsid w:val="001F5158"/>
    <w:rsid w:val="001F5843"/>
    <w:rsid w:val="001F60A6"/>
    <w:rsid w:val="001F625C"/>
    <w:rsid w:val="001F658C"/>
    <w:rsid w:val="001F675C"/>
    <w:rsid w:val="001F6CA9"/>
    <w:rsid w:val="001F6F44"/>
    <w:rsid w:val="001F6FC6"/>
    <w:rsid w:val="001F7563"/>
    <w:rsid w:val="001F7A44"/>
    <w:rsid w:val="001F7A73"/>
    <w:rsid w:val="001F7C7F"/>
    <w:rsid w:val="00200035"/>
    <w:rsid w:val="00200C96"/>
    <w:rsid w:val="002013EC"/>
    <w:rsid w:val="00201F39"/>
    <w:rsid w:val="00202254"/>
    <w:rsid w:val="00202306"/>
    <w:rsid w:val="002032A8"/>
    <w:rsid w:val="0020352A"/>
    <w:rsid w:val="002038FD"/>
    <w:rsid w:val="00203A15"/>
    <w:rsid w:val="00203D9C"/>
    <w:rsid w:val="002041C5"/>
    <w:rsid w:val="00205030"/>
    <w:rsid w:val="00205038"/>
    <w:rsid w:val="00205340"/>
    <w:rsid w:val="00205F04"/>
    <w:rsid w:val="002061D5"/>
    <w:rsid w:val="00207322"/>
    <w:rsid w:val="002077D9"/>
    <w:rsid w:val="002078BB"/>
    <w:rsid w:val="0020790E"/>
    <w:rsid w:val="00207F59"/>
    <w:rsid w:val="00210AC2"/>
    <w:rsid w:val="00211A57"/>
    <w:rsid w:val="00211DC3"/>
    <w:rsid w:val="00212692"/>
    <w:rsid w:val="00212E2A"/>
    <w:rsid w:val="00212F17"/>
    <w:rsid w:val="002132C2"/>
    <w:rsid w:val="002138BC"/>
    <w:rsid w:val="00213BF2"/>
    <w:rsid w:val="00213CCF"/>
    <w:rsid w:val="0021421E"/>
    <w:rsid w:val="00215059"/>
    <w:rsid w:val="002155B6"/>
    <w:rsid w:val="002157E4"/>
    <w:rsid w:val="0021598C"/>
    <w:rsid w:val="00215ABD"/>
    <w:rsid w:val="00215AFB"/>
    <w:rsid w:val="00215DEA"/>
    <w:rsid w:val="00215FBB"/>
    <w:rsid w:val="0021684F"/>
    <w:rsid w:val="00216C7B"/>
    <w:rsid w:val="002177EC"/>
    <w:rsid w:val="00217872"/>
    <w:rsid w:val="00217AFD"/>
    <w:rsid w:val="002200D8"/>
    <w:rsid w:val="00221711"/>
    <w:rsid w:val="00221AA1"/>
    <w:rsid w:val="00221F05"/>
    <w:rsid w:val="00221FAF"/>
    <w:rsid w:val="002222ED"/>
    <w:rsid w:val="0022268B"/>
    <w:rsid w:val="002229EB"/>
    <w:rsid w:val="00222EDC"/>
    <w:rsid w:val="002230A6"/>
    <w:rsid w:val="00223242"/>
    <w:rsid w:val="00223553"/>
    <w:rsid w:val="00223664"/>
    <w:rsid w:val="002238D2"/>
    <w:rsid w:val="00223A56"/>
    <w:rsid w:val="00223E88"/>
    <w:rsid w:val="0022516A"/>
    <w:rsid w:val="00225833"/>
    <w:rsid w:val="00226095"/>
    <w:rsid w:val="00226435"/>
    <w:rsid w:val="00226453"/>
    <w:rsid w:val="0022659E"/>
    <w:rsid w:val="00226757"/>
    <w:rsid w:val="00226B58"/>
    <w:rsid w:val="002275CD"/>
    <w:rsid w:val="00227A64"/>
    <w:rsid w:val="00227B89"/>
    <w:rsid w:val="00227D10"/>
    <w:rsid w:val="00227F43"/>
    <w:rsid w:val="0023054F"/>
    <w:rsid w:val="002317A8"/>
    <w:rsid w:val="00231BFF"/>
    <w:rsid w:val="00231D7E"/>
    <w:rsid w:val="002323FA"/>
    <w:rsid w:val="00232F98"/>
    <w:rsid w:val="00233C54"/>
    <w:rsid w:val="00233F3D"/>
    <w:rsid w:val="00234640"/>
    <w:rsid w:val="0023476A"/>
    <w:rsid w:val="002347F4"/>
    <w:rsid w:val="0023499C"/>
    <w:rsid w:val="00234FE3"/>
    <w:rsid w:val="00235417"/>
    <w:rsid w:val="00235960"/>
    <w:rsid w:val="002359D6"/>
    <w:rsid w:val="00236922"/>
    <w:rsid w:val="00236A81"/>
    <w:rsid w:val="00236DB2"/>
    <w:rsid w:val="0023721F"/>
    <w:rsid w:val="002377C1"/>
    <w:rsid w:val="00237E76"/>
    <w:rsid w:val="00237ECF"/>
    <w:rsid w:val="00240106"/>
    <w:rsid w:val="002411C7"/>
    <w:rsid w:val="002412B1"/>
    <w:rsid w:val="0024172D"/>
    <w:rsid w:val="002418D2"/>
    <w:rsid w:val="00241E8D"/>
    <w:rsid w:val="00242615"/>
    <w:rsid w:val="00242800"/>
    <w:rsid w:val="002429A2"/>
    <w:rsid w:val="00242D5C"/>
    <w:rsid w:val="00242F4E"/>
    <w:rsid w:val="00243D02"/>
    <w:rsid w:val="002440AD"/>
    <w:rsid w:val="002452A0"/>
    <w:rsid w:val="002458DA"/>
    <w:rsid w:val="002459DD"/>
    <w:rsid w:val="002463A6"/>
    <w:rsid w:val="00246544"/>
    <w:rsid w:val="00246ADB"/>
    <w:rsid w:val="00246B42"/>
    <w:rsid w:val="00246DAB"/>
    <w:rsid w:val="00247017"/>
    <w:rsid w:val="0024730C"/>
    <w:rsid w:val="00247386"/>
    <w:rsid w:val="00247E52"/>
    <w:rsid w:val="00250865"/>
    <w:rsid w:val="00250FF1"/>
    <w:rsid w:val="002512BA"/>
    <w:rsid w:val="002517A5"/>
    <w:rsid w:val="00251F6C"/>
    <w:rsid w:val="00251FF9"/>
    <w:rsid w:val="0025249C"/>
    <w:rsid w:val="0025260D"/>
    <w:rsid w:val="00252728"/>
    <w:rsid w:val="002534CB"/>
    <w:rsid w:val="002539ED"/>
    <w:rsid w:val="0025440D"/>
    <w:rsid w:val="0025450E"/>
    <w:rsid w:val="00254973"/>
    <w:rsid w:val="00254BED"/>
    <w:rsid w:val="00255039"/>
    <w:rsid w:val="00255152"/>
    <w:rsid w:val="00255306"/>
    <w:rsid w:val="002553B5"/>
    <w:rsid w:val="002553E8"/>
    <w:rsid w:val="0025554E"/>
    <w:rsid w:val="002557CD"/>
    <w:rsid w:val="0025626F"/>
    <w:rsid w:val="0025651F"/>
    <w:rsid w:val="002568E5"/>
    <w:rsid w:val="0025706F"/>
    <w:rsid w:val="00257105"/>
    <w:rsid w:val="00257365"/>
    <w:rsid w:val="00257707"/>
    <w:rsid w:val="00260A48"/>
    <w:rsid w:val="00260FBB"/>
    <w:rsid w:val="00261388"/>
    <w:rsid w:val="002614A9"/>
    <w:rsid w:val="002618E6"/>
    <w:rsid w:val="00261F12"/>
    <w:rsid w:val="00263568"/>
    <w:rsid w:val="002638F4"/>
    <w:rsid w:val="002639D5"/>
    <w:rsid w:val="002656B6"/>
    <w:rsid w:val="00265FE1"/>
    <w:rsid w:val="00266C87"/>
    <w:rsid w:val="00267398"/>
    <w:rsid w:val="002673E2"/>
    <w:rsid w:val="00267F17"/>
    <w:rsid w:val="0027051D"/>
    <w:rsid w:val="00270F41"/>
    <w:rsid w:val="0027160C"/>
    <w:rsid w:val="00271796"/>
    <w:rsid w:val="00271B14"/>
    <w:rsid w:val="00271CF1"/>
    <w:rsid w:val="00272102"/>
    <w:rsid w:val="002728AB"/>
    <w:rsid w:val="00272AFE"/>
    <w:rsid w:val="002736B7"/>
    <w:rsid w:val="002737FF"/>
    <w:rsid w:val="00273EE7"/>
    <w:rsid w:val="00273FFE"/>
    <w:rsid w:val="002747DE"/>
    <w:rsid w:val="00274D0C"/>
    <w:rsid w:val="002751D1"/>
    <w:rsid w:val="00275209"/>
    <w:rsid w:val="00275509"/>
    <w:rsid w:val="00276994"/>
    <w:rsid w:val="0027768C"/>
    <w:rsid w:val="00277820"/>
    <w:rsid w:val="00277862"/>
    <w:rsid w:val="002805E6"/>
    <w:rsid w:val="00280883"/>
    <w:rsid w:val="00280AF5"/>
    <w:rsid w:val="002811EC"/>
    <w:rsid w:val="00281E4E"/>
    <w:rsid w:val="002823D2"/>
    <w:rsid w:val="00282A97"/>
    <w:rsid w:val="00282DCD"/>
    <w:rsid w:val="00283970"/>
    <w:rsid w:val="00283EAC"/>
    <w:rsid w:val="00284340"/>
    <w:rsid w:val="002844B5"/>
    <w:rsid w:val="002846D7"/>
    <w:rsid w:val="00284FC4"/>
    <w:rsid w:val="0028530E"/>
    <w:rsid w:val="0028592E"/>
    <w:rsid w:val="00285DF1"/>
    <w:rsid w:val="002866EA"/>
    <w:rsid w:val="002870B4"/>
    <w:rsid w:val="00287640"/>
    <w:rsid w:val="002877F7"/>
    <w:rsid w:val="00287B51"/>
    <w:rsid w:val="00287E78"/>
    <w:rsid w:val="00290676"/>
    <w:rsid w:val="00290A73"/>
    <w:rsid w:val="00291108"/>
    <w:rsid w:val="00291120"/>
    <w:rsid w:val="00291272"/>
    <w:rsid w:val="00291462"/>
    <w:rsid w:val="00291572"/>
    <w:rsid w:val="0029171F"/>
    <w:rsid w:val="00291735"/>
    <w:rsid w:val="00291F1B"/>
    <w:rsid w:val="002929E9"/>
    <w:rsid w:val="00292CF7"/>
    <w:rsid w:val="00294507"/>
    <w:rsid w:val="00294646"/>
    <w:rsid w:val="0029469D"/>
    <w:rsid w:val="00294D97"/>
    <w:rsid w:val="00294E55"/>
    <w:rsid w:val="0029537B"/>
    <w:rsid w:val="00295767"/>
    <w:rsid w:val="00296087"/>
    <w:rsid w:val="002963F9"/>
    <w:rsid w:val="00296782"/>
    <w:rsid w:val="0029798C"/>
    <w:rsid w:val="00297B8F"/>
    <w:rsid w:val="00297BF7"/>
    <w:rsid w:val="00297DDF"/>
    <w:rsid w:val="002A0018"/>
    <w:rsid w:val="002A01C4"/>
    <w:rsid w:val="002A04B4"/>
    <w:rsid w:val="002A051F"/>
    <w:rsid w:val="002A06AB"/>
    <w:rsid w:val="002A0B51"/>
    <w:rsid w:val="002A0C9D"/>
    <w:rsid w:val="002A1135"/>
    <w:rsid w:val="002A119B"/>
    <w:rsid w:val="002A145B"/>
    <w:rsid w:val="002A18BE"/>
    <w:rsid w:val="002A1A10"/>
    <w:rsid w:val="002A23B6"/>
    <w:rsid w:val="002A258D"/>
    <w:rsid w:val="002A32EA"/>
    <w:rsid w:val="002A36F6"/>
    <w:rsid w:val="002A38D7"/>
    <w:rsid w:val="002A3AAB"/>
    <w:rsid w:val="002A4084"/>
    <w:rsid w:val="002A4156"/>
    <w:rsid w:val="002A4AD6"/>
    <w:rsid w:val="002A4E36"/>
    <w:rsid w:val="002A554C"/>
    <w:rsid w:val="002A6004"/>
    <w:rsid w:val="002A67AB"/>
    <w:rsid w:val="002A6918"/>
    <w:rsid w:val="002A7196"/>
    <w:rsid w:val="002A7319"/>
    <w:rsid w:val="002A76AE"/>
    <w:rsid w:val="002A779E"/>
    <w:rsid w:val="002A797B"/>
    <w:rsid w:val="002A7CFB"/>
    <w:rsid w:val="002B0042"/>
    <w:rsid w:val="002B0523"/>
    <w:rsid w:val="002B0BFA"/>
    <w:rsid w:val="002B0FF1"/>
    <w:rsid w:val="002B1060"/>
    <w:rsid w:val="002B1121"/>
    <w:rsid w:val="002B12CA"/>
    <w:rsid w:val="002B1384"/>
    <w:rsid w:val="002B146B"/>
    <w:rsid w:val="002B19EC"/>
    <w:rsid w:val="002B1D11"/>
    <w:rsid w:val="002B2B6A"/>
    <w:rsid w:val="002B33B4"/>
    <w:rsid w:val="002B3681"/>
    <w:rsid w:val="002B41A8"/>
    <w:rsid w:val="002B4376"/>
    <w:rsid w:val="002B4E36"/>
    <w:rsid w:val="002B5D49"/>
    <w:rsid w:val="002B6026"/>
    <w:rsid w:val="002B6354"/>
    <w:rsid w:val="002B667C"/>
    <w:rsid w:val="002B6C17"/>
    <w:rsid w:val="002B6E86"/>
    <w:rsid w:val="002B6E8A"/>
    <w:rsid w:val="002B7671"/>
    <w:rsid w:val="002C0033"/>
    <w:rsid w:val="002C0419"/>
    <w:rsid w:val="002C0E14"/>
    <w:rsid w:val="002C11CA"/>
    <w:rsid w:val="002C1A52"/>
    <w:rsid w:val="002C1AFF"/>
    <w:rsid w:val="002C2417"/>
    <w:rsid w:val="002C2768"/>
    <w:rsid w:val="002C2989"/>
    <w:rsid w:val="002C29A3"/>
    <w:rsid w:val="002C2A74"/>
    <w:rsid w:val="002C2EFB"/>
    <w:rsid w:val="002C3F61"/>
    <w:rsid w:val="002C4033"/>
    <w:rsid w:val="002C4054"/>
    <w:rsid w:val="002C42E4"/>
    <w:rsid w:val="002C4428"/>
    <w:rsid w:val="002C45E8"/>
    <w:rsid w:val="002C466B"/>
    <w:rsid w:val="002C4C61"/>
    <w:rsid w:val="002C585F"/>
    <w:rsid w:val="002C5B86"/>
    <w:rsid w:val="002C5D24"/>
    <w:rsid w:val="002C661C"/>
    <w:rsid w:val="002C6A9B"/>
    <w:rsid w:val="002C6BE8"/>
    <w:rsid w:val="002C70CE"/>
    <w:rsid w:val="002C7B2D"/>
    <w:rsid w:val="002C7C36"/>
    <w:rsid w:val="002C7CB2"/>
    <w:rsid w:val="002D033F"/>
    <w:rsid w:val="002D19D2"/>
    <w:rsid w:val="002D1CDC"/>
    <w:rsid w:val="002D28EA"/>
    <w:rsid w:val="002D2C18"/>
    <w:rsid w:val="002D2F8F"/>
    <w:rsid w:val="002D37BE"/>
    <w:rsid w:val="002D4172"/>
    <w:rsid w:val="002D5097"/>
    <w:rsid w:val="002D5264"/>
    <w:rsid w:val="002D53CD"/>
    <w:rsid w:val="002D55E4"/>
    <w:rsid w:val="002D5DCE"/>
    <w:rsid w:val="002D634B"/>
    <w:rsid w:val="002D690D"/>
    <w:rsid w:val="002D72D5"/>
    <w:rsid w:val="002D74F0"/>
    <w:rsid w:val="002D7C6F"/>
    <w:rsid w:val="002E04BA"/>
    <w:rsid w:val="002E0A55"/>
    <w:rsid w:val="002E1C79"/>
    <w:rsid w:val="002E28BB"/>
    <w:rsid w:val="002E3016"/>
    <w:rsid w:val="002E375B"/>
    <w:rsid w:val="002E43B0"/>
    <w:rsid w:val="002E4940"/>
    <w:rsid w:val="002E4DB6"/>
    <w:rsid w:val="002E506F"/>
    <w:rsid w:val="002E51E8"/>
    <w:rsid w:val="002E51F6"/>
    <w:rsid w:val="002E533D"/>
    <w:rsid w:val="002E54F5"/>
    <w:rsid w:val="002E5554"/>
    <w:rsid w:val="002E5E34"/>
    <w:rsid w:val="002E6154"/>
    <w:rsid w:val="002E63BE"/>
    <w:rsid w:val="002E6464"/>
    <w:rsid w:val="002E7775"/>
    <w:rsid w:val="002E7AD2"/>
    <w:rsid w:val="002E7DBC"/>
    <w:rsid w:val="002F0067"/>
    <w:rsid w:val="002F1399"/>
    <w:rsid w:val="002F2629"/>
    <w:rsid w:val="002F2907"/>
    <w:rsid w:val="002F2D20"/>
    <w:rsid w:val="002F32FB"/>
    <w:rsid w:val="002F340F"/>
    <w:rsid w:val="002F4313"/>
    <w:rsid w:val="002F4462"/>
    <w:rsid w:val="002F448F"/>
    <w:rsid w:val="002F457B"/>
    <w:rsid w:val="002F5611"/>
    <w:rsid w:val="002F5618"/>
    <w:rsid w:val="002F571C"/>
    <w:rsid w:val="002F574F"/>
    <w:rsid w:val="002F5DAF"/>
    <w:rsid w:val="002F5F5E"/>
    <w:rsid w:val="002F5F85"/>
    <w:rsid w:val="002F693F"/>
    <w:rsid w:val="002F6AE1"/>
    <w:rsid w:val="002F6DD4"/>
    <w:rsid w:val="002F6E88"/>
    <w:rsid w:val="002F7061"/>
    <w:rsid w:val="002F7484"/>
    <w:rsid w:val="002F7800"/>
    <w:rsid w:val="002F7BCB"/>
    <w:rsid w:val="003002E2"/>
    <w:rsid w:val="00300534"/>
    <w:rsid w:val="003008CC"/>
    <w:rsid w:val="00300C1E"/>
    <w:rsid w:val="00301763"/>
    <w:rsid w:val="00301A75"/>
    <w:rsid w:val="00301B2F"/>
    <w:rsid w:val="00301E3D"/>
    <w:rsid w:val="00302252"/>
    <w:rsid w:val="00302523"/>
    <w:rsid w:val="00302903"/>
    <w:rsid w:val="00303292"/>
    <w:rsid w:val="003035B8"/>
    <w:rsid w:val="003036EC"/>
    <w:rsid w:val="003037FE"/>
    <w:rsid w:val="00303C60"/>
    <w:rsid w:val="00304061"/>
    <w:rsid w:val="00304082"/>
    <w:rsid w:val="00304CB2"/>
    <w:rsid w:val="00304FB8"/>
    <w:rsid w:val="00305223"/>
    <w:rsid w:val="003052F8"/>
    <w:rsid w:val="00305DB8"/>
    <w:rsid w:val="00305F4A"/>
    <w:rsid w:val="00306E34"/>
    <w:rsid w:val="003070CD"/>
    <w:rsid w:val="0030728C"/>
    <w:rsid w:val="00307299"/>
    <w:rsid w:val="00307310"/>
    <w:rsid w:val="003076E0"/>
    <w:rsid w:val="00307DA1"/>
    <w:rsid w:val="0031002A"/>
    <w:rsid w:val="00310330"/>
    <w:rsid w:val="00310B9B"/>
    <w:rsid w:val="00310C3F"/>
    <w:rsid w:val="003121AE"/>
    <w:rsid w:val="003121DD"/>
    <w:rsid w:val="003130BD"/>
    <w:rsid w:val="00313B10"/>
    <w:rsid w:val="003140D2"/>
    <w:rsid w:val="003140DC"/>
    <w:rsid w:val="003146BC"/>
    <w:rsid w:val="003148E7"/>
    <w:rsid w:val="00314EE1"/>
    <w:rsid w:val="0031586B"/>
    <w:rsid w:val="003159C4"/>
    <w:rsid w:val="003160A3"/>
    <w:rsid w:val="00316749"/>
    <w:rsid w:val="00316FBC"/>
    <w:rsid w:val="003172E4"/>
    <w:rsid w:val="00317714"/>
    <w:rsid w:val="00317C2F"/>
    <w:rsid w:val="00320091"/>
    <w:rsid w:val="003204A9"/>
    <w:rsid w:val="00320A17"/>
    <w:rsid w:val="00320A52"/>
    <w:rsid w:val="00320ACF"/>
    <w:rsid w:val="00320F9C"/>
    <w:rsid w:val="003214A0"/>
    <w:rsid w:val="00321ED9"/>
    <w:rsid w:val="00321FE3"/>
    <w:rsid w:val="003221D7"/>
    <w:rsid w:val="00322255"/>
    <w:rsid w:val="00322496"/>
    <w:rsid w:val="00322532"/>
    <w:rsid w:val="003226D3"/>
    <w:rsid w:val="003227A2"/>
    <w:rsid w:val="00322DA9"/>
    <w:rsid w:val="00323284"/>
    <w:rsid w:val="00323457"/>
    <w:rsid w:val="00323AEB"/>
    <w:rsid w:val="00323AF6"/>
    <w:rsid w:val="00323B89"/>
    <w:rsid w:val="00324348"/>
    <w:rsid w:val="00324784"/>
    <w:rsid w:val="00324D11"/>
    <w:rsid w:val="00325148"/>
    <w:rsid w:val="003251C2"/>
    <w:rsid w:val="00325468"/>
    <w:rsid w:val="0032556F"/>
    <w:rsid w:val="00325FA0"/>
    <w:rsid w:val="0032641B"/>
    <w:rsid w:val="00326A50"/>
    <w:rsid w:val="00326AAE"/>
    <w:rsid w:val="00326BBA"/>
    <w:rsid w:val="00326F1C"/>
    <w:rsid w:val="00327162"/>
    <w:rsid w:val="003276BA"/>
    <w:rsid w:val="003276CA"/>
    <w:rsid w:val="0032782E"/>
    <w:rsid w:val="003308B0"/>
    <w:rsid w:val="00330A0A"/>
    <w:rsid w:val="0033134E"/>
    <w:rsid w:val="00331452"/>
    <w:rsid w:val="003315BD"/>
    <w:rsid w:val="00331629"/>
    <w:rsid w:val="00331B09"/>
    <w:rsid w:val="00331FA0"/>
    <w:rsid w:val="003328A9"/>
    <w:rsid w:val="00332C92"/>
    <w:rsid w:val="0033330E"/>
    <w:rsid w:val="00333468"/>
    <w:rsid w:val="00333646"/>
    <w:rsid w:val="00333D09"/>
    <w:rsid w:val="0033497E"/>
    <w:rsid w:val="00334A64"/>
    <w:rsid w:val="00335867"/>
    <w:rsid w:val="00335C07"/>
    <w:rsid w:val="003371B5"/>
    <w:rsid w:val="003375FE"/>
    <w:rsid w:val="003376D9"/>
    <w:rsid w:val="0033799B"/>
    <w:rsid w:val="00337BAF"/>
    <w:rsid w:val="00340341"/>
    <w:rsid w:val="00340369"/>
    <w:rsid w:val="00340C18"/>
    <w:rsid w:val="0034101E"/>
    <w:rsid w:val="00341233"/>
    <w:rsid w:val="00341554"/>
    <w:rsid w:val="003416D7"/>
    <w:rsid w:val="003417CB"/>
    <w:rsid w:val="00341A09"/>
    <w:rsid w:val="00343531"/>
    <w:rsid w:val="003435A9"/>
    <w:rsid w:val="00343904"/>
    <w:rsid w:val="00343E50"/>
    <w:rsid w:val="003440AF"/>
    <w:rsid w:val="003444A2"/>
    <w:rsid w:val="003444E6"/>
    <w:rsid w:val="00344649"/>
    <w:rsid w:val="00344996"/>
    <w:rsid w:val="00344E59"/>
    <w:rsid w:val="00345334"/>
    <w:rsid w:val="0034546C"/>
    <w:rsid w:val="0034547B"/>
    <w:rsid w:val="00345496"/>
    <w:rsid w:val="0034553E"/>
    <w:rsid w:val="00345585"/>
    <w:rsid w:val="003457DF"/>
    <w:rsid w:val="00345817"/>
    <w:rsid w:val="00345A32"/>
    <w:rsid w:val="00345A3D"/>
    <w:rsid w:val="00345B47"/>
    <w:rsid w:val="00345BCF"/>
    <w:rsid w:val="003466F9"/>
    <w:rsid w:val="0034718E"/>
    <w:rsid w:val="003474A2"/>
    <w:rsid w:val="003479E4"/>
    <w:rsid w:val="00347A71"/>
    <w:rsid w:val="00347C62"/>
    <w:rsid w:val="00347D22"/>
    <w:rsid w:val="00350092"/>
    <w:rsid w:val="003502F1"/>
    <w:rsid w:val="00350A0F"/>
    <w:rsid w:val="00350AB2"/>
    <w:rsid w:val="00350D67"/>
    <w:rsid w:val="00351296"/>
    <w:rsid w:val="00351652"/>
    <w:rsid w:val="003519AD"/>
    <w:rsid w:val="00351CFD"/>
    <w:rsid w:val="00351E0E"/>
    <w:rsid w:val="00352496"/>
    <w:rsid w:val="0035251E"/>
    <w:rsid w:val="00353212"/>
    <w:rsid w:val="00353D9F"/>
    <w:rsid w:val="0035425F"/>
    <w:rsid w:val="00354EB4"/>
    <w:rsid w:val="00354EFC"/>
    <w:rsid w:val="00355C2C"/>
    <w:rsid w:val="00356A42"/>
    <w:rsid w:val="00356D29"/>
    <w:rsid w:val="00356DEF"/>
    <w:rsid w:val="00356F06"/>
    <w:rsid w:val="00357135"/>
    <w:rsid w:val="003571C2"/>
    <w:rsid w:val="00360310"/>
    <w:rsid w:val="00360586"/>
    <w:rsid w:val="00360CED"/>
    <w:rsid w:val="00361244"/>
    <w:rsid w:val="00362B8B"/>
    <w:rsid w:val="00362D74"/>
    <w:rsid w:val="00362E04"/>
    <w:rsid w:val="00362E3D"/>
    <w:rsid w:val="003631B2"/>
    <w:rsid w:val="0036320B"/>
    <w:rsid w:val="003633CE"/>
    <w:rsid w:val="003640A7"/>
    <w:rsid w:val="00364A23"/>
    <w:rsid w:val="00365447"/>
    <w:rsid w:val="0036557D"/>
    <w:rsid w:val="00365D83"/>
    <w:rsid w:val="00365F99"/>
    <w:rsid w:val="003661CA"/>
    <w:rsid w:val="00366614"/>
    <w:rsid w:val="00366773"/>
    <w:rsid w:val="00366CF7"/>
    <w:rsid w:val="0036794E"/>
    <w:rsid w:val="0037102F"/>
    <w:rsid w:val="0037122B"/>
    <w:rsid w:val="0037248B"/>
    <w:rsid w:val="0037262F"/>
    <w:rsid w:val="00372DC6"/>
    <w:rsid w:val="00373B4F"/>
    <w:rsid w:val="00373E7F"/>
    <w:rsid w:val="00374BA4"/>
    <w:rsid w:val="00374F99"/>
    <w:rsid w:val="003761AD"/>
    <w:rsid w:val="00376593"/>
    <w:rsid w:val="003765BA"/>
    <w:rsid w:val="00376A5D"/>
    <w:rsid w:val="00376B81"/>
    <w:rsid w:val="003771D5"/>
    <w:rsid w:val="00377AC8"/>
    <w:rsid w:val="00377C87"/>
    <w:rsid w:val="00380037"/>
    <w:rsid w:val="0038018F"/>
    <w:rsid w:val="003801D9"/>
    <w:rsid w:val="00380836"/>
    <w:rsid w:val="00381205"/>
    <w:rsid w:val="00381340"/>
    <w:rsid w:val="0038146C"/>
    <w:rsid w:val="00381B72"/>
    <w:rsid w:val="00381CBD"/>
    <w:rsid w:val="00382609"/>
    <w:rsid w:val="00382B0A"/>
    <w:rsid w:val="00383495"/>
    <w:rsid w:val="003834C8"/>
    <w:rsid w:val="00384354"/>
    <w:rsid w:val="00384F22"/>
    <w:rsid w:val="0038512A"/>
    <w:rsid w:val="00385240"/>
    <w:rsid w:val="003859E4"/>
    <w:rsid w:val="00385A26"/>
    <w:rsid w:val="003860A6"/>
    <w:rsid w:val="00386124"/>
    <w:rsid w:val="00386158"/>
    <w:rsid w:val="003864D5"/>
    <w:rsid w:val="00386609"/>
    <w:rsid w:val="003866E2"/>
    <w:rsid w:val="00386757"/>
    <w:rsid w:val="00386DDA"/>
    <w:rsid w:val="00387229"/>
    <w:rsid w:val="003875EB"/>
    <w:rsid w:val="0038784A"/>
    <w:rsid w:val="00387A9C"/>
    <w:rsid w:val="00387BC6"/>
    <w:rsid w:val="00387CF7"/>
    <w:rsid w:val="00390102"/>
    <w:rsid w:val="00390567"/>
    <w:rsid w:val="003909E4"/>
    <w:rsid w:val="0039134F"/>
    <w:rsid w:val="0039136F"/>
    <w:rsid w:val="0039186C"/>
    <w:rsid w:val="0039193F"/>
    <w:rsid w:val="00391C42"/>
    <w:rsid w:val="0039226C"/>
    <w:rsid w:val="0039234B"/>
    <w:rsid w:val="00392A28"/>
    <w:rsid w:val="00393244"/>
    <w:rsid w:val="003936BF"/>
    <w:rsid w:val="00393C5B"/>
    <w:rsid w:val="00393CC4"/>
    <w:rsid w:val="0039415A"/>
    <w:rsid w:val="00394705"/>
    <w:rsid w:val="00394C69"/>
    <w:rsid w:val="00394EBC"/>
    <w:rsid w:val="0039582D"/>
    <w:rsid w:val="00395CB2"/>
    <w:rsid w:val="003966F6"/>
    <w:rsid w:val="0039677D"/>
    <w:rsid w:val="00396916"/>
    <w:rsid w:val="003973E8"/>
    <w:rsid w:val="0039792A"/>
    <w:rsid w:val="00397D76"/>
    <w:rsid w:val="003A0660"/>
    <w:rsid w:val="003A0704"/>
    <w:rsid w:val="003A0909"/>
    <w:rsid w:val="003A0D52"/>
    <w:rsid w:val="003A14CC"/>
    <w:rsid w:val="003A1653"/>
    <w:rsid w:val="003A169C"/>
    <w:rsid w:val="003A178D"/>
    <w:rsid w:val="003A22FD"/>
    <w:rsid w:val="003A2630"/>
    <w:rsid w:val="003A278F"/>
    <w:rsid w:val="003A2B83"/>
    <w:rsid w:val="003A2E7D"/>
    <w:rsid w:val="003A2ED1"/>
    <w:rsid w:val="003A3227"/>
    <w:rsid w:val="003A3669"/>
    <w:rsid w:val="003A3780"/>
    <w:rsid w:val="003A3EF5"/>
    <w:rsid w:val="003A491B"/>
    <w:rsid w:val="003A4943"/>
    <w:rsid w:val="003A4C47"/>
    <w:rsid w:val="003A51A0"/>
    <w:rsid w:val="003A579E"/>
    <w:rsid w:val="003A5895"/>
    <w:rsid w:val="003A58BC"/>
    <w:rsid w:val="003A5A3C"/>
    <w:rsid w:val="003A6724"/>
    <w:rsid w:val="003A6836"/>
    <w:rsid w:val="003A6E1A"/>
    <w:rsid w:val="003A7C5C"/>
    <w:rsid w:val="003A7FED"/>
    <w:rsid w:val="003B00B4"/>
    <w:rsid w:val="003B025D"/>
    <w:rsid w:val="003B07DF"/>
    <w:rsid w:val="003B0BA1"/>
    <w:rsid w:val="003B0C88"/>
    <w:rsid w:val="003B0C9E"/>
    <w:rsid w:val="003B1CEF"/>
    <w:rsid w:val="003B216B"/>
    <w:rsid w:val="003B2FE1"/>
    <w:rsid w:val="003B343E"/>
    <w:rsid w:val="003B3618"/>
    <w:rsid w:val="003B3A61"/>
    <w:rsid w:val="003B4179"/>
    <w:rsid w:val="003B43A3"/>
    <w:rsid w:val="003B4599"/>
    <w:rsid w:val="003B473C"/>
    <w:rsid w:val="003B4C63"/>
    <w:rsid w:val="003B519F"/>
    <w:rsid w:val="003B60DA"/>
    <w:rsid w:val="003B61B7"/>
    <w:rsid w:val="003B620F"/>
    <w:rsid w:val="003B64D9"/>
    <w:rsid w:val="003B6779"/>
    <w:rsid w:val="003B6D4E"/>
    <w:rsid w:val="003B71D8"/>
    <w:rsid w:val="003B77F2"/>
    <w:rsid w:val="003B7CAD"/>
    <w:rsid w:val="003C0327"/>
    <w:rsid w:val="003C0915"/>
    <w:rsid w:val="003C0B7D"/>
    <w:rsid w:val="003C1345"/>
    <w:rsid w:val="003C13E8"/>
    <w:rsid w:val="003C1441"/>
    <w:rsid w:val="003C1494"/>
    <w:rsid w:val="003C1686"/>
    <w:rsid w:val="003C1767"/>
    <w:rsid w:val="003C1AE2"/>
    <w:rsid w:val="003C22B9"/>
    <w:rsid w:val="003C22C4"/>
    <w:rsid w:val="003C25CE"/>
    <w:rsid w:val="003C2978"/>
    <w:rsid w:val="003C35C4"/>
    <w:rsid w:val="003C366A"/>
    <w:rsid w:val="003C390D"/>
    <w:rsid w:val="003C3DB8"/>
    <w:rsid w:val="003C43FD"/>
    <w:rsid w:val="003C4A8F"/>
    <w:rsid w:val="003C4F24"/>
    <w:rsid w:val="003C4F8F"/>
    <w:rsid w:val="003C5042"/>
    <w:rsid w:val="003C52EC"/>
    <w:rsid w:val="003C56FF"/>
    <w:rsid w:val="003C575B"/>
    <w:rsid w:val="003C5C0A"/>
    <w:rsid w:val="003C5C1B"/>
    <w:rsid w:val="003C5D40"/>
    <w:rsid w:val="003C5DF4"/>
    <w:rsid w:val="003C6034"/>
    <w:rsid w:val="003C687C"/>
    <w:rsid w:val="003C6A7B"/>
    <w:rsid w:val="003C6AF1"/>
    <w:rsid w:val="003C6B59"/>
    <w:rsid w:val="003C70ED"/>
    <w:rsid w:val="003C7258"/>
    <w:rsid w:val="003C754D"/>
    <w:rsid w:val="003C758A"/>
    <w:rsid w:val="003C7BA1"/>
    <w:rsid w:val="003D013B"/>
    <w:rsid w:val="003D0233"/>
    <w:rsid w:val="003D02B1"/>
    <w:rsid w:val="003D1050"/>
    <w:rsid w:val="003D1340"/>
    <w:rsid w:val="003D1859"/>
    <w:rsid w:val="003D1929"/>
    <w:rsid w:val="003D2883"/>
    <w:rsid w:val="003D299E"/>
    <w:rsid w:val="003D2FD8"/>
    <w:rsid w:val="003D3775"/>
    <w:rsid w:val="003D3B09"/>
    <w:rsid w:val="003D3B2B"/>
    <w:rsid w:val="003D3C82"/>
    <w:rsid w:val="003D3E9D"/>
    <w:rsid w:val="003D4323"/>
    <w:rsid w:val="003D43ED"/>
    <w:rsid w:val="003D44C9"/>
    <w:rsid w:val="003D44CB"/>
    <w:rsid w:val="003D4820"/>
    <w:rsid w:val="003D4D5D"/>
    <w:rsid w:val="003D5098"/>
    <w:rsid w:val="003D55E1"/>
    <w:rsid w:val="003D59C4"/>
    <w:rsid w:val="003D63EC"/>
    <w:rsid w:val="003D641A"/>
    <w:rsid w:val="003D71DC"/>
    <w:rsid w:val="003D71EB"/>
    <w:rsid w:val="003D723F"/>
    <w:rsid w:val="003D736D"/>
    <w:rsid w:val="003D75B1"/>
    <w:rsid w:val="003E032F"/>
    <w:rsid w:val="003E0350"/>
    <w:rsid w:val="003E0F3C"/>
    <w:rsid w:val="003E0F99"/>
    <w:rsid w:val="003E102B"/>
    <w:rsid w:val="003E1350"/>
    <w:rsid w:val="003E139A"/>
    <w:rsid w:val="003E1B16"/>
    <w:rsid w:val="003E1B4A"/>
    <w:rsid w:val="003E21A2"/>
    <w:rsid w:val="003E21AF"/>
    <w:rsid w:val="003E22BA"/>
    <w:rsid w:val="003E22CB"/>
    <w:rsid w:val="003E2343"/>
    <w:rsid w:val="003E30BA"/>
    <w:rsid w:val="003E3402"/>
    <w:rsid w:val="003E355D"/>
    <w:rsid w:val="003E3DA2"/>
    <w:rsid w:val="003E3EFA"/>
    <w:rsid w:val="003E406B"/>
    <w:rsid w:val="003E4F96"/>
    <w:rsid w:val="003E4F98"/>
    <w:rsid w:val="003E5404"/>
    <w:rsid w:val="003E54F1"/>
    <w:rsid w:val="003E5C3E"/>
    <w:rsid w:val="003E5CCA"/>
    <w:rsid w:val="003E6611"/>
    <w:rsid w:val="003E6BDB"/>
    <w:rsid w:val="003E7094"/>
    <w:rsid w:val="003E7155"/>
    <w:rsid w:val="003E73D3"/>
    <w:rsid w:val="003E766A"/>
    <w:rsid w:val="003E7773"/>
    <w:rsid w:val="003E7C68"/>
    <w:rsid w:val="003E7ECD"/>
    <w:rsid w:val="003F0655"/>
    <w:rsid w:val="003F075F"/>
    <w:rsid w:val="003F10DD"/>
    <w:rsid w:val="003F115E"/>
    <w:rsid w:val="003F1294"/>
    <w:rsid w:val="003F14C2"/>
    <w:rsid w:val="003F156A"/>
    <w:rsid w:val="003F163E"/>
    <w:rsid w:val="003F2210"/>
    <w:rsid w:val="003F2B56"/>
    <w:rsid w:val="003F2C7D"/>
    <w:rsid w:val="003F2DEC"/>
    <w:rsid w:val="003F4070"/>
    <w:rsid w:val="003F46F2"/>
    <w:rsid w:val="003F4862"/>
    <w:rsid w:val="003F4956"/>
    <w:rsid w:val="003F5148"/>
    <w:rsid w:val="003F5331"/>
    <w:rsid w:val="003F535C"/>
    <w:rsid w:val="003F5442"/>
    <w:rsid w:val="003F54E5"/>
    <w:rsid w:val="003F56D1"/>
    <w:rsid w:val="003F5953"/>
    <w:rsid w:val="003F5C04"/>
    <w:rsid w:val="003F5EAE"/>
    <w:rsid w:val="003F6136"/>
    <w:rsid w:val="003F6202"/>
    <w:rsid w:val="003F63EA"/>
    <w:rsid w:val="003F6AC5"/>
    <w:rsid w:val="003F6AD2"/>
    <w:rsid w:val="003F6F55"/>
    <w:rsid w:val="003F7196"/>
    <w:rsid w:val="003F731B"/>
    <w:rsid w:val="003F7332"/>
    <w:rsid w:val="003F7608"/>
    <w:rsid w:val="003F7749"/>
    <w:rsid w:val="003F77CC"/>
    <w:rsid w:val="003F794C"/>
    <w:rsid w:val="00400816"/>
    <w:rsid w:val="004008AF"/>
    <w:rsid w:val="00400B30"/>
    <w:rsid w:val="00400B5F"/>
    <w:rsid w:val="00400E78"/>
    <w:rsid w:val="00400FC6"/>
    <w:rsid w:val="00401DBF"/>
    <w:rsid w:val="0040249D"/>
    <w:rsid w:val="004028E4"/>
    <w:rsid w:val="004033D9"/>
    <w:rsid w:val="004039CC"/>
    <w:rsid w:val="00403EBA"/>
    <w:rsid w:val="004043C0"/>
    <w:rsid w:val="00404817"/>
    <w:rsid w:val="00404893"/>
    <w:rsid w:val="00404A94"/>
    <w:rsid w:val="00404E0B"/>
    <w:rsid w:val="004052F8"/>
    <w:rsid w:val="0040551F"/>
    <w:rsid w:val="00405A93"/>
    <w:rsid w:val="00405B6C"/>
    <w:rsid w:val="004060DD"/>
    <w:rsid w:val="00406255"/>
    <w:rsid w:val="00406314"/>
    <w:rsid w:val="004067C5"/>
    <w:rsid w:val="00406B20"/>
    <w:rsid w:val="0040718C"/>
    <w:rsid w:val="0040771F"/>
    <w:rsid w:val="004101BD"/>
    <w:rsid w:val="00410A30"/>
    <w:rsid w:val="00410BE2"/>
    <w:rsid w:val="004111F7"/>
    <w:rsid w:val="00411413"/>
    <w:rsid w:val="00411869"/>
    <w:rsid w:val="00411B4B"/>
    <w:rsid w:val="00411D89"/>
    <w:rsid w:val="004120A7"/>
    <w:rsid w:val="0041217D"/>
    <w:rsid w:val="004125C6"/>
    <w:rsid w:val="0041275F"/>
    <w:rsid w:val="004128EA"/>
    <w:rsid w:val="00412C85"/>
    <w:rsid w:val="004133F6"/>
    <w:rsid w:val="004137C4"/>
    <w:rsid w:val="00413F40"/>
    <w:rsid w:val="00414BBA"/>
    <w:rsid w:val="00414C28"/>
    <w:rsid w:val="00414D42"/>
    <w:rsid w:val="004153D9"/>
    <w:rsid w:val="00415472"/>
    <w:rsid w:val="00415504"/>
    <w:rsid w:val="0041667D"/>
    <w:rsid w:val="00416783"/>
    <w:rsid w:val="00416F31"/>
    <w:rsid w:val="00417B59"/>
    <w:rsid w:val="00417C2F"/>
    <w:rsid w:val="00417FB6"/>
    <w:rsid w:val="004205D2"/>
    <w:rsid w:val="004206AD"/>
    <w:rsid w:val="00420924"/>
    <w:rsid w:val="004209F6"/>
    <w:rsid w:val="00420A16"/>
    <w:rsid w:val="00420AAD"/>
    <w:rsid w:val="00420F36"/>
    <w:rsid w:val="00421A89"/>
    <w:rsid w:val="00421BC4"/>
    <w:rsid w:val="00421C83"/>
    <w:rsid w:val="00421D76"/>
    <w:rsid w:val="00421EBC"/>
    <w:rsid w:val="00422063"/>
    <w:rsid w:val="0042246B"/>
    <w:rsid w:val="00422604"/>
    <w:rsid w:val="00422633"/>
    <w:rsid w:val="00422786"/>
    <w:rsid w:val="0042304B"/>
    <w:rsid w:val="00423776"/>
    <w:rsid w:val="00424084"/>
    <w:rsid w:val="0042456F"/>
    <w:rsid w:val="00424733"/>
    <w:rsid w:val="004248E2"/>
    <w:rsid w:val="00424EF3"/>
    <w:rsid w:val="00424FE0"/>
    <w:rsid w:val="004253AB"/>
    <w:rsid w:val="00425989"/>
    <w:rsid w:val="00425CCC"/>
    <w:rsid w:val="00425D5B"/>
    <w:rsid w:val="0042620A"/>
    <w:rsid w:val="00426E75"/>
    <w:rsid w:val="00426EE5"/>
    <w:rsid w:val="00427222"/>
    <w:rsid w:val="00427250"/>
    <w:rsid w:val="004273AD"/>
    <w:rsid w:val="00430373"/>
    <w:rsid w:val="004305AE"/>
    <w:rsid w:val="00430D67"/>
    <w:rsid w:val="004311E4"/>
    <w:rsid w:val="00431800"/>
    <w:rsid w:val="00431B6E"/>
    <w:rsid w:val="004321CC"/>
    <w:rsid w:val="00432309"/>
    <w:rsid w:val="00432CA3"/>
    <w:rsid w:val="00433541"/>
    <w:rsid w:val="00433C2B"/>
    <w:rsid w:val="00433F1B"/>
    <w:rsid w:val="004341F7"/>
    <w:rsid w:val="004345CF"/>
    <w:rsid w:val="004346F2"/>
    <w:rsid w:val="00435429"/>
    <w:rsid w:val="004356B3"/>
    <w:rsid w:val="004356DB"/>
    <w:rsid w:val="00436514"/>
    <w:rsid w:val="00436ABE"/>
    <w:rsid w:val="00437689"/>
    <w:rsid w:val="004379C2"/>
    <w:rsid w:val="00437BDD"/>
    <w:rsid w:val="00437DCA"/>
    <w:rsid w:val="00437EC2"/>
    <w:rsid w:val="004404F3"/>
    <w:rsid w:val="0044087E"/>
    <w:rsid w:val="0044095A"/>
    <w:rsid w:val="00440D90"/>
    <w:rsid w:val="00440E54"/>
    <w:rsid w:val="0044104B"/>
    <w:rsid w:val="004410A4"/>
    <w:rsid w:val="004423F7"/>
    <w:rsid w:val="00442775"/>
    <w:rsid w:val="00442A49"/>
    <w:rsid w:val="00442D1F"/>
    <w:rsid w:val="00442DB7"/>
    <w:rsid w:val="0044344B"/>
    <w:rsid w:val="00443849"/>
    <w:rsid w:val="0044481E"/>
    <w:rsid w:val="00444C74"/>
    <w:rsid w:val="00444CDA"/>
    <w:rsid w:val="00445485"/>
    <w:rsid w:val="00445520"/>
    <w:rsid w:val="00445717"/>
    <w:rsid w:val="00445A02"/>
    <w:rsid w:val="00445B23"/>
    <w:rsid w:val="00445CF3"/>
    <w:rsid w:val="0044690B"/>
    <w:rsid w:val="00446BBE"/>
    <w:rsid w:val="00446ED9"/>
    <w:rsid w:val="0044782C"/>
    <w:rsid w:val="004478BB"/>
    <w:rsid w:val="00450079"/>
    <w:rsid w:val="004505BE"/>
    <w:rsid w:val="0045093D"/>
    <w:rsid w:val="0045118B"/>
    <w:rsid w:val="00451645"/>
    <w:rsid w:val="0045169D"/>
    <w:rsid w:val="00451999"/>
    <w:rsid w:val="004521A9"/>
    <w:rsid w:val="0045281F"/>
    <w:rsid w:val="00452CEC"/>
    <w:rsid w:val="0045318E"/>
    <w:rsid w:val="0045377A"/>
    <w:rsid w:val="00453D9A"/>
    <w:rsid w:val="0045497C"/>
    <w:rsid w:val="00454CED"/>
    <w:rsid w:val="00454F8E"/>
    <w:rsid w:val="004554E5"/>
    <w:rsid w:val="0045571E"/>
    <w:rsid w:val="00455837"/>
    <w:rsid w:val="00455924"/>
    <w:rsid w:val="00455ACD"/>
    <w:rsid w:val="00455DE4"/>
    <w:rsid w:val="00455F2C"/>
    <w:rsid w:val="0045653B"/>
    <w:rsid w:val="0045692B"/>
    <w:rsid w:val="004569DD"/>
    <w:rsid w:val="00456DB5"/>
    <w:rsid w:val="0045752D"/>
    <w:rsid w:val="004576FD"/>
    <w:rsid w:val="00457AE4"/>
    <w:rsid w:val="00460A19"/>
    <w:rsid w:val="00460B80"/>
    <w:rsid w:val="00461B6B"/>
    <w:rsid w:val="00462778"/>
    <w:rsid w:val="004629A8"/>
    <w:rsid w:val="00462A90"/>
    <w:rsid w:val="00462CD7"/>
    <w:rsid w:val="00462CE8"/>
    <w:rsid w:val="004633B4"/>
    <w:rsid w:val="00463491"/>
    <w:rsid w:val="004635C3"/>
    <w:rsid w:val="00463D9A"/>
    <w:rsid w:val="00463F00"/>
    <w:rsid w:val="00464161"/>
    <w:rsid w:val="0046449F"/>
    <w:rsid w:val="00464F6C"/>
    <w:rsid w:val="004657D5"/>
    <w:rsid w:val="00466537"/>
    <w:rsid w:val="00466F1E"/>
    <w:rsid w:val="00467172"/>
    <w:rsid w:val="00467715"/>
    <w:rsid w:val="0046794A"/>
    <w:rsid w:val="004701CF"/>
    <w:rsid w:val="0047041C"/>
    <w:rsid w:val="0047055D"/>
    <w:rsid w:val="0047197B"/>
    <w:rsid w:val="00471D0D"/>
    <w:rsid w:val="00472C70"/>
    <w:rsid w:val="004736A1"/>
    <w:rsid w:val="00473C2E"/>
    <w:rsid w:val="00473CAC"/>
    <w:rsid w:val="00473CD8"/>
    <w:rsid w:val="00473E0F"/>
    <w:rsid w:val="004743C4"/>
    <w:rsid w:val="004744CC"/>
    <w:rsid w:val="00474AD5"/>
    <w:rsid w:val="00474B5F"/>
    <w:rsid w:val="00474E01"/>
    <w:rsid w:val="00475068"/>
    <w:rsid w:val="00475129"/>
    <w:rsid w:val="004756F3"/>
    <w:rsid w:val="00475846"/>
    <w:rsid w:val="00475B5D"/>
    <w:rsid w:val="00475CDB"/>
    <w:rsid w:val="00476637"/>
    <w:rsid w:val="004766A8"/>
    <w:rsid w:val="00476F26"/>
    <w:rsid w:val="00477921"/>
    <w:rsid w:val="00477B8A"/>
    <w:rsid w:val="00477BDE"/>
    <w:rsid w:val="00477D56"/>
    <w:rsid w:val="00480A25"/>
    <w:rsid w:val="00480B3C"/>
    <w:rsid w:val="00480B7D"/>
    <w:rsid w:val="00480D47"/>
    <w:rsid w:val="004812C9"/>
    <w:rsid w:val="0048159E"/>
    <w:rsid w:val="00481B67"/>
    <w:rsid w:val="00482804"/>
    <w:rsid w:val="00482B47"/>
    <w:rsid w:val="00482E4E"/>
    <w:rsid w:val="0048323E"/>
    <w:rsid w:val="00483EE5"/>
    <w:rsid w:val="004842DB"/>
    <w:rsid w:val="00484591"/>
    <w:rsid w:val="00484DC5"/>
    <w:rsid w:val="004851C7"/>
    <w:rsid w:val="00485675"/>
    <w:rsid w:val="00486837"/>
    <w:rsid w:val="00486D76"/>
    <w:rsid w:val="00487400"/>
    <w:rsid w:val="004874D6"/>
    <w:rsid w:val="00487549"/>
    <w:rsid w:val="004875CA"/>
    <w:rsid w:val="004877A1"/>
    <w:rsid w:val="00487C85"/>
    <w:rsid w:val="00487FC5"/>
    <w:rsid w:val="00490415"/>
    <w:rsid w:val="0049049E"/>
    <w:rsid w:val="00490A52"/>
    <w:rsid w:val="00490D59"/>
    <w:rsid w:val="00490DC4"/>
    <w:rsid w:val="00490EA4"/>
    <w:rsid w:val="0049141E"/>
    <w:rsid w:val="00492CF0"/>
    <w:rsid w:val="00493B09"/>
    <w:rsid w:val="00493EAB"/>
    <w:rsid w:val="004941AB"/>
    <w:rsid w:val="00494F64"/>
    <w:rsid w:val="0049559D"/>
    <w:rsid w:val="004956CA"/>
    <w:rsid w:val="00495ACF"/>
    <w:rsid w:val="00495BB4"/>
    <w:rsid w:val="00495F73"/>
    <w:rsid w:val="004964C0"/>
    <w:rsid w:val="00496564"/>
    <w:rsid w:val="00496F4F"/>
    <w:rsid w:val="00497071"/>
    <w:rsid w:val="00497B9F"/>
    <w:rsid w:val="004A060F"/>
    <w:rsid w:val="004A0ACF"/>
    <w:rsid w:val="004A1088"/>
    <w:rsid w:val="004A10A2"/>
    <w:rsid w:val="004A14C5"/>
    <w:rsid w:val="004A15AC"/>
    <w:rsid w:val="004A166D"/>
    <w:rsid w:val="004A17EE"/>
    <w:rsid w:val="004A2032"/>
    <w:rsid w:val="004A2084"/>
    <w:rsid w:val="004A2740"/>
    <w:rsid w:val="004A4011"/>
    <w:rsid w:val="004A4032"/>
    <w:rsid w:val="004A4430"/>
    <w:rsid w:val="004A46CB"/>
    <w:rsid w:val="004A4B5C"/>
    <w:rsid w:val="004A4FDF"/>
    <w:rsid w:val="004A5489"/>
    <w:rsid w:val="004A5681"/>
    <w:rsid w:val="004A5B78"/>
    <w:rsid w:val="004A5E73"/>
    <w:rsid w:val="004A6E22"/>
    <w:rsid w:val="004A70C4"/>
    <w:rsid w:val="004A7233"/>
    <w:rsid w:val="004A72FD"/>
    <w:rsid w:val="004A73BC"/>
    <w:rsid w:val="004A7683"/>
    <w:rsid w:val="004A7A52"/>
    <w:rsid w:val="004A7B7A"/>
    <w:rsid w:val="004A7C91"/>
    <w:rsid w:val="004B0166"/>
    <w:rsid w:val="004B0343"/>
    <w:rsid w:val="004B0CC4"/>
    <w:rsid w:val="004B0D18"/>
    <w:rsid w:val="004B14F1"/>
    <w:rsid w:val="004B19FE"/>
    <w:rsid w:val="004B1A75"/>
    <w:rsid w:val="004B1C6F"/>
    <w:rsid w:val="004B1F5E"/>
    <w:rsid w:val="004B2A4D"/>
    <w:rsid w:val="004B2DD8"/>
    <w:rsid w:val="004B2F45"/>
    <w:rsid w:val="004B2F67"/>
    <w:rsid w:val="004B33C2"/>
    <w:rsid w:val="004B3BAB"/>
    <w:rsid w:val="004B415C"/>
    <w:rsid w:val="004B4214"/>
    <w:rsid w:val="004B49AB"/>
    <w:rsid w:val="004B4B17"/>
    <w:rsid w:val="004B5430"/>
    <w:rsid w:val="004B55F6"/>
    <w:rsid w:val="004B5971"/>
    <w:rsid w:val="004B5E94"/>
    <w:rsid w:val="004B617F"/>
    <w:rsid w:val="004B689D"/>
    <w:rsid w:val="004B6AEC"/>
    <w:rsid w:val="004B7589"/>
    <w:rsid w:val="004B7593"/>
    <w:rsid w:val="004B79DD"/>
    <w:rsid w:val="004B7FC6"/>
    <w:rsid w:val="004C0062"/>
    <w:rsid w:val="004C018A"/>
    <w:rsid w:val="004C01D7"/>
    <w:rsid w:val="004C03B0"/>
    <w:rsid w:val="004C07C0"/>
    <w:rsid w:val="004C0DC4"/>
    <w:rsid w:val="004C0E97"/>
    <w:rsid w:val="004C1565"/>
    <w:rsid w:val="004C1EBA"/>
    <w:rsid w:val="004C2440"/>
    <w:rsid w:val="004C2816"/>
    <w:rsid w:val="004C2BCE"/>
    <w:rsid w:val="004C2CD4"/>
    <w:rsid w:val="004C3BA6"/>
    <w:rsid w:val="004C3C1E"/>
    <w:rsid w:val="004C3DE5"/>
    <w:rsid w:val="004C48C8"/>
    <w:rsid w:val="004C4BFB"/>
    <w:rsid w:val="004C575E"/>
    <w:rsid w:val="004C58F2"/>
    <w:rsid w:val="004C598D"/>
    <w:rsid w:val="004C5C2A"/>
    <w:rsid w:val="004C5E2C"/>
    <w:rsid w:val="004C5F7F"/>
    <w:rsid w:val="004C6695"/>
    <w:rsid w:val="004C6E5F"/>
    <w:rsid w:val="004D0047"/>
    <w:rsid w:val="004D1052"/>
    <w:rsid w:val="004D11B6"/>
    <w:rsid w:val="004D1556"/>
    <w:rsid w:val="004D1659"/>
    <w:rsid w:val="004D18CE"/>
    <w:rsid w:val="004D2775"/>
    <w:rsid w:val="004D2886"/>
    <w:rsid w:val="004D289A"/>
    <w:rsid w:val="004D2CE8"/>
    <w:rsid w:val="004D3447"/>
    <w:rsid w:val="004D3897"/>
    <w:rsid w:val="004D3F0E"/>
    <w:rsid w:val="004D42E4"/>
    <w:rsid w:val="004D4425"/>
    <w:rsid w:val="004D497A"/>
    <w:rsid w:val="004D4A37"/>
    <w:rsid w:val="004D521D"/>
    <w:rsid w:val="004D5BAA"/>
    <w:rsid w:val="004D602F"/>
    <w:rsid w:val="004D63AB"/>
    <w:rsid w:val="004D6A2D"/>
    <w:rsid w:val="004D6C0F"/>
    <w:rsid w:val="004D7413"/>
    <w:rsid w:val="004D76BE"/>
    <w:rsid w:val="004E0137"/>
    <w:rsid w:val="004E03F2"/>
    <w:rsid w:val="004E05DA"/>
    <w:rsid w:val="004E0D61"/>
    <w:rsid w:val="004E0F79"/>
    <w:rsid w:val="004E14A6"/>
    <w:rsid w:val="004E159B"/>
    <w:rsid w:val="004E1AFA"/>
    <w:rsid w:val="004E27FF"/>
    <w:rsid w:val="004E2B57"/>
    <w:rsid w:val="004E2BC0"/>
    <w:rsid w:val="004E2BD6"/>
    <w:rsid w:val="004E2E85"/>
    <w:rsid w:val="004E31A1"/>
    <w:rsid w:val="004E38E6"/>
    <w:rsid w:val="004E3AEC"/>
    <w:rsid w:val="004E4228"/>
    <w:rsid w:val="004E4316"/>
    <w:rsid w:val="004E479F"/>
    <w:rsid w:val="004E4859"/>
    <w:rsid w:val="004E48C7"/>
    <w:rsid w:val="004E4EA9"/>
    <w:rsid w:val="004E59F6"/>
    <w:rsid w:val="004E5B6B"/>
    <w:rsid w:val="004E5CCD"/>
    <w:rsid w:val="004E5FB2"/>
    <w:rsid w:val="004E60CC"/>
    <w:rsid w:val="004E6419"/>
    <w:rsid w:val="004E6D9D"/>
    <w:rsid w:val="004E7EA3"/>
    <w:rsid w:val="004F060C"/>
    <w:rsid w:val="004F0959"/>
    <w:rsid w:val="004F1F5D"/>
    <w:rsid w:val="004F21A7"/>
    <w:rsid w:val="004F2BAB"/>
    <w:rsid w:val="004F2FB1"/>
    <w:rsid w:val="004F3051"/>
    <w:rsid w:val="004F398B"/>
    <w:rsid w:val="004F3EE3"/>
    <w:rsid w:val="004F45C5"/>
    <w:rsid w:val="004F495F"/>
    <w:rsid w:val="004F504F"/>
    <w:rsid w:val="004F5B4F"/>
    <w:rsid w:val="004F5C15"/>
    <w:rsid w:val="004F5E7F"/>
    <w:rsid w:val="004F5F8A"/>
    <w:rsid w:val="004F6855"/>
    <w:rsid w:val="004F696F"/>
    <w:rsid w:val="004F69A6"/>
    <w:rsid w:val="004F6AD3"/>
    <w:rsid w:val="004F6EDB"/>
    <w:rsid w:val="004F6F25"/>
    <w:rsid w:val="004F76A0"/>
    <w:rsid w:val="004F79BF"/>
    <w:rsid w:val="00500435"/>
    <w:rsid w:val="0050052E"/>
    <w:rsid w:val="00500634"/>
    <w:rsid w:val="00500684"/>
    <w:rsid w:val="00500B40"/>
    <w:rsid w:val="00500F99"/>
    <w:rsid w:val="00501386"/>
    <w:rsid w:val="005013BD"/>
    <w:rsid w:val="00501BD9"/>
    <w:rsid w:val="00501C25"/>
    <w:rsid w:val="00501C92"/>
    <w:rsid w:val="00502286"/>
    <w:rsid w:val="00502736"/>
    <w:rsid w:val="005027A6"/>
    <w:rsid w:val="00502B96"/>
    <w:rsid w:val="00502DAE"/>
    <w:rsid w:val="00502F29"/>
    <w:rsid w:val="00502F4C"/>
    <w:rsid w:val="00502FDE"/>
    <w:rsid w:val="00502FFB"/>
    <w:rsid w:val="005030F1"/>
    <w:rsid w:val="00503190"/>
    <w:rsid w:val="005038A0"/>
    <w:rsid w:val="00504422"/>
    <w:rsid w:val="00504A82"/>
    <w:rsid w:val="00504C2D"/>
    <w:rsid w:val="00504F2F"/>
    <w:rsid w:val="005052D7"/>
    <w:rsid w:val="00505BE0"/>
    <w:rsid w:val="00505E19"/>
    <w:rsid w:val="00505EB8"/>
    <w:rsid w:val="005068F0"/>
    <w:rsid w:val="00506ECB"/>
    <w:rsid w:val="0050704E"/>
    <w:rsid w:val="0050747B"/>
    <w:rsid w:val="00507BF6"/>
    <w:rsid w:val="005102B1"/>
    <w:rsid w:val="005103C5"/>
    <w:rsid w:val="00510960"/>
    <w:rsid w:val="00511779"/>
    <w:rsid w:val="00511793"/>
    <w:rsid w:val="00511AAA"/>
    <w:rsid w:val="00511CAC"/>
    <w:rsid w:val="00511E84"/>
    <w:rsid w:val="00512912"/>
    <w:rsid w:val="005131D3"/>
    <w:rsid w:val="0051352C"/>
    <w:rsid w:val="005138D4"/>
    <w:rsid w:val="0051394B"/>
    <w:rsid w:val="00513BF8"/>
    <w:rsid w:val="00513C0C"/>
    <w:rsid w:val="00514BE6"/>
    <w:rsid w:val="00514FC2"/>
    <w:rsid w:val="00515278"/>
    <w:rsid w:val="00515810"/>
    <w:rsid w:val="00515B49"/>
    <w:rsid w:val="00515BFA"/>
    <w:rsid w:val="00516170"/>
    <w:rsid w:val="005161FB"/>
    <w:rsid w:val="00516ADD"/>
    <w:rsid w:val="00516EBE"/>
    <w:rsid w:val="0051735E"/>
    <w:rsid w:val="00517710"/>
    <w:rsid w:val="00517A86"/>
    <w:rsid w:val="00517C64"/>
    <w:rsid w:val="00517EEE"/>
    <w:rsid w:val="00518BDB"/>
    <w:rsid w:val="005203FA"/>
    <w:rsid w:val="00520F10"/>
    <w:rsid w:val="00520FCA"/>
    <w:rsid w:val="00521380"/>
    <w:rsid w:val="00521A38"/>
    <w:rsid w:val="00521DAF"/>
    <w:rsid w:val="00521F87"/>
    <w:rsid w:val="00522E38"/>
    <w:rsid w:val="005231B1"/>
    <w:rsid w:val="0052349D"/>
    <w:rsid w:val="00523B12"/>
    <w:rsid w:val="00523C21"/>
    <w:rsid w:val="00524107"/>
    <w:rsid w:val="0052427F"/>
    <w:rsid w:val="005243CA"/>
    <w:rsid w:val="005245FC"/>
    <w:rsid w:val="00524BE8"/>
    <w:rsid w:val="00525069"/>
    <w:rsid w:val="0052549D"/>
    <w:rsid w:val="0052575D"/>
    <w:rsid w:val="00525CC0"/>
    <w:rsid w:val="0052647B"/>
    <w:rsid w:val="00526C92"/>
    <w:rsid w:val="0052701B"/>
    <w:rsid w:val="005275FC"/>
    <w:rsid w:val="0052768C"/>
    <w:rsid w:val="00527E2F"/>
    <w:rsid w:val="005300B3"/>
    <w:rsid w:val="005302AA"/>
    <w:rsid w:val="00530820"/>
    <w:rsid w:val="00530896"/>
    <w:rsid w:val="005310AF"/>
    <w:rsid w:val="005311B5"/>
    <w:rsid w:val="00531A14"/>
    <w:rsid w:val="00531A79"/>
    <w:rsid w:val="00532D7B"/>
    <w:rsid w:val="0053348A"/>
    <w:rsid w:val="005334D8"/>
    <w:rsid w:val="005340F9"/>
    <w:rsid w:val="005342C3"/>
    <w:rsid w:val="0053463F"/>
    <w:rsid w:val="00534E33"/>
    <w:rsid w:val="005350A5"/>
    <w:rsid w:val="00535BF8"/>
    <w:rsid w:val="00536204"/>
    <w:rsid w:val="005362F5"/>
    <w:rsid w:val="005363C2"/>
    <w:rsid w:val="00536B28"/>
    <w:rsid w:val="00536CE0"/>
    <w:rsid w:val="0053714E"/>
    <w:rsid w:val="005371A1"/>
    <w:rsid w:val="0053725B"/>
    <w:rsid w:val="0053742B"/>
    <w:rsid w:val="0054001E"/>
    <w:rsid w:val="0054049A"/>
    <w:rsid w:val="005405FA"/>
    <w:rsid w:val="00540656"/>
    <w:rsid w:val="005407B1"/>
    <w:rsid w:val="00540C57"/>
    <w:rsid w:val="005413CE"/>
    <w:rsid w:val="00541741"/>
    <w:rsid w:val="00542457"/>
    <w:rsid w:val="005426E5"/>
    <w:rsid w:val="00542FCA"/>
    <w:rsid w:val="005434FB"/>
    <w:rsid w:val="005443FA"/>
    <w:rsid w:val="00544C53"/>
    <w:rsid w:val="0054521E"/>
    <w:rsid w:val="005459DF"/>
    <w:rsid w:val="005477FE"/>
    <w:rsid w:val="0054789E"/>
    <w:rsid w:val="00547A5B"/>
    <w:rsid w:val="00547B14"/>
    <w:rsid w:val="00547CA4"/>
    <w:rsid w:val="00547DA6"/>
    <w:rsid w:val="0055054E"/>
    <w:rsid w:val="00550994"/>
    <w:rsid w:val="00550C17"/>
    <w:rsid w:val="00550C2C"/>
    <w:rsid w:val="00550C48"/>
    <w:rsid w:val="00550D72"/>
    <w:rsid w:val="0055160A"/>
    <w:rsid w:val="005521A0"/>
    <w:rsid w:val="005525ED"/>
    <w:rsid w:val="005531BD"/>
    <w:rsid w:val="005531F1"/>
    <w:rsid w:val="005535DE"/>
    <w:rsid w:val="005541E8"/>
    <w:rsid w:val="005542A4"/>
    <w:rsid w:val="005542C7"/>
    <w:rsid w:val="00554E06"/>
    <w:rsid w:val="00554E16"/>
    <w:rsid w:val="005556F5"/>
    <w:rsid w:val="00555AF1"/>
    <w:rsid w:val="00555CDA"/>
    <w:rsid w:val="005567B2"/>
    <w:rsid w:val="00556A0B"/>
    <w:rsid w:val="00556D33"/>
    <w:rsid w:val="00556FA8"/>
    <w:rsid w:val="00557648"/>
    <w:rsid w:val="00557774"/>
    <w:rsid w:val="00557870"/>
    <w:rsid w:val="00560277"/>
    <w:rsid w:val="005603EA"/>
    <w:rsid w:val="00560938"/>
    <w:rsid w:val="00560AF1"/>
    <w:rsid w:val="00560EA8"/>
    <w:rsid w:val="005611DF"/>
    <w:rsid w:val="00561562"/>
    <w:rsid w:val="00561ED4"/>
    <w:rsid w:val="00562702"/>
    <w:rsid w:val="005629A1"/>
    <w:rsid w:val="005639E4"/>
    <w:rsid w:val="00563DE6"/>
    <w:rsid w:val="00563E57"/>
    <w:rsid w:val="00564172"/>
    <w:rsid w:val="00564889"/>
    <w:rsid w:val="00564B51"/>
    <w:rsid w:val="0056528D"/>
    <w:rsid w:val="0056540F"/>
    <w:rsid w:val="0056558E"/>
    <w:rsid w:val="00565BC6"/>
    <w:rsid w:val="00565D89"/>
    <w:rsid w:val="0056628B"/>
    <w:rsid w:val="00566298"/>
    <w:rsid w:val="00566ABE"/>
    <w:rsid w:val="00566FD2"/>
    <w:rsid w:val="00567625"/>
    <w:rsid w:val="00567887"/>
    <w:rsid w:val="005678D1"/>
    <w:rsid w:val="00567A3C"/>
    <w:rsid w:val="00570528"/>
    <w:rsid w:val="0057091E"/>
    <w:rsid w:val="00570DFF"/>
    <w:rsid w:val="00570FA1"/>
    <w:rsid w:val="005714A8"/>
    <w:rsid w:val="00571530"/>
    <w:rsid w:val="00571561"/>
    <w:rsid w:val="005715C9"/>
    <w:rsid w:val="0057192F"/>
    <w:rsid w:val="005723D6"/>
    <w:rsid w:val="00572C86"/>
    <w:rsid w:val="005730A1"/>
    <w:rsid w:val="00573E3F"/>
    <w:rsid w:val="005746BF"/>
    <w:rsid w:val="005749EA"/>
    <w:rsid w:val="00574A6E"/>
    <w:rsid w:val="00574C64"/>
    <w:rsid w:val="00574FD9"/>
    <w:rsid w:val="00575669"/>
    <w:rsid w:val="0057598C"/>
    <w:rsid w:val="00575B25"/>
    <w:rsid w:val="00575CC2"/>
    <w:rsid w:val="00576301"/>
    <w:rsid w:val="00576851"/>
    <w:rsid w:val="0057712C"/>
    <w:rsid w:val="00577145"/>
    <w:rsid w:val="005773BE"/>
    <w:rsid w:val="0057777B"/>
    <w:rsid w:val="00577D82"/>
    <w:rsid w:val="00577F71"/>
    <w:rsid w:val="005800E9"/>
    <w:rsid w:val="00580985"/>
    <w:rsid w:val="00580D3F"/>
    <w:rsid w:val="005811B4"/>
    <w:rsid w:val="0058166D"/>
    <w:rsid w:val="00581697"/>
    <w:rsid w:val="00581824"/>
    <w:rsid w:val="00581868"/>
    <w:rsid w:val="00582207"/>
    <w:rsid w:val="00582365"/>
    <w:rsid w:val="0058250E"/>
    <w:rsid w:val="0058262A"/>
    <w:rsid w:val="0058286F"/>
    <w:rsid w:val="005834A2"/>
    <w:rsid w:val="00583509"/>
    <w:rsid w:val="00583616"/>
    <w:rsid w:val="0058464C"/>
    <w:rsid w:val="0058481A"/>
    <w:rsid w:val="0058500C"/>
    <w:rsid w:val="00585C1B"/>
    <w:rsid w:val="00585D21"/>
    <w:rsid w:val="00586395"/>
    <w:rsid w:val="005869F0"/>
    <w:rsid w:val="00586DBD"/>
    <w:rsid w:val="005875B6"/>
    <w:rsid w:val="00587639"/>
    <w:rsid w:val="005878FC"/>
    <w:rsid w:val="00590970"/>
    <w:rsid w:val="00590A09"/>
    <w:rsid w:val="00590A4A"/>
    <w:rsid w:val="00590ED0"/>
    <w:rsid w:val="00591357"/>
    <w:rsid w:val="0059164F"/>
    <w:rsid w:val="00592638"/>
    <w:rsid w:val="00592D53"/>
    <w:rsid w:val="00592FB1"/>
    <w:rsid w:val="00593138"/>
    <w:rsid w:val="005931BF"/>
    <w:rsid w:val="00593A33"/>
    <w:rsid w:val="00593A50"/>
    <w:rsid w:val="0059410A"/>
    <w:rsid w:val="00594344"/>
    <w:rsid w:val="005947B5"/>
    <w:rsid w:val="00594A22"/>
    <w:rsid w:val="00594F83"/>
    <w:rsid w:val="0059578F"/>
    <w:rsid w:val="005957EB"/>
    <w:rsid w:val="00595DAE"/>
    <w:rsid w:val="005960BB"/>
    <w:rsid w:val="00596BB0"/>
    <w:rsid w:val="00596C9C"/>
    <w:rsid w:val="00597407"/>
    <w:rsid w:val="005975EE"/>
    <w:rsid w:val="00597731"/>
    <w:rsid w:val="00597A57"/>
    <w:rsid w:val="00597E46"/>
    <w:rsid w:val="005A0496"/>
    <w:rsid w:val="005A05E6"/>
    <w:rsid w:val="005A0F9C"/>
    <w:rsid w:val="005A0FA0"/>
    <w:rsid w:val="005A2FDA"/>
    <w:rsid w:val="005A4047"/>
    <w:rsid w:val="005A425D"/>
    <w:rsid w:val="005A4384"/>
    <w:rsid w:val="005A48D3"/>
    <w:rsid w:val="005A4A77"/>
    <w:rsid w:val="005A4BE3"/>
    <w:rsid w:val="005A5320"/>
    <w:rsid w:val="005A571E"/>
    <w:rsid w:val="005A5B12"/>
    <w:rsid w:val="005A5E54"/>
    <w:rsid w:val="005A633A"/>
    <w:rsid w:val="005A6603"/>
    <w:rsid w:val="005A7012"/>
    <w:rsid w:val="005A7231"/>
    <w:rsid w:val="005A7541"/>
    <w:rsid w:val="005A7A5E"/>
    <w:rsid w:val="005A7A6D"/>
    <w:rsid w:val="005B0321"/>
    <w:rsid w:val="005B0354"/>
    <w:rsid w:val="005B058B"/>
    <w:rsid w:val="005B0661"/>
    <w:rsid w:val="005B11A4"/>
    <w:rsid w:val="005B192E"/>
    <w:rsid w:val="005B1C07"/>
    <w:rsid w:val="005B1C70"/>
    <w:rsid w:val="005B2063"/>
    <w:rsid w:val="005B23F8"/>
    <w:rsid w:val="005B277E"/>
    <w:rsid w:val="005B2C51"/>
    <w:rsid w:val="005B2D48"/>
    <w:rsid w:val="005B3432"/>
    <w:rsid w:val="005B3BD6"/>
    <w:rsid w:val="005B3BFA"/>
    <w:rsid w:val="005B4A5A"/>
    <w:rsid w:val="005B4DBB"/>
    <w:rsid w:val="005B4FAF"/>
    <w:rsid w:val="005B52CA"/>
    <w:rsid w:val="005B53FA"/>
    <w:rsid w:val="005B5806"/>
    <w:rsid w:val="005B5F71"/>
    <w:rsid w:val="005B6C3E"/>
    <w:rsid w:val="005B6D42"/>
    <w:rsid w:val="005B7255"/>
    <w:rsid w:val="005B78E7"/>
    <w:rsid w:val="005B7B69"/>
    <w:rsid w:val="005B7D6C"/>
    <w:rsid w:val="005B7EA0"/>
    <w:rsid w:val="005C0198"/>
    <w:rsid w:val="005C0350"/>
    <w:rsid w:val="005C0E2B"/>
    <w:rsid w:val="005C116D"/>
    <w:rsid w:val="005C16C2"/>
    <w:rsid w:val="005C19E3"/>
    <w:rsid w:val="005C1AFB"/>
    <w:rsid w:val="005C2253"/>
    <w:rsid w:val="005C265D"/>
    <w:rsid w:val="005C27FE"/>
    <w:rsid w:val="005C305C"/>
    <w:rsid w:val="005C3224"/>
    <w:rsid w:val="005C33F1"/>
    <w:rsid w:val="005C441C"/>
    <w:rsid w:val="005C4760"/>
    <w:rsid w:val="005C4E76"/>
    <w:rsid w:val="005C53E6"/>
    <w:rsid w:val="005C5CD3"/>
    <w:rsid w:val="005C63B0"/>
    <w:rsid w:val="005C7215"/>
    <w:rsid w:val="005C72E9"/>
    <w:rsid w:val="005C73C4"/>
    <w:rsid w:val="005C7913"/>
    <w:rsid w:val="005C7B53"/>
    <w:rsid w:val="005D00EA"/>
    <w:rsid w:val="005D0198"/>
    <w:rsid w:val="005D023B"/>
    <w:rsid w:val="005D02C4"/>
    <w:rsid w:val="005D1210"/>
    <w:rsid w:val="005D1C27"/>
    <w:rsid w:val="005D1C58"/>
    <w:rsid w:val="005D1E18"/>
    <w:rsid w:val="005D2304"/>
    <w:rsid w:val="005D23E8"/>
    <w:rsid w:val="005D2442"/>
    <w:rsid w:val="005D28BD"/>
    <w:rsid w:val="005D2E91"/>
    <w:rsid w:val="005D33FD"/>
    <w:rsid w:val="005D3441"/>
    <w:rsid w:val="005D3A04"/>
    <w:rsid w:val="005D48FE"/>
    <w:rsid w:val="005D4DF8"/>
    <w:rsid w:val="005D52E9"/>
    <w:rsid w:val="005D5396"/>
    <w:rsid w:val="005D5C87"/>
    <w:rsid w:val="005D66A9"/>
    <w:rsid w:val="005D6C1A"/>
    <w:rsid w:val="005D6E2E"/>
    <w:rsid w:val="005D7471"/>
    <w:rsid w:val="005D749D"/>
    <w:rsid w:val="005D753D"/>
    <w:rsid w:val="005D7FAF"/>
    <w:rsid w:val="005E00CD"/>
    <w:rsid w:val="005E0A0E"/>
    <w:rsid w:val="005E2200"/>
    <w:rsid w:val="005E2702"/>
    <w:rsid w:val="005E293D"/>
    <w:rsid w:val="005E328D"/>
    <w:rsid w:val="005E4378"/>
    <w:rsid w:val="005E46A0"/>
    <w:rsid w:val="005E4777"/>
    <w:rsid w:val="005E493A"/>
    <w:rsid w:val="005E49E1"/>
    <w:rsid w:val="005E5874"/>
    <w:rsid w:val="005E5DD1"/>
    <w:rsid w:val="005E6377"/>
    <w:rsid w:val="005E7590"/>
    <w:rsid w:val="005E75D5"/>
    <w:rsid w:val="005E7ED1"/>
    <w:rsid w:val="005F030A"/>
    <w:rsid w:val="005F082C"/>
    <w:rsid w:val="005F0918"/>
    <w:rsid w:val="005F099B"/>
    <w:rsid w:val="005F11D1"/>
    <w:rsid w:val="005F1555"/>
    <w:rsid w:val="005F1692"/>
    <w:rsid w:val="005F1F53"/>
    <w:rsid w:val="005F256F"/>
    <w:rsid w:val="005F2610"/>
    <w:rsid w:val="005F2978"/>
    <w:rsid w:val="005F2A6E"/>
    <w:rsid w:val="005F2F5D"/>
    <w:rsid w:val="005F4112"/>
    <w:rsid w:val="005F41A1"/>
    <w:rsid w:val="005F4236"/>
    <w:rsid w:val="005F4721"/>
    <w:rsid w:val="005F491F"/>
    <w:rsid w:val="005F51D7"/>
    <w:rsid w:val="005F5BA5"/>
    <w:rsid w:val="005F6103"/>
    <w:rsid w:val="005F62D7"/>
    <w:rsid w:val="005F6AA5"/>
    <w:rsid w:val="005F6ADA"/>
    <w:rsid w:val="005F6B45"/>
    <w:rsid w:val="005F720A"/>
    <w:rsid w:val="005F74F4"/>
    <w:rsid w:val="005F7CC9"/>
    <w:rsid w:val="005F7DFC"/>
    <w:rsid w:val="005F7E83"/>
    <w:rsid w:val="006009A7"/>
    <w:rsid w:val="006009AF"/>
    <w:rsid w:val="00600D54"/>
    <w:rsid w:val="006014A1"/>
    <w:rsid w:val="006015F6"/>
    <w:rsid w:val="006016CB"/>
    <w:rsid w:val="00601B03"/>
    <w:rsid w:val="00601D9D"/>
    <w:rsid w:val="006028E5"/>
    <w:rsid w:val="00602964"/>
    <w:rsid w:val="00602B33"/>
    <w:rsid w:val="00602F43"/>
    <w:rsid w:val="006032E9"/>
    <w:rsid w:val="00603B08"/>
    <w:rsid w:val="00603F6E"/>
    <w:rsid w:val="006043BE"/>
    <w:rsid w:val="006043FF"/>
    <w:rsid w:val="00604647"/>
    <w:rsid w:val="00604D93"/>
    <w:rsid w:val="00604FA3"/>
    <w:rsid w:val="00605776"/>
    <w:rsid w:val="00605ACE"/>
    <w:rsid w:val="00605D7A"/>
    <w:rsid w:val="00606022"/>
    <w:rsid w:val="006060A8"/>
    <w:rsid w:val="006062A5"/>
    <w:rsid w:val="006070B2"/>
    <w:rsid w:val="00607E1C"/>
    <w:rsid w:val="00610162"/>
    <w:rsid w:val="0061018D"/>
    <w:rsid w:val="00610751"/>
    <w:rsid w:val="00610ABA"/>
    <w:rsid w:val="006111B9"/>
    <w:rsid w:val="00611477"/>
    <w:rsid w:val="0061152F"/>
    <w:rsid w:val="00611764"/>
    <w:rsid w:val="0061228B"/>
    <w:rsid w:val="0061267D"/>
    <w:rsid w:val="006126CA"/>
    <w:rsid w:val="006129F6"/>
    <w:rsid w:val="00612CEA"/>
    <w:rsid w:val="00613037"/>
    <w:rsid w:val="006135AB"/>
    <w:rsid w:val="006138E4"/>
    <w:rsid w:val="00613BEA"/>
    <w:rsid w:val="00614142"/>
    <w:rsid w:val="006144F6"/>
    <w:rsid w:val="00614676"/>
    <w:rsid w:val="00614D5A"/>
    <w:rsid w:val="00614F57"/>
    <w:rsid w:val="00615149"/>
    <w:rsid w:val="00615C5E"/>
    <w:rsid w:val="006162B9"/>
    <w:rsid w:val="00616407"/>
    <w:rsid w:val="006167D4"/>
    <w:rsid w:val="006169AE"/>
    <w:rsid w:val="00616A91"/>
    <w:rsid w:val="00616DF9"/>
    <w:rsid w:val="00616E72"/>
    <w:rsid w:val="00617026"/>
    <w:rsid w:val="006173D1"/>
    <w:rsid w:val="006204D7"/>
    <w:rsid w:val="0062055B"/>
    <w:rsid w:val="006205AA"/>
    <w:rsid w:val="00620BB2"/>
    <w:rsid w:val="00620E5A"/>
    <w:rsid w:val="00621617"/>
    <w:rsid w:val="006227A6"/>
    <w:rsid w:val="00622B14"/>
    <w:rsid w:val="0062308B"/>
    <w:rsid w:val="0062334D"/>
    <w:rsid w:val="00623651"/>
    <w:rsid w:val="006236CA"/>
    <w:rsid w:val="006237D6"/>
    <w:rsid w:val="00623D9E"/>
    <w:rsid w:val="00623E95"/>
    <w:rsid w:val="00624A23"/>
    <w:rsid w:val="00624AC4"/>
    <w:rsid w:val="006250E9"/>
    <w:rsid w:val="0062579C"/>
    <w:rsid w:val="00625CA7"/>
    <w:rsid w:val="00625E06"/>
    <w:rsid w:val="0062698B"/>
    <w:rsid w:val="00626DED"/>
    <w:rsid w:val="00627368"/>
    <w:rsid w:val="00627BE6"/>
    <w:rsid w:val="006301EA"/>
    <w:rsid w:val="00630272"/>
    <w:rsid w:val="00630A6C"/>
    <w:rsid w:val="00630C9A"/>
    <w:rsid w:val="00631143"/>
    <w:rsid w:val="006319E6"/>
    <w:rsid w:val="00631FB8"/>
    <w:rsid w:val="00632551"/>
    <w:rsid w:val="00632D89"/>
    <w:rsid w:val="00632F8D"/>
    <w:rsid w:val="006334B5"/>
    <w:rsid w:val="00633954"/>
    <w:rsid w:val="00633B2F"/>
    <w:rsid w:val="00633C08"/>
    <w:rsid w:val="00633F92"/>
    <w:rsid w:val="00634333"/>
    <w:rsid w:val="00634512"/>
    <w:rsid w:val="006346B8"/>
    <w:rsid w:val="00634923"/>
    <w:rsid w:val="00634DCF"/>
    <w:rsid w:val="00635554"/>
    <w:rsid w:val="00635E0A"/>
    <w:rsid w:val="00636447"/>
    <w:rsid w:val="006364BE"/>
    <w:rsid w:val="0063685E"/>
    <w:rsid w:val="00636DE9"/>
    <w:rsid w:val="0063740B"/>
    <w:rsid w:val="0063788B"/>
    <w:rsid w:val="00637AAF"/>
    <w:rsid w:val="006403E5"/>
    <w:rsid w:val="00640ABD"/>
    <w:rsid w:val="00640C31"/>
    <w:rsid w:val="00640C57"/>
    <w:rsid w:val="006413BB"/>
    <w:rsid w:val="00641832"/>
    <w:rsid w:val="00641A2B"/>
    <w:rsid w:val="00641B2F"/>
    <w:rsid w:val="00641BD8"/>
    <w:rsid w:val="006428B9"/>
    <w:rsid w:val="00642942"/>
    <w:rsid w:val="00642A1B"/>
    <w:rsid w:val="00642E47"/>
    <w:rsid w:val="00642FA0"/>
    <w:rsid w:val="00643226"/>
    <w:rsid w:val="006432F5"/>
    <w:rsid w:val="0064361C"/>
    <w:rsid w:val="00644541"/>
    <w:rsid w:val="0064456F"/>
    <w:rsid w:val="0064492B"/>
    <w:rsid w:val="00644BCE"/>
    <w:rsid w:val="006455A2"/>
    <w:rsid w:val="006457C1"/>
    <w:rsid w:val="006459EF"/>
    <w:rsid w:val="006459F6"/>
    <w:rsid w:val="00645DA7"/>
    <w:rsid w:val="006465F3"/>
    <w:rsid w:val="00646BDA"/>
    <w:rsid w:val="00646C58"/>
    <w:rsid w:val="00647276"/>
    <w:rsid w:val="00647923"/>
    <w:rsid w:val="00647DD3"/>
    <w:rsid w:val="00650043"/>
    <w:rsid w:val="006505E9"/>
    <w:rsid w:val="00650B8D"/>
    <w:rsid w:val="00650DCB"/>
    <w:rsid w:val="00650F8C"/>
    <w:rsid w:val="006516FE"/>
    <w:rsid w:val="00651BF5"/>
    <w:rsid w:val="00651C07"/>
    <w:rsid w:val="00652457"/>
    <w:rsid w:val="006534BF"/>
    <w:rsid w:val="00653583"/>
    <w:rsid w:val="00653735"/>
    <w:rsid w:val="006537D7"/>
    <w:rsid w:val="00653EC7"/>
    <w:rsid w:val="0065444A"/>
    <w:rsid w:val="006548D6"/>
    <w:rsid w:val="00654F68"/>
    <w:rsid w:val="00655424"/>
    <w:rsid w:val="0065562C"/>
    <w:rsid w:val="006556E9"/>
    <w:rsid w:val="00655C10"/>
    <w:rsid w:val="00655CF9"/>
    <w:rsid w:val="00655D17"/>
    <w:rsid w:val="00655D45"/>
    <w:rsid w:val="00655ECF"/>
    <w:rsid w:val="0065629D"/>
    <w:rsid w:val="006565C8"/>
    <w:rsid w:val="00656780"/>
    <w:rsid w:val="00656B08"/>
    <w:rsid w:val="00656FF8"/>
    <w:rsid w:val="0065714C"/>
    <w:rsid w:val="006574E7"/>
    <w:rsid w:val="006575A0"/>
    <w:rsid w:val="0066025E"/>
    <w:rsid w:val="00660458"/>
    <w:rsid w:val="00660A74"/>
    <w:rsid w:val="00661121"/>
    <w:rsid w:val="00661845"/>
    <w:rsid w:val="00661F8D"/>
    <w:rsid w:val="0066233B"/>
    <w:rsid w:val="00662755"/>
    <w:rsid w:val="00662E5F"/>
    <w:rsid w:val="00663290"/>
    <w:rsid w:val="006637C9"/>
    <w:rsid w:val="00663885"/>
    <w:rsid w:val="00663E52"/>
    <w:rsid w:val="00664162"/>
    <w:rsid w:val="00664285"/>
    <w:rsid w:val="00664434"/>
    <w:rsid w:val="006644EC"/>
    <w:rsid w:val="0066561F"/>
    <w:rsid w:val="00665804"/>
    <w:rsid w:val="00665B56"/>
    <w:rsid w:val="00665BFA"/>
    <w:rsid w:val="00665CF6"/>
    <w:rsid w:val="00665EF2"/>
    <w:rsid w:val="00666082"/>
    <w:rsid w:val="00666A58"/>
    <w:rsid w:val="0066717A"/>
    <w:rsid w:val="00667A8F"/>
    <w:rsid w:val="00667BA8"/>
    <w:rsid w:val="00670650"/>
    <w:rsid w:val="0067094A"/>
    <w:rsid w:val="00670A2A"/>
    <w:rsid w:val="00670D25"/>
    <w:rsid w:val="00670DD6"/>
    <w:rsid w:val="00670F31"/>
    <w:rsid w:val="006712C0"/>
    <w:rsid w:val="006715D7"/>
    <w:rsid w:val="006719D9"/>
    <w:rsid w:val="00671AB0"/>
    <w:rsid w:val="006723C6"/>
    <w:rsid w:val="0067350B"/>
    <w:rsid w:val="0067377F"/>
    <w:rsid w:val="00673781"/>
    <w:rsid w:val="006737AF"/>
    <w:rsid w:val="006739E4"/>
    <w:rsid w:val="00673C40"/>
    <w:rsid w:val="00673D97"/>
    <w:rsid w:val="00673F04"/>
    <w:rsid w:val="006742C4"/>
    <w:rsid w:val="00674424"/>
    <w:rsid w:val="006744AC"/>
    <w:rsid w:val="00674C7D"/>
    <w:rsid w:val="00675FB4"/>
    <w:rsid w:val="00676096"/>
    <w:rsid w:val="00676E13"/>
    <w:rsid w:val="006770BF"/>
    <w:rsid w:val="006778D4"/>
    <w:rsid w:val="0067794A"/>
    <w:rsid w:val="00677C87"/>
    <w:rsid w:val="00677D5A"/>
    <w:rsid w:val="0068076F"/>
    <w:rsid w:val="0068095F"/>
    <w:rsid w:val="00680B40"/>
    <w:rsid w:val="00680FE6"/>
    <w:rsid w:val="006811CF"/>
    <w:rsid w:val="00681C4D"/>
    <w:rsid w:val="00681EC9"/>
    <w:rsid w:val="006822FA"/>
    <w:rsid w:val="0068288C"/>
    <w:rsid w:val="00682C7E"/>
    <w:rsid w:val="00682F09"/>
    <w:rsid w:val="00683865"/>
    <w:rsid w:val="006839A0"/>
    <w:rsid w:val="00683A1C"/>
    <w:rsid w:val="00683F36"/>
    <w:rsid w:val="00683FE8"/>
    <w:rsid w:val="006843F3"/>
    <w:rsid w:val="00684553"/>
    <w:rsid w:val="006847E9"/>
    <w:rsid w:val="0068484E"/>
    <w:rsid w:val="00684ADF"/>
    <w:rsid w:val="00685488"/>
    <w:rsid w:val="00685589"/>
    <w:rsid w:val="006857F3"/>
    <w:rsid w:val="00685A8F"/>
    <w:rsid w:val="00685BD4"/>
    <w:rsid w:val="00685C9F"/>
    <w:rsid w:val="00685D7E"/>
    <w:rsid w:val="00686013"/>
    <w:rsid w:val="0068637D"/>
    <w:rsid w:val="0068682C"/>
    <w:rsid w:val="00687100"/>
    <w:rsid w:val="006876F5"/>
    <w:rsid w:val="0069067A"/>
    <w:rsid w:val="00690E52"/>
    <w:rsid w:val="006910C8"/>
    <w:rsid w:val="0069178F"/>
    <w:rsid w:val="00691EB9"/>
    <w:rsid w:val="0069229A"/>
    <w:rsid w:val="0069231A"/>
    <w:rsid w:val="00692453"/>
    <w:rsid w:val="0069274E"/>
    <w:rsid w:val="00692763"/>
    <w:rsid w:val="00692CC6"/>
    <w:rsid w:val="006938AA"/>
    <w:rsid w:val="00693963"/>
    <w:rsid w:val="006941FC"/>
    <w:rsid w:val="0069450B"/>
    <w:rsid w:val="0069474B"/>
    <w:rsid w:val="0069475D"/>
    <w:rsid w:val="00694AA3"/>
    <w:rsid w:val="00694E56"/>
    <w:rsid w:val="00695575"/>
    <w:rsid w:val="0069566E"/>
    <w:rsid w:val="006959BD"/>
    <w:rsid w:val="006962E7"/>
    <w:rsid w:val="00697966"/>
    <w:rsid w:val="00697DFC"/>
    <w:rsid w:val="00697FC7"/>
    <w:rsid w:val="006A09CA"/>
    <w:rsid w:val="006A0A69"/>
    <w:rsid w:val="006A0BE8"/>
    <w:rsid w:val="006A0CE7"/>
    <w:rsid w:val="006A0F06"/>
    <w:rsid w:val="006A12FA"/>
    <w:rsid w:val="006A1459"/>
    <w:rsid w:val="006A1D6E"/>
    <w:rsid w:val="006A28A8"/>
    <w:rsid w:val="006A29F3"/>
    <w:rsid w:val="006A2D7A"/>
    <w:rsid w:val="006A3711"/>
    <w:rsid w:val="006A386E"/>
    <w:rsid w:val="006A3A2B"/>
    <w:rsid w:val="006A3FA2"/>
    <w:rsid w:val="006A445A"/>
    <w:rsid w:val="006A47B7"/>
    <w:rsid w:val="006A47DB"/>
    <w:rsid w:val="006A4A27"/>
    <w:rsid w:val="006A4A5F"/>
    <w:rsid w:val="006A4CA2"/>
    <w:rsid w:val="006A56AC"/>
    <w:rsid w:val="006A5A7D"/>
    <w:rsid w:val="006A5DA3"/>
    <w:rsid w:val="006A62AD"/>
    <w:rsid w:val="006A62BD"/>
    <w:rsid w:val="006A636E"/>
    <w:rsid w:val="006A655C"/>
    <w:rsid w:val="006A6BF1"/>
    <w:rsid w:val="006A6F78"/>
    <w:rsid w:val="006A72D9"/>
    <w:rsid w:val="006A7B61"/>
    <w:rsid w:val="006A7D8E"/>
    <w:rsid w:val="006B07D5"/>
    <w:rsid w:val="006B10DD"/>
    <w:rsid w:val="006B1B30"/>
    <w:rsid w:val="006B1E4B"/>
    <w:rsid w:val="006B1EF2"/>
    <w:rsid w:val="006B273C"/>
    <w:rsid w:val="006B2A0C"/>
    <w:rsid w:val="006B2B80"/>
    <w:rsid w:val="006B3032"/>
    <w:rsid w:val="006B30BA"/>
    <w:rsid w:val="006B30C5"/>
    <w:rsid w:val="006B3329"/>
    <w:rsid w:val="006B3628"/>
    <w:rsid w:val="006B365A"/>
    <w:rsid w:val="006B3815"/>
    <w:rsid w:val="006B4793"/>
    <w:rsid w:val="006B47CA"/>
    <w:rsid w:val="006B4B4A"/>
    <w:rsid w:val="006B513F"/>
    <w:rsid w:val="006B5331"/>
    <w:rsid w:val="006B5545"/>
    <w:rsid w:val="006B586A"/>
    <w:rsid w:val="006B5B7E"/>
    <w:rsid w:val="006B7377"/>
    <w:rsid w:val="006B75C6"/>
    <w:rsid w:val="006B773B"/>
    <w:rsid w:val="006B7D40"/>
    <w:rsid w:val="006B7F45"/>
    <w:rsid w:val="006C0606"/>
    <w:rsid w:val="006C0B45"/>
    <w:rsid w:val="006C11BE"/>
    <w:rsid w:val="006C1556"/>
    <w:rsid w:val="006C2102"/>
    <w:rsid w:val="006C2316"/>
    <w:rsid w:val="006C2787"/>
    <w:rsid w:val="006C2904"/>
    <w:rsid w:val="006C2DD6"/>
    <w:rsid w:val="006C2F58"/>
    <w:rsid w:val="006C354C"/>
    <w:rsid w:val="006C37ED"/>
    <w:rsid w:val="006C3B76"/>
    <w:rsid w:val="006C4079"/>
    <w:rsid w:val="006C420C"/>
    <w:rsid w:val="006C43D3"/>
    <w:rsid w:val="006C4572"/>
    <w:rsid w:val="006C4FA3"/>
    <w:rsid w:val="006C5017"/>
    <w:rsid w:val="006C568C"/>
    <w:rsid w:val="006C5781"/>
    <w:rsid w:val="006C58B6"/>
    <w:rsid w:val="006C5966"/>
    <w:rsid w:val="006C5BE5"/>
    <w:rsid w:val="006C6E64"/>
    <w:rsid w:val="006C6F8F"/>
    <w:rsid w:val="006C7608"/>
    <w:rsid w:val="006C779A"/>
    <w:rsid w:val="006C79F5"/>
    <w:rsid w:val="006C7B03"/>
    <w:rsid w:val="006D0077"/>
    <w:rsid w:val="006D0160"/>
    <w:rsid w:val="006D01B3"/>
    <w:rsid w:val="006D0EC2"/>
    <w:rsid w:val="006D12E5"/>
    <w:rsid w:val="006D25E4"/>
    <w:rsid w:val="006D26E1"/>
    <w:rsid w:val="006D2C59"/>
    <w:rsid w:val="006D3416"/>
    <w:rsid w:val="006D35B3"/>
    <w:rsid w:val="006D4BCD"/>
    <w:rsid w:val="006D4C72"/>
    <w:rsid w:val="006D4D98"/>
    <w:rsid w:val="006D4E4C"/>
    <w:rsid w:val="006D5585"/>
    <w:rsid w:val="006D5BAA"/>
    <w:rsid w:val="006D5F76"/>
    <w:rsid w:val="006D600B"/>
    <w:rsid w:val="006D611E"/>
    <w:rsid w:val="006D6192"/>
    <w:rsid w:val="006D61E3"/>
    <w:rsid w:val="006D64F2"/>
    <w:rsid w:val="006D6CCC"/>
    <w:rsid w:val="006D6D96"/>
    <w:rsid w:val="006D7211"/>
    <w:rsid w:val="006D75C8"/>
    <w:rsid w:val="006D771D"/>
    <w:rsid w:val="006D786C"/>
    <w:rsid w:val="006D7905"/>
    <w:rsid w:val="006D7915"/>
    <w:rsid w:val="006D791E"/>
    <w:rsid w:val="006D7FD7"/>
    <w:rsid w:val="006E06EF"/>
    <w:rsid w:val="006E0A71"/>
    <w:rsid w:val="006E0E73"/>
    <w:rsid w:val="006E116A"/>
    <w:rsid w:val="006E1576"/>
    <w:rsid w:val="006E1B3B"/>
    <w:rsid w:val="006E1DAD"/>
    <w:rsid w:val="006E23C2"/>
    <w:rsid w:val="006E283B"/>
    <w:rsid w:val="006E2FA4"/>
    <w:rsid w:val="006E3411"/>
    <w:rsid w:val="006E4A28"/>
    <w:rsid w:val="006E4C7A"/>
    <w:rsid w:val="006E4F5D"/>
    <w:rsid w:val="006E5C9C"/>
    <w:rsid w:val="006E60F4"/>
    <w:rsid w:val="006E62A9"/>
    <w:rsid w:val="006E6955"/>
    <w:rsid w:val="006E757E"/>
    <w:rsid w:val="006E76BF"/>
    <w:rsid w:val="006E777E"/>
    <w:rsid w:val="006E7DA9"/>
    <w:rsid w:val="006F073B"/>
    <w:rsid w:val="006F0D46"/>
    <w:rsid w:val="006F0FE7"/>
    <w:rsid w:val="006F1B71"/>
    <w:rsid w:val="006F1BB0"/>
    <w:rsid w:val="006F23DD"/>
    <w:rsid w:val="006F29DE"/>
    <w:rsid w:val="006F2FF0"/>
    <w:rsid w:val="006F31BC"/>
    <w:rsid w:val="006F3592"/>
    <w:rsid w:val="006F3713"/>
    <w:rsid w:val="006F396A"/>
    <w:rsid w:val="006F39E2"/>
    <w:rsid w:val="006F3CEE"/>
    <w:rsid w:val="006F44D0"/>
    <w:rsid w:val="006F48EE"/>
    <w:rsid w:val="006F4B1F"/>
    <w:rsid w:val="006F4C52"/>
    <w:rsid w:val="006F5158"/>
    <w:rsid w:val="006F591B"/>
    <w:rsid w:val="006F5E8C"/>
    <w:rsid w:val="006F61CD"/>
    <w:rsid w:val="006F632D"/>
    <w:rsid w:val="006F64A4"/>
    <w:rsid w:val="006F6580"/>
    <w:rsid w:val="006F67FD"/>
    <w:rsid w:val="006F68E5"/>
    <w:rsid w:val="006F6A9A"/>
    <w:rsid w:val="006F6AAF"/>
    <w:rsid w:val="006F72BB"/>
    <w:rsid w:val="006F76DF"/>
    <w:rsid w:val="006F7E76"/>
    <w:rsid w:val="006F7EC0"/>
    <w:rsid w:val="0070001C"/>
    <w:rsid w:val="00700106"/>
    <w:rsid w:val="00700950"/>
    <w:rsid w:val="00700F7D"/>
    <w:rsid w:val="00701136"/>
    <w:rsid w:val="00701945"/>
    <w:rsid w:val="00701B6E"/>
    <w:rsid w:val="00701BF7"/>
    <w:rsid w:val="00701E3E"/>
    <w:rsid w:val="00701EBB"/>
    <w:rsid w:val="00702042"/>
    <w:rsid w:val="00702405"/>
    <w:rsid w:val="00702B2B"/>
    <w:rsid w:val="00702D88"/>
    <w:rsid w:val="0070319A"/>
    <w:rsid w:val="00703929"/>
    <w:rsid w:val="00703977"/>
    <w:rsid w:val="00703CB4"/>
    <w:rsid w:val="00703FA0"/>
    <w:rsid w:val="00704105"/>
    <w:rsid w:val="00704273"/>
    <w:rsid w:val="00704879"/>
    <w:rsid w:val="00705253"/>
    <w:rsid w:val="0070645F"/>
    <w:rsid w:val="00706DBB"/>
    <w:rsid w:val="00706F71"/>
    <w:rsid w:val="007073BF"/>
    <w:rsid w:val="00707970"/>
    <w:rsid w:val="00707A4B"/>
    <w:rsid w:val="00707C18"/>
    <w:rsid w:val="00707EE4"/>
    <w:rsid w:val="007103A9"/>
    <w:rsid w:val="00710AF2"/>
    <w:rsid w:val="00710C65"/>
    <w:rsid w:val="0071121E"/>
    <w:rsid w:val="00712DA6"/>
    <w:rsid w:val="00712E99"/>
    <w:rsid w:val="00714706"/>
    <w:rsid w:val="00714898"/>
    <w:rsid w:val="0071497E"/>
    <w:rsid w:val="00714AD2"/>
    <w:rsid w:val="00714CA2"/>
    <w:rsid w:val="00715103"/>
    <w:rsid w:val="0071593C"/>
    <w:rsid w:val="007159BC"/>
    <w:rsid w:val="00715AA3"/>
    <w:rsid w:val="00715D19"/>
    <w:rsid w:val="00716499"/>
    <w:rsid w:val="007166C9"/>
    <w:rsid w:val="00716AD2"/>
    <w:rsid w:val="00716FA5"/>
    <w:rsid w:val="007171A9"/>
    <w:rsid w:val="007171AD"/>
    <w:rsid w:val="007173ED"/>
    <w:rsid w:val="0071792C"/>
    <w:rsid w:val="007200B2"/>
    <w:rsid w:val="007203CA"/>
    <w:rsid w:val="0072069D"/>
    <w:rsid w:val="007216C5"/>
    <w:rsid w:val="007218C9"/>
    <w:rsid w:val="00721A4B"/>
    <w:rsid w:val="0072204D"/>
    <w:rsid w:val="007223F8"/>
    <w:rsid w:val="007224E1"/>
    <w:rsid w:val="0072261F"/>
    <w:rsid w:val="007226F5"/>
    <w:rsid w:val="007229E0"/>
    <w:rsid w:val="00723913"/>
    <w:rsid w:val="00723B2C"/>
    <w:rsid w:val="00724039"/>
    <w:rsid w:val="00724ED0"/>
    <w:rsid w:val="00724F92"/>
    <w:rsid w:val="007253D6"/>
    <w:rsid w:val="00725619"/>
    <w:rsid w:val="0072578A"/>
    <w:rsid w:val="00725842"/>
    <w:rsid w:val="0072597A"/>
    <w:rsid w:val="0072647E"/>
    <w:rsid w:val="00726483"/>
    <w:rsid w:val="0072720B"/>
    <w:rsid w:val="007273FD"/>
    <w:rsid w:val="00727AAB"/>
    <w:rsid w:val="00727BF8"/>
    <w:rsid w:val="00730251"/>
    <w:rsid w:val="007303E6"/>
    <w:rsid w:val="0073191A"/>
    <w:rsid w:val="00731CC1"/>
    <w:rsid w:val="00731F5E"/>
    <w:rsid w:val="00732077"/>
    <w:rsid w:val="00732250"/>
    <w:rsid w:val="00732429"/>
    <w:rsid w:val="00732F67"/>
    <w:rsid w:val="00733523"/>
    <w:rsid w:val="0073352B"/>
    <w:rsid w:val="00733E65"/>
    <w:rsid w:val="00734358"/>
    <w:rsid w:val="00734490"/>
    <w:rsid w:val="007346D0"/>
    <w:rsid w:val="007353C4"/>
    <w:rsid w:val="0073568A"/>
    <w:rsid w:val="00735A09"/>
    <w:rsid w:val="00736374"/>
    <w:rsid w:val="007367E2"/>
    <w:rsid w:val="00736A21"/>
    <w:rsid w:val="00736C2A"/>
    <w:rsid w:val="00736D6C"/>
    <w:rsid w:val="00737000"/>
    <w:rsid w:val="0073792C"/>
    <w:rsid w:val="00737B82"/>
    <w:rsid w:val="00737EC4"/>
    <w:rsid w:val="007403C9"/>
    <w:rsid w:val="00740D2C"/>
    <w:rsid w:val="00740E37"/>
    <w:rsid w:val="00741605"/>
    <w:rsid w:val="00741610"/>
    <w:rsid w:val="00741A82"/>
    <w:rsid w:val="00741CAB"/>
    <w:rsid w:val="0074257A"/>
    <w:rsid w:val="00742593"/>
    <w:rsid w:val="0074274C"/>
    <w:rsid w:val="007429E7"/>
    <w:rsid w:val="00742AA2"/>
    <w:rsid w:val="00742F64"/>
    <w:rsid w:val="00742FA3"/>
    <w:rsid w:val="007439DF"/>
    <w:rsid w:val="00743B73"/>
    <w:rsid w:val="00743BEE"/>
    <w:rsid w:val="007445FA"/>
    <w:rsid w:val="007445FD"/>
    <w:rsid w:val="00744CED"/>
    <w:rsid w:val="007451EE"/>
    <w:rsid w:val="007459A0"/>
    <w:rsid w:val="00745FA0"/>
    <w:rsid w:val="00746686"/>
    <w:rsid w:val="00746869"/>
    <w:rsid w:val="00747245"/>
    <w:rsid w:val="00747434"/>
    <w:rsid w:val="0074788B"/>
    <w:rsid w:val="00747E9A"/>
    <w:rsid w:val="00750128"/>
    <w:rsid w:val="00750533"/>
    <w:rsid w:val="0075104F"/>
    <w:rsid w:val="0075137C"/>
    <w:rsid w:val="007515AD"/>
    <w:rsid w:val="00751825"/>
    <w:rsid w:val="007519D9"/>
    <w:rsid w:val="00752AC6"/>
    <w:rsid w:val="00752B79"/>
    <w:rsid w:val="00752E60"/>
    <w:rsid w:val="0075395B"/>
    <w:rsid w:val="0075418A"/>
    <w:rsid w:val="00754D4C"/>
    <w:rsid w:val="00755246"/>
    <w:rsid w:val="0075545A"/>
    <w:rsid w:val="007558C5"/>
    <w:rsid w:val="00755C76"/>
    <w:rsid w:val="00755DF6"/>
    <w:rsid w:val="007565DA"/>
    <w:rsid w:val="007576FA"/>
    <w:rsid w:val="007579D2"/>
    <w:rsid w:val="00757ACB"/>
    <w:rsid w:val="00757C38"/>
    <w:rsid w:val="0076078F"/>
    <w:rsid w:val="00760DE2"/>
    <w:rsid w:val="0076111A"/>
    <w:rsid w:val="00761316"/>
    <w:rsid w:val="007616EE"/>
    <w:rsid w:val="00761891"/>
    <w:rsid w:val="00761B3A"/>
    <w:rsid w:val="007621CD"/>
    <w:rsid w:val="0076224A"/>
    <w:rsid w:val="0076235B"/>
    <w:rsid w:val="0076245C"/>
    <w:rsid w:val="0076260D"/>
    <w:rsid w:val="00762C90"/>
    <w:rsid w:val="00762E83"/>
    <w:rsid w:val="00763320"/>
    <w:rsid w:val="007634B7"/>
    <w:rsid w:val="007636E4"/>
    <w:rsid w:val="00763B77"/>
    <w:rsid w:val="00763D27"/>
    <w:rsid w:val="007643CA"/>
    <w:rsid w:val="00764521"/>
    <w:rsid w:val="00764622"/>
    <w:rsid w:val="0076489A"/>
    <w:rsid w:val="00764DB3"/>
    <w:rsid w:val="00764DCF"/>
    <w:rsid w:val="0076568B"/>
    <w:rsid w:val="007656F6"/>
    <w:rsid w:val="00765B81"/>
    <w:rsid w:val="007664F0"/>
    <w:rsid w:val="007665F2"/>
    <w:rsid w:val="0076660F"/>
    <w:rsid w:val="007669B7"/>
    <w:rsid w:val="00766A53"/>
    <w:rsid w:val="0076702C"/>
    <w:rsid w:val="00767389"/>
    <w:rsid w:val="007673E6"/>
    <w:rsid w:val="0076799D"/>
    <w:rsid w:val="00767DE3"/>
    <w:rsid w:val="00767E17"/>
    <w:rsid w:val="00767F6C"/>
    <w:rsid w:val="0077076B"/>
    <w:rsid w:val="00770B57"/>
    <w:rsid w:val="007718A5"/>
    <w:rsid w:val="00771A3B"/>
    <w:rsid w:val="007724A1"/>
    <w:rsid w:val="007726C7"/>
    <w:rsid w:val="00772829"/>
    <w:rsid w:val="007730CD"/>
    <w:rsid w:val="007731E1"/>
    <w:rsid w:val="007732C7"/>
    <w:rsid w:val="007733DE"/>
    <w:rsid w:val="00773C91"/>
    <w:rsid w:val="00774324"/>
    <w:rsid w:val="007745A2"/>
    <w:rsid w:val="00774FCD"/>
    <w:rsid w:val="00775076"/>
    <w:rsid w:val="0077533C"/>
    <w:rsid w:val="0077533F"/>
    <w:rsid w:val="00776B7C"/>
    <w:rsid w:val="00776C4E"/>
    <w:rsid w:val="00776FEC"/>
    <w:rsid w:val="00777232"/>
    <w:rsid w:val="007773CC"/>
    <w:rsid w:val="007773EB"/>
    <w:rsid w:val="00777435"/>
    <w:rsid w:val="007777C8"/>
    <w:rsid w:val="00777848"/>
    <w:rsid w:val="00777893"/>
    <w:rsid w:val="00777FD8"/>
    <w:rsid w:val="00780143"/>
    <w:rsid w:val="007802E9"/>
    <w:rsid w:val="007802F2"/>
    <w:rsid w:val="00780577"/>
    <w:rsid w:val="00780C56"/>
    <w:rsid w:val="00780E2F"/>
    <w:rsid w:val="00780F70"/>
    <w:rsid w:val="00781867"/>
    <w:rsid w:val="00781E37"/>
    <w:rsid w:val="00782153"/>
    <w:rsid w:val="00782189"/>
    <w:rsid w:val="007825B8"/>
    <w:rsid w:val="00782E6F"/>
    <w:rsid w:val="0078323A"/>
    <w:rsid w:val="0078389A"/>
    <w:rsid w:val="00783D32"/>
    <w:rsid w:val="00784341"/>
    <w:rsid w:val="00784C27"/>
    <w:rsid w:val="007852E9"/>
    <w:rsid w:val="00786749"/>
    <w:rsid w:val="00786B13"/>
    <w:rsid w:val="007872E0"/>
    <w:rsid w:val="0078741A"/>
    <w:rsid w:val="00787909"/>
    <w:rsid w:val="00787E4A"/>
    <w:rsid w:val="0079040C"/>
    <w:rsid w:val="00790A73"/>
    <w:rsid w:val="00790B15"/>
    <w:rsid w:val="00790F49"/>
    <w:rsid w:val="0079262E"/>
    <w:rsid w:val="00792674"/>
    <w:rsid w:val="00792AA3"/>
    <w:rsid w:val="0079318A"/>
    <w:rsid w:val="007931CB"/>
    <w:rsid w:val="00793A68"/>
    <w:rsid w:val="00793B8E"/>
    <w:rsid w:val="0079461B"/>
    <w:rsid w:val="00794ED2"/>
    <w:rsid w:val="0079513B"/>
    <w:rsid w:val="007951D4"/>
    <w:rsid w:val="0079533F"/>
    <w:rsid w:val="007958C9"/>
    <w:rsid w:val="007959C0"/>
    <w:rsid w:val="00795FD7"/>
    <w:rsid w:val="0079679F"/>
    <w:rsid w:val="0079695D"/>
    <w:rsid w:val="00796F20"/>
    <w:rsid w:val="0079703B"/>
    <w:rsid w:val="00797332"/>
    <w:rsid w:val="00797459"/>
    <w:rsid w:val="00797560"/>
    <w:rsid w:val="007975D3"/>
    <w:rsid w:val="0079770D"/>
    <w:rsid w:val="00797C46"/>
    <w:rsid w:val="00797D6C"/>
    <w:rsid w:val="007A06DA"/>
    <w:rsid w:val="007A0C9E"/>
    <w:rsid w:val="007A139C"/>
    <w:rsid w:val="007A1458"/>
    <w:rsid w:val="007A19F6"/>
    <w:rsid w:val="007A1D38"/>
    <w:rsid w:val="007A21E8"/>
    <w:rsid w:val="007A2486"/>
    <w:rsid w:val="007A25B1"/>
    <w:rsid w:val="007A28B9"/>
    <w:rsid w:val="007A2B65"/>
    <w:rsid w:val="007A3181"/>
    <w:rsid w:val="007A3223"/>
    <w:rsid w:val="007A333A"/>
    <w:rsid w:val="007A38C2"/>
    <w:rsid w:val="007A400F"/>
    <w:rsid w:val="007A4556"/>
    <w:rsid w:val="007A45C5"/>
    <w:rsid w:val="007A4AA6"/>
    <w:rsid w:val="007A4D1D"/>
    <w:rsid w:val="007A5583"/>
    <w:rsid w:val="007A5617"/>
    <w:rsid w:val="007A5C01"/>
    <w:rsid w:val="007A5E5E"/>
    <w:rsid w:val="007A5FE3"/>
    <w:rsid w:val="007A60F1"/>
    <w:rsid w:val="007A63DE"/>
    <w:rsid w:val="007A640F"/>
    <w:rsid w:val="007A6A5E"/>
    <w:rsid w:val="007A6FB0"/>
    <w:rsid w:val="007A75FF"/>
    <w:rsid w:val="007A7A35"/>
    <w:rsid w:val="007A7A37"/>
    <w:rsid w:val="007A7BB8"/>
    <w:rsid w:val="007B0245"/>
    <w:rsid w:val="007B04BD"/>
    <w:rsid w:val="007B083F"/>
    <w:rsid w:val="007B0880"/>
    <w:rsid w:val="007B0D01"/>
    <w:rsid w:val="007B0F26"/>
    <w:rsid w:val="007B1314"/>
    <w:rsid w:val="007B16BD"/>
    <w:rsid w:val="007B19D1"/>
    <w:rsid w:val="007B2085"/>
    <w:rsid w:val="007B27E6"/>
    <w:rsid w:val="007B2C39"/>
    <w:rsid w:val="007B2E44"/>
    <w:rsid w:val="007B2FDC"/>
    <w:rsid w:val="007B3164"/>
    <w:rsid w:val="007B345A"/>
    <w:rsid w:val="007B349E"/>
    <w:rsid w:val="007B38A0"/>
    <w:rsid w:val="007B38B7"/>
    <w:rsid w:val="007B4552"/>
    <w:rsid w:val="007B46C5"/>
    <w:rsid w:val="007B4BE2"/>
    <w:rsid w:val="007B4C96"/>
    <w:rsid w:val="007B4F10"/>
    <w:rsid w:val="007B4F7B"/>
    <w:rsid w:val="007B518C"/>
    <w:rsid w:val="007B583D"/>
    <w:rsid w:val="007B591D"/>
    <w:rsid w:val="007B5A6D"/>
    <w:rsid w:val="007B5C15"/>
    <w:rsid w:val="007B5D05"/>
    <w:rsid w:val="007B6428"/>
    <w:rsid w:val="007B6684"/>
    <w:rsid w:val="007B69BF"/>
    <w:rsid w:val="007B6B21"/>
    <w:rsid w:val="007B6D51"/>
    <w:rsid w:val="007B7024"/>
    <w:rsid w:val="007C032A"/>
    <w:rsid w:val="007C0390"/>
    <w:rsid w:val="007C0866"/>
    <w:rsid w:val="007C125C"/>
    <w:rsid w:val="007C14A2"/>
    <w:rsid w:val="007C1D94"/>
    <w:rsid w:val="007C1EE1"/>
    <w:rsid w:val="007C1FD9"/>
    <w:rsid w:val="007C2552"/>
    <w:rsid w:val="007C2688"/>
    <w:rsid w:val="007C26CC"/>
    <w:rsid w:val="007C2E64"/>
    <w:rsid w:val="007C300E"/>
    <w:rsid w:val="007C328D"/>
    <w:rsid w:val="007C336F"/>
    <w:rsid w:val="007C3495"/>
    <w:rsid w:val="007C3604"/>
    <w:rsid w:val="007C41B1"/>
    <w:rsid w:val="007C494C"/>
    <w:rsid w:val="007C4AC0"/>
    <w:rsid w:val="007C4B48"/>
    <w:rsid w:val="007C5006"/>
    <w:rsid w:val="007C525E"/>
    <w:rsid w:val="007C532E"/>
    <w:rsid w:val="007C5532"/>
    <w:rsid w:val="007C5D5E"/>
    <w:rsid w:val="007C61FA"/>
    <w:rsid w:val="007C62FC"/>
    <w:rsid w:val="007C6FDC"/>
    <w:rsid w:val="007C7988"/>
    <w:rsid w:val="007CA327"/>
    <w:rsid w:val="007D0476"/>
    <w:rsid w:val="007D0728"/>
    <w:rsid w:val="007D1210"/>
    <w:rsid w:val="007D1607"/>
    <w:rsid w:val="007D1B3E"/>
    <w:rsid w:val="007D1F0B"/>
    <w:rsid w:val="007D2167"/>
    <w:rsid w:val="007D23ED"/>
    <w:rsid w:val="007D26F6"/>
    <w:rsid w:val="007D30B7"/>
    <w:rsid w:val="007D39BB"/>
    <w:rsid w:val="007D39C7"/>
    <w:rsid w:val="007D478A"/>
    <w:rsid w:val="007D4997"/>
    <w:rsid w:val="007D49BB"/>
    <w:rsid w:val="007D4E5D"/>
    <w:rsid w:val="007D5130"/>
    <w:rsid w:val="007D6D69"/>
    <w:rsid w:val="007D79F9"/>
    <w:rsid w:val="007E0084"/>
    <w:rsid w:val="007E05DB"/>
    <w:rsid w:val="007E1549"/>
    <w:rsid w:val="007E15AD"/>
    <w:rsid w:val="007E20E2"/>
    <w:rsid w:val="007E24BD"/>
    <w:rsid w:val="007E25ED"/>
    <w:rsid w:val="007E2BC0"/>
    <w:rsid w:val="007E2CDF"/>
    <w:rsid w:val="007E3442"/>
    <w:rsid w:val="007E3DA8"/>
    <w:rsid w:val="007E3F3C"/>
    <w:rsid w:val="007E3F8A"/>
    <w:rsid w:val="007E4153"/>
    <w:rsid w:val="007E46AF"/>
    <w:rsid w:val="007E46DF"/>
    <w:rsid w:val="007E4B53"/>
    <w:rsid w:val="007E5082"/>
    <w:rsid w:val="007E517A"/>
    <w:rsid w:val="007E51E4"/>
    <w:rsid w:val="007E52CB"/>
    <w:rsid w:val="007E5457"/>
    <w:rsid w:val="007E56A2"/>
    <w:rsid w:val="007E5D67"/>
    <w:rsid w:val="007E623F"/>
    <w:rsid w:val="007E6307"/>
    <w:rsid w:val="007E664E"/>
    <w:rsid w:val="007E6B3F"/>
    <w:rsid w:val="007E6D50"/>
    <w:rsid w:val="007E709F"/>
    <w:rsid w:val="007E7581"/>
    <w:rsid w:val="007E7BC1"/>
    <w:rsid w:val="007E7CF3"/>
    <w:rsid w:val="007E7CF9"/>
    <w:rsid w:val="007E7E68"/>
    <w:rsid w:val="007F0511"/>
    <w:rsid w:val="007F0F4D"/>
    <w:rsid w:val="007F1FF2"/>
    <w:rsid w:val="007F20D6"/>
    <w:rsid w:val="007F26F2"/>
    <w:rsid w:val="007F3620"/>
    <w:rsid w:val="007F4185"/>
    <w:rsid w:val="007F441A"/>
    <w:rsid w:val="007F48B8"/>
    <w:rsid w:val="007F4A6F"/>
    <w:rsid w:val="007F4FB4"/>
    <w:rsid w:val="007F5639"/>
    <w:rsid w:val="007F6331"/>
    <w:rsid w:val="007F63B1"/>
    <w:rsid w:val="007F67E9"/>
    <w:rsid w:val="007F680B"/>
    <w:rsid w:val="007F6A94"/>
    <w:rsid w:val="007F71EA"/>
    <w:rsid w:val="007F7651"/>
    <w:rsid w:val="007F7C7B"/>
    <w:rsid w:val="007F7F6F"/>
    <w:rsid w:val="0080076B"/>
    <w:rsid w:val="0080090C"/>
    <w:rsid w:val="00800DE3"/>
    <w:rsid w:val="00800EF0"/>
    <w:rsid w:val="00801205"/>
    <w:rsid w:val="00801277"/>
    <w:rsid w:val="0080170A"/>
    <w:rsid w:val="00801C81"/>
    <w:rsid w:val="00802757"/>
    <w:rsid w:val="008032E1"/>
    <w:rsid w:val="008034FF"/>
    <w:rsid w:val="008035B6"/>
    <w:rsid w:val="00803A25"/>
    <w:rsid w:val="00803AFE"/>
    <w:rsid w:val="00803DCD"/>
    <w:rsid w:val="008040A2"/>
    <w:rsid w:val="00804321"/>
    <w:rsid w:val="008045DD"/>
    <w:rsid w:val="00804632"/>
    <w:rsid w:val="00804EAF"/>
    <w:rsid w:val="00805245"/>
    <w:rsid w:val="008054D9"/>
    <w:rsid w:val="00805585"/>
    <w:rsid w:val="0080569A"/>
    <w:rsid w:val="00806505"/>
    <w:rsid w:val="008065FE"/>
    <w:rsid w:val="00806688"/>
    <w:rsid w:val="00806694"/>
    <w:rsid w:val="00806A6E"/>
    <w:rsid w:val="00806B8D"/>
    <w:rsid w:val="00806EEB"/>
    <w:rsid w:val="00806F42"/>
    <w:rsid w:val="0080711C"/>
    <w:rsid w:val="0080718B"/>
    <w:rsid w:val="008074C1"/>
    <w:rsid w:val="00807984"/>
    <w:rsid w:val="008079E7"/>
    <w:rsid w:val="00807A3E"/>
    <w:rsid w:val="008101F8"/>
    <w:rsid w:val="00810338"/>
    <w:rsid w:val="00810760"/>
    <w:rsid w:val="00810B71"/>
    <w:rsid w:val="00810D5B"/>
    <w:rsid w:val="00810F07"/>
    <w:rsid w:val="0081102A"/>
    <w:rsid w:val="008113C2"/>
    <w:rsid w:val="008113E0"/>
    <w:rsid w:val="008116DC"/>
    <w:rsid w:val="00811D57"/>
    <w:rsid w:val="00812282"/>
    <w:rsid w:val="0081238C"/>
    <w:rsid w:val="0081290A"/>
    <w:rsid w:val="0081299E"/>
    <w:rsid w:val="00812BAB"/>
    <w:rsid w:val="008130C5"/>
    <w:rsid w:val="00813248"/>
    <w:rsid w:val="00813650"/>
    <w:rsid w:val="008148E4"/>
    <w:rsid w:val="00814FF4"/>
    <w:rsid w:val="008153AF"/>
    <w:rsid w:val="008153D5"/>
    <w:rsid w:val="008157F1"/>
    <w:rsid w:val="008158D5"/>
    <w:rsid w:val="00815B67"/>
    <w:rsid w:val="00815D64"/>
    <w:rsid w:val="00815F5E"/>
    <w:rsid w:val="00815FEF"/>
    <w:rsid w:val="008160AA"/>
    <w:rsid w:val="008162A8"/>
    <w:rsid w:val="00816553"/>
    <w:rsid w:val="008169C6"/>
    <w:rsid w:val="00816EC2"/>
    <w:rsid w:val="00816FED"/>
    <w:rsid w:val="0081730A"/>
    <w:rsid w:val="008176A3"/>
    <w:rsid w:val="008177AE"/>
    <w:rsid w:val="00820880"/>
    <w:rsid w:val="00820DE5"/>
    <w:rsid w:val="00820F16"/>
    <w:rsid w:val="00821450"/>
    <w:rsid w:val="00821B6B"/>
    <w:rsid w:val="00821E25"/>
    <w:rsid w:val="00822510"/>
    <w:rsid w:val="008227F0"/>
    <w:rsid w:val="00822911"/>
    <w:rsid w:val="00822964"/>
    <w:rsid w:val="00822B0F"/>
    <w:rsid w:val="008236E1"/>
    <w:rsid w:val="00823937"/>
    <w:rsid w:val="00824458"/>
    <w:rsid w:val="0082499E"/>
    <w:rsid w:val="008249F7"/>
    <w:rsid w:val="00824B74"/>
    <w:rsid w:val="00824DAF"/>
    <w:rsid w:val="008250F5"/>
    <w:rsid w:val="008251C7"/>
    <w:rsid w:val="0082570A"/>
    <w:rsid w:val="008258AB"/>
    <w:rsid w:val="008260FA"/>
    <w:rsid w:val="00826125"/>
    <w:rsid w:val="008261B3"/>
    <w:rsid w:val="00827027"/>
    <w:rsid w:val="00827718"/>
    <w:rsid w:val="008301DB"/>
    <w:rsid w:val="00830B59"/>
    <w:rsid w:val="00831092"/>
    <w:rsid w:val="0083154B"/>
    <w:rsid w:val="00831572"/>
    <w:rsid w:val="00831603"/>
    <w:rsid w:val="00831B58"/>
    <w:rsid w:val="00831C68"/>
    <w:rsid w:val="0083204D"/>
    <w:rsid w:val="008320F1"/>
    <w:rsid w:val="008326F4"/>
    <w:rsid w:val="00832D4D"/>
    <w:rsid w:val="008333D7"/>
    <w:rsid w:val="00833557"/>
    <w:rsid w:val="00833BD0"/>
    <w:rsid w:val="00833DA2"/>
    <w:rsid w:val="00833E42"/>
    <w:rsid w:val="00833F10"/>
    <w:rsid w:val="00834005"/>
    <w:rsid w:val="00834039"/>
    <w:rsid w:val="00834C5B"/>
    <w:rsid w:val="00834CD8"/>
    <w:rsid w:val="0083592C"/>
    <w:rsid w:val="008359A0"/>
    <w:rsid w:val="00835D59"/>
    <w:rsid w:val="00835EC9"/>
    <w:rsid w:val="008364CD"/>
    <w:rsid w:val="00836A13"/>
    <w:rsid w:val="00836C9B"/>
    <w:rsid w:val="00836FF8"/>
    <w:rsid w:val="00837658"/>
    <w:rsid w:val="008378ED"/>
    <w:rsid w:val="008400F5"/>
    <w:rsid w:val="00840662"/>
    <w:rsid w:val="008408FD"/>
    <w:rsid w:val="0084092D"/>
    <w:rsid w:val="0084096C"/>
    <w:rsid w:val="0084098C"/>
    <w:rsid w:val="00840D1E"/>
    <w:rsid w:val="00840D60"/>
    <w:rsid w:val="00840D74"/>
    <w:rsid w:val="00841009"/>
    <w:rsid w:val="00841031"/>
    <w:rsid w:val="00841388"/>
    <w:rsid w:val="00841DE4"/>
    <w:rsid w:val="00841EFB"/>
    <w:rsid w:val="00841F44"/>
    <w:rsid w:val="00842674"/>
    <w:rsid w:val="008428FE"/>
    <w:rsid w:val="00842BBB"/>
    <w:rsid w:val="00842C82"/>
    <w:rsid w:val="008436D7"/>
    <w:rsid w:val="00843C83"/>
    <w:rsid w:val="008440FE"/>
    <w:rsid w:val="00844899"/>
    <w:rsid w:val="008448A3"/>
    <w:rsid w:val="00844943"/>
    <w:rsid w:val="00845503"/>
    <w:rsid w:val="008456D0"/>
    <w:rsid w:val="00845861"/>
    <w:rsid w:val="00846119"/>
    <w:rsid w:val="00846480"/>
    <w:rsid w:val="00846BE2"/>
    <w:rsid w:val="00846D01"/>
    <w:rsid w:val="008474E3"/>
    <w:rsid w:val="008474EA"/>
    <w:rsid w:val="0084772E"/>
    <w:rsid w:val="008479A0"/>
    <w:rsid w:val="00847C86"/>
    <w:rsid w:val="00847CD2"/>
    <w:rsid w:val="00850053"/>
    <w:rsid w:val="0085015F"/>
    <w:rsid w:val="00850FD3"/>
    <w:rsid w:val="008515B3"/>
    <w:rsid w:val="008517DF"/>
    <w:rsid w:val="0085182A"/>
    <w:rsid w:val="00851935"/>
    <w:rsid w:val="00851DA0"/>
    <w:rsid w:val="008526F1"/>
    <w:rsid w:val="008527ED"/>
    <w:rsid w:val="00852834"/>
    <w:rsid w:val="00852B76"/>
    <w:rsid w:val="00852BE2"/>
    <w:rsid w:val="008537F7"/>
    <w:rsid w:val="008538BD"/>
    <w:rsid w:val="00853A07"/>
    <w:rsid w:val="00853D9C"/>
    <w:rsid w:val="00853EC2"/>
    <w:rsid w:val="00854063"/>
    <w:rsid w:val="008546BE"/>
    <w:rsid w:val="00854D87"/>
    <w:rsid w:val="00855429"/>
    <w:rsid w:val="0085588B"/>
    <w:rsid w:val="00855E5E"/>
    <w:rsid w:val="00855E9A"/>
    <w:rsid w:val="00856074"/>
    <w:rsid w:val="0085667A"/>
    <w:rsid w:val="008566DD"/>
    <w:rsid w:val="00856707"/>
    <w:rsid w:val="00856ACC"/>
    <w:rsid w:val="00857055"/>
    <w:rsid w:val="00857468"/>
    <w:rsid w:val="00857949"/>
    <w:rsid w:val="008601CC"/>
    <w:rsid w:val="008602C5"/>
    <w:rsid w:val="008602FE"/>
    <w:rsid w:val="008625AF"/>
    <w:rsid w:val="008631D5"/>
    <w:rsid w:val="00863214"/>
    <w:rsid w:val="008637ED"/>
    <w:rsid w:val="008642DD"/>
    <w:rsid w:val="00864347"/>
    <w:rsid w:val="008647E0"/>
    <w:rsid w:val="00864915"/>
    <w:rsid w:val="00865111"/>
    <w:rsid w:val="00865152"/>
    <w:rsid w:val="008652BD"/>
    <w:rsid w:val="00865340"/>
    <w:rsid w:val="00865376"/>
    <w:rsid w:val="00865464"/>
    <w:rsid w:val="00865740"/>
    <w:rsid w:val="00865D94"/>
    <w:rsid w:val="008661B6"/>
    <w:rsid w:val="00866212"/>
    <w:rsid w:val="00866423"/>
    <w:rsid w:val="00866460"/>
    <w:rsid w:val="00866650"/>
    <w:rsid w:val="00866706"/>
    <w:rsid w:val="00866C80"/>
    <w:rsid w:val="00866F57"/>
    <w:rsid w:val="00866FCA"/>
    <w:rsid w:val="00867429"/>
    <w:rsid w:val="00867A88"/>
    <w:rsid w:val="00867ED2"/>
    <w:rsid w:val="00870E3F"/>
    <w:rsid w:val="00870FA9"/>
    <w:rsid w:val="0087100C"/>
    <w:rsid w:val="008711EC"/>
    <w:rsid w:val="00871388"/>
    <w:rsid w:val="0087195D"/>
    <w:rsid w:val="008719C2"/>
    <w:rsid w:val="00872376"/>
    <w:rsid w:val="008723DF"/>
    <w:rsid w:val="008725F4"/>
    <w:rsid w:val="00872608"/>
    <w:rsid w:val="0087277A"/>
    <w:rsid w:val="00872A47"/>
    <w:rsid w:val="008730CD"/>
    <w:rsid w:val="0087362C"/>
    <w:rsid w:val="008736E2"/>
    <w:rsid w:val="00873773"/>
    <w:rsid w:val="00874565"/>
    <w:rsid w:val="008746A2"/>
    <w:rsid w:val="00874706"/>
    <w:rsid w:val="00874961"/>
    <w:rsid w:val="0087592E"/>
    <w:rsid w:val="008759F8"/>
    <w:rsid w:val="00875C2F"/>
    <w:rsid w:val="00876184"/>
    <w:rsid w:val="00876451"/>
    <w:rsid w:val="00876B3F"/>
    <w:rsid w:val="00876CA2"/>
    <w:rsid w:val="00876D50"/>
    <w:rsid w:val="00877247"/>
    <w:rsid w:val="008774F5"/>
    <w:rsid w:val="008776F1"/>
    <w:rsid w:val="00877AC2"/>
    <w:rsid w:val="008801AE"/>
    <w:rsid w:val="00880AA3"/>
    <w:rsid w:val="00880C10"/>
    <w:rsid w:val="00880D2A"/>
    <w:rsid w:val="0088105A"/>
    <w:rsid w:val="008815E7"/>
    <w:rsid w:val="00881B44"/>
    <w:rsid w:val="00881ECA"/>
    <w:rsid w:val="00881F95"/>
    <w:rsid w:val="00882049"/>
    <w:rsid w:val="0088249C"/>
    <w:rsid w:val="00882633"/>
    <w:rsid w:val="00882742"/>
    <w:rsid w:val="00882E5B"/>
    <w:rsid w:val="0088304E"/>
    <w:rsid w:val="00883A3B"/>
    <w:rsid w:val="00883B6C"/>
    <w:rsid w:val="00883D9F"/>
    <w:rsid w:val="00883E71"/>
    <w:rsid w:val="0088421C"/>
    <w:rsid w:val="0088445B"/>
    <w:rsid w:val="00884503"/>
    <w:rsid w:val="008849B4"/>
    <w:rsid w:val="00885AF2"/>
    <w:rsid w:val="00886338"/>
    <w:rsid w:val="008863FF"/>
    <w:rsid w:val="008867BD"/>
    <w:rsid w:val="00886C26"/>
    <w:rsid w:val="00886C7A"/>
    <w:rsid w:val="00887453"/>
    <w:rsid w:val="00887790"/>
    <w:rsid w:val="00890A58"/>
    <w:rsid w:val="00890A8F"/>
    <w:rsid w:val="008911C3"/>
    <w:rsid w:val="00891AF6"/>
    <w:rsid w:val="00891BC3"/>
    <w:rsid w:val="00891E12"/>
    <w:rsid w:val="00892023"/>
    <w:rsid w:val="008923CE"/>
    <w:rsid w:val="00892AFC"/>
    <w:rsid w:val="008937C8"/>
    <w:rsid w:val="008940CC"/>
    <w:rsid w:val="008947DE"/>
    <w:rsid w:val="00895B73"/>
    <w:rsid w:val="00896491"/>
    <w:rsid w:val="008967C4"/>
    <w:rsid w:val="00896ADC"/>
    <w:rsid w:val="00896D7E"/>
    <w:rsid w:val="00897075"/>
    <w:rsid w:val="0089752C"/>
    <w:rsid w:val="00897759"/>
    <w:rsid w:val="00897C5D"/>
    <w:rsid w:val="008A0606"/>
    <w:rsid w:val="008A07A7"/>
    <w:rsid w:val="008A0D2A"/>
    <w:rsid w:val="008A0EB3"/>
    <w:rsid w:val="008A1693"/>
    <w:rsid w:val="008A1B86"/>
    <w:rsid w:val="008A2009"/>
    <w:rsid w:val="008A2033"/>
    <w:rsid w:val="008A254F"/>
    <w:rsid w:val="008A2630"/>
    <w:rsid w:val="008A26C3"/>
    <w:rsid w:val="008A2D12"/>
    <w:rsid w:val="008A2D61"/>
    <w:rsid w:val="008A2E2D"/>
    <w:rsid w:val="008A3975"/>
    <w:rsid w:val="008A4428"/>
    <w:rsid w:val="008A5105"/>
    <w:rsid w:val="008A5833"/>
    <w:rsid w:val="008A5A06"/>
    <w:rsid w:val="008A5BC3"/>
    <w:rsid w:val="008A631B"/>
    <w:rsid w:val="008A6566"/>
    <w:rsid w:val="008A66C4"/>
    <w:rsid w:val="008A66EA"/>
    <w:rsid w:val="008A6B94"/>
    <w:rsid w:val="008A795D"/>
    <w:rsid w:val="008B171E"/>
    <w:rsid w:val="008B179D"/>
    <w:rsid w:val="008B2079"/>
    <w:rsid w:val="008B2480"/>
    <w:rsid w:val="008B2621"/>
    <w:rsid w:val="008B29A8"/>
    <w:rsid w:val="008B36D1"/>
    <w:rsid w:val="008B39AA"/>
    <w:rsid w:val="008B3A34"/>
    <w:rsid w:val="008B3A36"/>
    <w:rsid w:val="008B3A88"/>
    <w:rsid w:val="008B3DC8"/>
    <w:rsid w:val="008B3F9B"/>
    <w:rsid w:val="008B45EC"/>
    <w:rsid w:val="008B4BFC"/>
    <w:rsid w:val="008B5060"/>
    <w:rsid w:val="008B51B4"/>
    <w:rsid w:val="008B52B6"/>
    <w:rsid w:val="008B56C1"/>
    <w:rsid w:val="008B5709"/>
    <w:rsid w:val="008B599F"/>
    <w:rsid w:val="008B5B67"/>
    <w:rsid w:val="008B5B7C"/>
    <w:rsid w:val="008B5CB9"/>
    <w:rsid w:val="008B5D7A"/>
    <w:rsid w:val="008B66E3"/>
    <w:rsid w:val="008B6B10"/>
    <w:rsid w:val="008B7848"/>
    <w:rsid w:val="008C0195"/>
    <w:rsid w:val="008C05DD"/>
    <w:rsid w:val="008C0BCC"/>
    <w:rsid w:val="008C11F4"/>
    <w:rsid w:val="008C1569"/>
    <w:rsid w:val="008C18EB"/>
    <w:rsid w:val="008C1E05"/>
    <w:rsid w:val="008C2CDE"/>
    <w:rsid w:val="008C3436"/>
    <w:rsid w:val="008C34BB"/>
    <w:rsid w:val="008C4290"/>
    <w:rsid w:val="008C45E2"/>
    <w:rsid w:val="008C4612"/>
    <w:rsid w:val="008C4BDC"/>
    <w:rsid w:val="008C5979"/>
    <w:rsid w:val="008C5B6D"/>
    <w:rsid w:val="008C5EEC"/>
    <w:rsid w:val="008C5F1F"/>
    <w:rsid w:val="008C632B"/>
    <w:rsid w:val="008C6C63"/>
    <w:rsid w:val="008C7714"/>
    <w:rsid w:val="008C772F"/>
    <w:rsid w:val="008C79FD"/>
    <w:rsid w:val="008D058E"/>
    <w:rsid w:val="008D06FE"/>
    <w:rsid w:val="008D0D34"/>
    <w:rsid w:val="008D0D79"/>
    <w:rsid w:val="008D151D"/>
    <w:rsid w:val="008D2200"/>
    <w:rsid w:val="008D259B"/>
    <w:rsid w:val="008D280A"/>
    <w:rsid w:val="008D2DD8"/>
    <w:rsid w:val="008D3211"/>
    <w:rsid w:val="008D36CC"/>
    <w:rsid w:val="008D3726"/>
    <w:rsid w:val="008D39A5"/>
    <w:rsid w:val="008D3A04"/>
    <w:rsid w:val="008D3CA1"/>
    <w:rsid w:val="008D43F9"/>
    <w:rsid w:val="008D4416"/>
    <w:rsid w:val="008D48EC"/>
    <w:rsid w:val="008D4CB0"/>
    <w:rsid w:val="008D58B9"/>
    <w:rsid w:val="008D5CAF"/>
    <w:rsid w:val="008D6154"/>
    <w:rsid w:val="008D6397"/>
    <w:rsid w:val="008D6499"/>
    <w:rsid w:val="008D6DB8"/>
    <w:rsid w:val="008D6FC6"/>
    <w:rsid w:val="008D73C9"/>
    <w:rsid w:val="008D7A83"/>
    <w:rsid w:val="008D7B22"/>
    <w:rsid w:val="008D7CF5"/>
    <w:rsid w:val="008E0271"/>
    <w:rsid w:val="008E02C3"/>
    <w:rsid w:val="008E069E"/>
    <w:rsid w:val="008E1693"/>
    <w:rsid w:val="008E16BF"/>
    <w:rsid w:val="008E1AB2"/>
    <w:rsid w:val="008E236D"/>
    <w:rsid w:val="008E300E"/>
    <w:rsid w:val="008E3049"/>
    <w:rsid w:val="008E33A2"/>
    <w:rsid w:val="008E35A3"/>
    <w:rsid w:val="008E3789"/>
    <w:rsid w:val="008E37EA"/>
    <w:rsid w:val="008E3F9B"/>
    <w:rsid w:val="008E4626"/>
    <w:rsid w:val="008E5161"/>
    <w:rsid w:val="008E52D4"/>
    <w:rsid w:val="008E68C5"/>
    <w:rsid w:val="008E6AE6"/>
    <w:rsid w:val="008E6FCF"/>
    <w:rsid w:val="008E7274"/>
    <w:rsid w:val="008E72FB"/>
    <w:rsid w:val="008F0562"/>
    <w:rsid w:val="008F0618"/>
    <w:rsid w:val="008F0BC8"/>
    <w:rsid w:val="008F2013"/>
    <w:rsid w:val="008F227F"/>
    <w:rsid w:val="008F260B"/>
    <w:rsid w:val="008F2D50"/>
    <w:rsid w:val="008F43A7"/>
    <w:rsid w:val="008F4BD7"/>
    <w:rsid w:val="008F4D8E"/>
    <w:rsid w:val="008F4E38"/>
    <w:rsid w:val="008F5075"/>
    <w:rsid w:val="008F50FE"/>
    <w:rsid w:val="008F52A3"/>
    <w:rsid w:val="008F550E"/>
    <w:rsid w:val="008F551F"/>
    <w:rsid w:val="008F596F"/>
    <w:rsid w:val="008F5D1C"/>
    <w:rsid w:val="008F70D1"/>
    <w:rsid w:val="008F74E4"/>
    <w:rsid w:val="008F75FF"/>
    <w:rsid w:val="008F79E4"/>
    <w:rsid w:val="00900EED"/>
    <w:rsid w:val="00901647"/>
    <w:rsid w:val="00901BA6"/>
    <w:rsid w:val="00901D36"/>
    <w:rsid w:val="00902799"/>
    <w:rsid w:val="00902846"/>
    <w:rsid w:val="00902CC9"/>
    <w:rsid w:val="00902D9E"/>
    <w:rsid w:val="00902E31"/>
    <w:rsid w:val="00902E9A"/>
    <w:rsid w:val="00903ECF"/>
    <w:rsid w:val="00904014"/>
    <w:rsid w:val="0090469C"/>
    <w:rsid w:val="009049BE"/>
    <w:rsid w:val="00904CA0"/>
    <w:rsid w:val="00904D84"/>
    <w:rsid w:val="00905880"/>
    <w:rsid w:val="00905B76"/>
    <w:rsid w:val="00905DC6"/>
    <w:rsid w:val="009066CA"/>
    <w:rsid w:val="00906821"/>
    <w:rsid w:val="0090686F"/>
    <w:rsid w:val="00906A09"/>
    <w:rsid w:val="00906E65"/>
    <w:rsid w:val="00907257"/>
    <w:rsid w:val="009072AA"/>
    <w:rsid w:val="0090761F"/>
    <w:rsid w:val="00907A05"/>
    <w:rsid w:val="009105FD"/>
    <w:rsid w:val="0091078A"/>
    <w:rsid w:val="0091152C"/>
    <w:rsid w:val="00911C22"/>
    <w:rsid w:val="00911CA2"/>
    <w:rsid w:val="00912F1A"/>
    <w:rsid w:val="00913050"/>
    <w:rsid w:val="009133FB"/>
    <w:rsid w:val="00913727"/>
    <w:rsid w:val="00913B86"/>
    <w:rsid w:val="00913E74"/>
    <w:rsid w:val="009144D5"/>
    <w:rsid w:val="009147A1"/>
    <w:rsid w:val="00914A46"/>
    <w:rsid w:val="00915688"/>
    <w:rsid w:val="00915852"/>
    <w:rsid w:val="00915B63"/>
    <w:rsid w:val="00915F98"/>
    <w:rsid w:val="00915FA3"/>
    <w:rsid w:val="0091622E"/>
    <w:rsid w:val="00916404"/>
    <w:rsid w:val="00916527"/>
    <w:rsid w:val="0091659D"/>
    <w:rsid w:val="009167EF"/>
    <w:rsid w:val="0092007B"/>
    <w:rsid w:val="009200E2"/>
    <w:rsid w:val="00920753"/>
    <w:rsid w:val="00920B47"/>
    <w:rsid w:val="00920CC3"/>
    <w:rsid w:val="009213D8"/>
    <w:rsid w:val="009217F8"/>
    <w:rsid w:val="00921846"/>
    <w:rsid w:val="00921BFD"/>
    <w:rsid w:val="00922190"/>
    <w:rsid w:val="009231BB"/>
    <w:rsid w:val="009232D0"/>
    <w:rsid w:val="009234FA"/>
    <w:rsid w:val="00923D0C"/>
    <w:rsid w:val="00923E22"/>
    <w:rsid w:val="00924232"/>
    <w:rsid w:val="009243D1"/>
    <w:rsid w:val="0092470E"/>
    <w:rsid w:val="00924797"/>
    <w:rsid w:val="00924EA7"/>
    <w:rsid w:val="00924FE5"/>
    <w:rsid w:val="00925187"/>
    <w:rsid w:val="00925582"/>
    <w:rsid w:val="00925EDE"/>
    <w:rsid w:val="00926592"/>
    <w:rsid w:val="0092683C"/>
    <w:rsid w:val="00926B8A"/>
    <w:rsid w:val="0092709C"/>
    <w:rsid w:val="0092717F"/>
    <w:rsid w:val="00927744"/>
    <w:rsid w:val="00927B05"/>
    <w:rsid w:val="00927D17"/>
    <w:rsid w:val="00927ECB"/>
    <w:rsid w:val="00927F2C"/>
    <w:rsid w:val="009304DD"/>
    <w:rsid w:val="00930AF6"/>
    <w:rsid w:val="00930D55"/>
    <w:rsid w:val="00930F4E"/>
    <w:rsid w:val="00930F60"/>
    <w:rsid w:val="009312A9"/>
    <w:rsid w:val="009315FE"/>
    <w:rsid w:val="00931878"/>
    <w:rsid w:val="00931A3E"/>
    <w:rsid w:val="00931DF3"/>
    <w:rsid w:val="00931F9A"/>
    <w:rsid w:val="00933599"/>
    <w:rsid w:val="0093399C"/>
    <w:rsid w:val="00933B0C"/>
    <w:rsid w:val="00934107"/>
    <w:rsid w:val="00934217"/>
    <w:rsid w:val="0093497A"/>
    <w:rsid w:val="00934E2F"/>
    <w:rsid w:val="00935054"/>
    <w:rsid w:val="009351E0"/>
    <w:rsid w:val="009357F8"/>
    <w:rsid w:val="009358C3"/>
    <w:rsid w:val="00935A8E"/>
    <w:rsid w:val="00936062"/>
    <w:rsid w:val="0093608E"/>
    <w:rsid w:val="009362F4"/>
    <w:rsid w:val="009365B1"/>
    <w:rsid w:val="00937893"/>
    <w:rsid w:val="00937CBE"/>
    <w:rsid w:val="009412BF"/>
    <w:rsid w:val="009412F8"/>
    <w:rsid w:val="009413DB"/>
    <w:rsid w:val="009413E7"/>
    <w:rsid w:val="00941A37"/>
    <w:rsid w:val="009428AE"/>
    <w:rsid w:val="009429B0"/>
    <w:rsid w:val="00942C95"/>
    <w:rsid w:val="009430F5"/>
    <w:rsid w:val="0094355C"/>
    <w:rsid w:val="009439C6"/>
    <w:rsid w:val="00943F40"/>
    <w:rsid w:val="00944087"/>
    <w:rsid w:val="00944889"/>
    <w:rsid w:val="00944E74"/>
    <w:rsid w:val="00944EE1"/>
    <w:rsid w:val="00945B8B"/>
    <w:rsid w:val="00945DE8"/>
    <w:rsid w:val="0094642F"/>
    <w:rsid w:val="00946693"/>
    <w:rsid w:val="009468B7"/>
    <w:rsid w:val="00946B30"/>
    <w:rsid w:val="009478A8"/>
    <w:rsid w:val="009478F7"/>
    <w:rsid w:val="00947C2C"/>
    <w:rsid w:val="00947CF3"/>
    <w:rsid w:val="0095012E"/>
    <w:rsid w:val="009508D8"/>
    <w:rsid w:val="00951316"/>
    <w:rsid w:val="0095184D"/>
    <w:rsid w:val="009518EB"/>
    <w:rsid w:val="00951934"/>
    <w:rsid w:val="00951FCE"/>
    <w:rsid w:val="0095207B"/>
    <w:rsid w:val="009520E0"/>
    <w:rsid w:val="0095261F"/>
    <w:rsid w:val="00952F74"/>
    <w:rsid w:val="00953013"/>
    <w:rsid w:val="0095326C"/>
    <w:rsid w:val="009532AA"/>
    <w:rsid w:val="00953541"/>
    <w:rsid w:val="0095355F"/>
    <w:rsid w:val="0095374C"/>
    <w:rsid w:val="00953A77"/>
    <w:rsid w:val="00953B31"/>
    <w:rsid w:val="00953BE3"/>
    <w:rsid w:val="00954054"/>
    <w:rsid w:val="00954879"/>
    <w:rsid w:val="00954C8C"/>
    <w:rsid w:val="00954DE7"/>
    <w:rsid w:val="00955C17"/>
    <w:rsid w:val="00955E1C"/>
    <w:rsid w:val="0095654A"/>
    <w:rsid w:val="0095664D"/>
    <w:rsid w:val="009566AA"/>
    <w:rsid w:val="00956874"/>
    <w:rsid w:val="00956ACE"/>
    <w:rsid w:val="009572A0"/>
    <w:rsid w:val="009575DF"/>
    <w:rsid w:val="00957D24"/>
    <w:rsid w:val="00960DCF"/>
    <w:rsid w:val="00960EAE"/>
    <w:rsid w:val="00960FA6"/>
    <w:rsid w:val="009615AD"/>
    <w:rsid w:val="00961B53"/>
    <w:rsid w:val="0096206D"/>
    <w:rsid w:val="009621AD"/>
    <w:rsid w:val="009622DC"/>
    <w:rsid w:val="0096258E"/>
    <w:rsid w:val="00963146"/>
    <w:rsid w:val="00963264"/>
    <w:rsid w:val="00963406"/>
    <w:rsid w:val="00963651"/>
    <w:rsid w:val="0096371E"/>
    <w:rsid w:val="0096374E"/>
    <w:rsid w:val="009637AE"/>
    <w:rsid w:val="0096389D"/>
    <w:rsid w:val="00963EEF"/>
    <w:rsid w:val="00963FC1"/>
    <w:rsid w:val="00964216"/>
    <w:rsid w:val="00964A87"/>
    <w:rsid w:val="0096518B"/>
    <w:rsid w:val="00965435"/>
    <w:rsid w:val="00965966"/>
    <w:rsid w:val="009664EF"/>
    <w:rsid w:val="009672F9"/>
    <w:rsid w:val="00967408"/>
    <w:rsid w:val="00967636"/>
    <w:rsid w:val="009676C0"/>
    <w:rsid w:val="009679C5"/>
    <w:rsid w:val="00967E2F"/>
    <w:rsid w:val="00967E59"/>
    <w:rsid w:val="0097012A"/>
    <w:rsid w:val="00970871"/>
    <w:rsid w:val="00970B1D"/>
    <w:rsid w:val="00971106"/>
    <w:rsid w:val="009729E2"/>
    <w:rsid w:val="009731D7"/>
    <w:rsid w:val="00973474"/>
    <w:rsid w:val="00973E25"/>
    <w:rsid w:val="00974868"/>
    <w:rsid w:val="00974A05"/>
    <w:rsid w:val="0097592F"/>
    <w:rsid w:val="00975A91"/>
    <w:rsid w:val="00975E3E"/>
    <w:rsid w:val="009761A1"/>
    <w:rsid w:val="0097651D"/>
    <w:rsid w:val="009768F0"/>
    <w:rsid w:val="00976B97"/>
    <w:rsid w:val="009770CB"/>
    <w:rsid w:val="00977DE7"/>
    <w:rsid w:val="00977DE9"/>
    <w:rsid w:val="009801C7"/>
    <w:rsid w:val="009803A9"/>
    <w:rsid w:val="009803CB"/>
    <w:rsid w:val="009803D4"/>
    <w:rsid w:val="009807A2"/>
    <w:rsid w:val="00980DE6"/>
    <w:rsid w:val="009811B8"/>
    <w:rsid w:val="0098199C"/>
    <w:rsid w:val="009822E7"/>
    <w:rsid w:val="009823FA"/>
    <w:rsid w:val="00982619"/>
    <w:rsid w:val="00982B4F"/>
    <w:rsid w:val="00982D86"/>
    <w:rsid w:val="009832DA"/>
    <w:rsid w:val="00983300"/>
    <w:rsid w:val="009835E7"/>
    <w:rsid w:val="00983638"/>
    <w:rsid w:val="00983666"/>
    <w:rsid w:val="009851A3"/>
    <w:rsid w:val="00985E93"/>
    <w:rsid w:val="00986742"/>
    <w:rsid w:val="009871E4"/>
    <w:rsid w:val="009873F3"/>
    <w:rsid w:val="00987954"/>
    <w:rsid w:val="00987CB8"/>
    <w:rsid w:val="00987DE0"/>
    <w:rsid w:val="00990489"/>
    <w:rsid w:val="0099088A"/>
    <w:rsid w:val="009908B7"/>
    <w:rsid w:val="009909C0"/>
    <w:rsid w:val="00990D11"/>
    <w:rsid w:val="00992558"/>
    <w:rsid w:val="009927E1"/>
    <w:rsid w:val="00992FC1"/>
    <w:rsid w:val="00993227"/>
    <w:rsid w:val="00993C05"/>
    <w:rsid w:val="009947DA"/>
    <w:rsid w:val="00994A23"/>
    <w:rsid w:val="00994BCA"/>
    <w:rsid w:val="0099527A"/>
    <w:rsid w:val="009957B9"/>
    <w:rsid w:val="00995983"/>
    <w:rsid w:val="00995A9C"/>
    <w:rsid w:val="00995AAF"/>
    <w:rsid w:val="00995E98"/>
    <w:rsid w:val="00996C33"/>
    <w:rsid w:val="00996F09"/>
    <w:rsid w:val="00996F15"/>
    <w:rsid w:val="009971E9"/>
    <w:rsid w:val="0099771A"/>
    <w:rsid w:val="00997B37"/>
    <w:rsid w:val="00997BA8"/>
    <w:rsid w:val="00997C29"/>
    <w:rsid w:val="009A00AB"/>
    <w:rsid w:val="009A06F4"/>
    <w:rsid w:val="009A0916"/>
    <w:rsid w:val="009A0BD6"/>
    <w:rsid w:val="009A101B"/>
    <w:rsid w:val="009A1064"/>
    <w:rsid w:val="009A176C"/>
    <w:rsid w:val="009A1B71"/>
    <w:rsid w:val="009A1DFD"/>
    <w:rsid w:val="009A1E87"/>
    <w:rsid w:val="009A21BC"/>
    <w:rsid w:val="009A2616"/>
    <w:rsid w:val="009A3011"/>
    <w:rsid w:val="009A366F"/>
    <w:rsid w:val="009A3778"/>
    <w:rsid w:val="009A39B1"/>
    <w:rsid w:val="009A3C20"/>
    <w:rsid w:val="009A3E2E"/>
    <w:rsid w:val="009A3EC7"/>
    <w:rsid w:val="009A3F90"/>
    <w:rsid w:val="009A4B71"/>
    <w:rsid w:val="009A4E89"/>
    <w:rsid w:val="009A54B2"/>
    <w:rsid w:val="009A54D5"/>
    <w:rsid w:val="009A59E6"/>
    <w:rsid w:val="009A5F3B"/>
    <w:rsid w:val="009A6608"/>
    <w:rsid w:val="009A6D8E"/>
    <w:rsid w:val="009A6E79"/>
    <w:rsid w:val="009A6F53"/>
    <w:rsid w:val="009A7F34"/>
    <w:rsid w:val="009B05D1"/>
    <w:rsid w:val="009B0C26"/>
    <w:rsid w:val="009B2245"/>
    <w:rsid w:val="009B258E"/>
    <w:rsid w:val="009B2853"/>
    <w:rsid w:val="009B2C78"/>
    <w:rsid w:val="009B2EC7"/>
    <w:rsid w:val="009B348B"/>
    <w:rsid w:val="009B34B6"/>
    <w:rsid w:val="009B3915"/>
    <w:rsid w:val="009B3CE9"/>
    <w:rsid w:val="009B3D8C"/>
    <w:rsid w:val="009B3DCF"/>
    <w:rsid w:val="009B4730"/>
    <w:rsid w:val="009B52E1"/>
    <w:rsid w:val="009B5997"/>
    <w:rsid w:val="009B6B23"/>
    <w:rsid w:val="009B7054"/>
    <w:rsid w:val="009B7229"/>
    <w:rsid w:val="009B7ABD"/>
    <w:rsid w:val="009B7B2E"/>
    <w:rsid w:val="009C061B"/>
    <w:rsid w:val="009C0F9A"/>
    <w:rsid w:val="009C10DB"/>
    <w:rsid w:val="009C1245"/>
    <w:rsid w:val="009C1281"/>
    <w:rsid w:val="009C16B6"/>
    <w:rsid w:val="009C1794"/>
    <w:rsid w:val="009C1B71"/>
    <w:rsid w:val="009C1C35"/>
    <w:rsid w:val="009C1D27"/>
    <w:rsid w:val="009C1F7B"/>
    <w:rsid w:val="009C2134"/>
    <w:rsid w:val="009C257D"/>
    <w:rsid w:val="009C3A86"/>
    <w:rsid w:val="009C3BD9"/>
    <w:rsid w:val="009C4353"/>
    <w:rsid w:val="009C436C"/>
    <w:rsid w:val="009C4BB3"/>
    <w:rsid w:val="009C5B82"/>
    <w:rsid w:val="009C5D09"/>
    <w:rsid w:val="009C62C5"/>
    <w:rsid w:val="009C68A6"/>
    <w:rsid w:val="009C70A4"/>
    <w:rsid w:val="009C7398"/>
    <w:rsid w:val="009C756E"/>
    <w:rsid w:val="009C7966"/>
    <w:rsid w:val="009C7E98"/>
    <w:rsid w:val="009D12EC"/>
    <w:rsid w:val="009D1473"/>
    <w:rsid w:val="009D15C1"/>
    <w:rsid w:val="009D1728"/>
    <w:rsid w:val="009D1B46"/>
    <w:rsid w:val="009D21BE"/>
    <w:rsid w:val="009D2483"/>
    <w:rsid w:val="009D255B"/>
    <w:rsid w:val="009D3345"/>
    <w:rsid w:val="009D37D4"/>
    <w:rsid w:val="009D386F"/>
    <w:rsid w:val="009D3A51"/>
    <w:rsid w:val="009D3B91"/>
    <w:rsid w:val="009D3C3D"/>
    <w:rsid w:val="009D4BF1"/>
    <w:rsid w:val="009D4DDF"/>
    <w:rsid w:val="009D5019"/>
    <w:rsid w:val="009D5288"/>
    <w:rsid w:val="009D5C1D"/>
    <w:rsid w:val="009D5D1A"/>
    <w:rsid w:val="009D647A"/>
    <w:rsid w:val="009D661E"/>
    <w:rsid w:val="009D6BCC"/>
    <w:rsid w:val="009D6C8A"/>
    <w:rsid w:val="009D6DA4"/>
    <w:rsid w:val="009D6E1C"/>
    <w:rsid w:val="009D6EE9"/>
    <w:rsid w:val="009D7293"/>
    <w:rsid w:val="009E00BF"/>
    <w:rsid w:val="009E00CD"/>
    <w:rsid w:val="009E05D2"/>
    <w:rsid w:val="009E0A48"/>
    <w:rsid w:val="009E0D50"/>
    <w:rsid w:val="009E0F42"/>
    <w:rsid w:val="009E1135"/>
    <w:rsid w:val="009E15BA"/>
    <w:rsid w:val="009E2752"/>
    <w:rsid w:val="009E2AD3"/>
    <w:rsid w:val="009E2CBB"/>
    <w:rsid w:val="009E2F9F"/>
    <w:rsid w:val="009E2FB2"/>
    <w:rsid w:val="009E3BF5"/>
    <w:rsid w:val="009E3CD1"/>
    <w:rsid w:val="009E3CDA"/>
    <w:rsid w:val="009E4208"/>
    <w:rsid w:val="009E456F"/>
    <w:rsid w:val="009E4713"/>
    <w:rsid w:val="009E47E5"/>
    <w:rsid w:val="009E491F"/>
    <w:rsid w:val="009E4DD2"/>
    <w:rsid w:val="009E4E39"/>
    <w:rsid w:val="009E5F13"/>
    <w:rsid w:val="009E61DF"/>
    <w:rsid w:val="009E6571"/>
    <w:rsid w:val="009E7076"/>
    <w:rsid w:val="009E71C3"/>
    <w:rsid w:val="009E72CE"/>
    <w:rsid w:val="009E73DE"/>
    <w:rsid w:val="009E7B65"/>
    <w:rsid w:val="009E7C6B"/>
    <w:rsid w:val="009F090D"/>
    <w:rsid w:val="009F0E6F"/>
    <w:rsid w:val="009F119C"/>
    <w:rsid w:val="009F146F"/>
    <w:rsid w:val="009F1CE1"/>
    <w:rsid w:val="009F256C"/>
    <w:rsid w:val="009F2885"/>
    <w:rsid w:val="009F310B"/>
    <w:rsid w:val="009F327C"/>
    <w:rsid w:val="009F3A16"/>
    <w:rsid w:val="009F3A88"/>
    <w:rsid w:val="009F3AE8"/>
    <w:rsid w:val="009F3C75"/>
    <w:rsid w:val="009F409F"/>
    <w:rsid w:val="009F40C7"/>
    <w:rsid w:val="009F55F1"/>
    <w:rsid w:val="009F6215"/>
    <w:rsid w:val="009F6220"/>
    <w:rsid w:val="009F629E"/>
    <w:rsid w:val="009F66B9"/>
    <w:rsid w:val="009F66F8"/>
    <w:rsid w:val="009F6D92"/>
    <w:rsid w:val="009F707A"/>
    <w:rsid w:val="009F7147"/>
    <w:rsid w:val="009F7414"/>
    <w:rsid w:val="009F78DE"/>
    <w:rsid w:val="009F7F12"/>
    <w:rsid w:val="009F7F72"/>
    <w:rsid w:val="00A0037E"/>
    <w:rsid w:val="00A004F4"/>
    <w:rsid w:val="00A01303"/>
    <w:rsid w:val="00A01431"/>
    <w:rsid w:val="00A01556"/>
    <w:rsid w:val="00A019F6"/>
    <w:rsid w:val="00A02C4F"/>
    <w:rsid w:val="00A02DE4"/>
    <w:rsid w:val="00A039D0"/>
    <w:rsid w:val="00A03AFF"/>
    <w:rsid w:val="00A03B9E"/>
    <w:rsid w:val="00A04527"/>
    <w:rsid w:val="00A04550"/>
    <w:rsid w:val="00A04A09"/>
    <w:rsid w:val="00A04C42"/>
    <w:rsid w:val="00A04C9F"/>
    <w:rsid w:val="00A0513F"/>
    <w:rsid w:val="00A052DE"/>
    <w:rsid w:val="00A05760"/>
    <w:rsid w:val="00A05821"/>
    <w:rsid w:val="00A05D1D"/>
    <w:rsid w:val="00A05EA2"/>
    <w:rsid w:val="00A070D5"/>
    <w:rsid w:val="00A07519"/>
    <w:rsid w:val="00A075F5"/>
    <w:rsid w:val="00A076CC"/>
    <w:rsid w:val="00A079A8"/>
    <w:rsid w:val="00A07D2F"/>
    <w:rsid w:val="00A102A8"/>
    <w:rsid w:val="00A106F1"/>
    <w:rsid w:val="00A10A85"/>
    <w:rsid w:val="00A1165C"/>
    <w:rsid w:val="00A116A9"/>
    <w:rsid w:val="00A11884"/>
    <w:rsid w:val="00A11923"/>
    <w:rsid w:val="00A11BB9"/>
    <w:rsid w:val="00A12300"/>
    <w:rsid w:val="00A125D6"/>
    <w:rsid w:val="00A1273A"/>
    <w:rsid w:val="00A1294B"/>
    <w:rsid w:val="00A12D30"/>
    <w:rsid w:val="00A13668"/>
    <w:rsid w:val="00A13852"/>
    <w:rsid w:val="00A13988"/>
    <w:rsid w:val="00A13A85"/>
    <w:rsid w:val="00A13F0E"/>
    <w:rsid w:val="00A1402C"/>
    <w:rsid w:val="00A14D13"/>
    <w:rsid w:val="00A14DA7"/>
    <w:rsid w:val="00A14E53"/>
    <w:rsid w:val="00A1526C"/>
    <w:rsid w:val="00A1554C"/>
    <w:rsid w:val="00A15580"/>
    <w:rsid w:val="00A15724"/>
    <w:rsid w:val="00A1573A"/>
    <w:rsid w:val="00A15C26"/>
    <w:rsid w:val="00A16449"/>
    <w:rsid w:val="00A16798"/>
    <w:rsid w:val="00A178F6"/>
    <w:rsid w:val="00A17CF0"/>
    <w:rsid w:val="00A17F66"/>
    <w:rsid w:val="00A21897"/>
    <w:rsid w:val="00A2201C"/>
    <w:rsid w:val="00A22A66"/>
    <w:rsid w:val="00A22BDF"/>
    <w:rsid w:val="00A22DE1"/>
    <w:rsid w:val="00A22EFC"/>
    <w:rsid w:val="00A23D52"/>
    <w:rsid w:val="00A23DE0"/>
    <w:rsid w:val="00A24986"/>
    <w:rsid w:val="00A2531A"/>
    <w:rsid w:val="00A254D3"/>
    <w:rsid w:val="00A26389"/>
    <w:rsid w:val="00A264A0"/>
    <w:rsid w:val="00A26748"/>
    <w:rsid w:val="00A26C5D"/>
    <w:rsid w:val="00A26F10"/>
    <w:rsid w:val="00A272EA"/>
    <w:rsid w:val="00A2780F"/>
    <w:rsid w:val="00A278B8"/>
    <w:rsid w:val="00A27C2A"/>
    <w:rsid w:val="00A27CC6"/>
    <w:rsid w:val="00A30196"/>
    <w:rsid w:val="00A303B8"/>
    <w:rsid w:val="00A307AC"/>
    <w:rsid w:val="00A30ABC"/>
    <w:rsid w:val="00A3148D"/>
    <w:rsid w:val="00A3225A"/>
    <w:rsid w:val="00A32456"/>
    <w:rsid w:val="00A32E31"/>
    <w:rsid w:val="00A3330D"/>
    <w:rsid w:val="00A33777"/>
    <w:rsid w:val="00A33969"/>
    <w:rsid w:val="00A33A7C"/>
    <w:rsid w:val="00A33CC0"/>
    <w:rsid w:val="00A33D55"/>
    <w:rsid w:val="00A34735"/>
    <w:rsid w:val="00A350D6"/>
    <w:rsid w:val="00A35F24"/>
    <w:rsid w:val="00A35F81"/>
    <w:rsid w:val="00A36072"/>
    <w:rsid w:val="00A361C3"/>
    <w:rsid w:val="00A36634"/>
    <w:rsid w:val="00A36E1A"/>
    <w:rsid w:val="00A36E54"/>
    <w:rsid w:val="00A374D8"/>
    <w:rsid w:val="00A37658"/>
    <w:rsid w:val="00A37730"/>
    <w:rsid w:val="00A40980"/>
    <w:rsid w:val="00A40D8A"/>
    <w:rsid w:val="00A411FA"/>
    <w:rsid w:val="00A4137F"/>
    <w:rsid w:val="00A413FD"/>
    <w:rsid w:val="00A41628"/>
    <w:rsid w:val="00A41A49"/>
    <w:rsid w:val="00A41DC5"/>
    <w:rsid w:val="00A431A0"/>
    <w:rsid w:val="00A43755"/>
    <w:rsid w:val="00A43E41"/>
    <w:rsid w:val="00A445DA"/>
    <w:rsid w:val="00A44729"/>
    <w:rsid w:val="00A44991"/>
    <w:rsid w:val="00A44A6A"/>
    <w:rsid w:val="00A44DD4"/>
    <w:rsid w:val="00A44EC1"/>
    <w:rsid w:val="00A4543F"/>
    <w:rsid w:val="00A454B3"/>
    <w:rsid w:val="00A456C0"/>
    <w:rsid w:val="00A45AB1"/>
    <w:rsid w:val="00A45CD3"/>
    <w:rsid w:val="00A45D24"/>
    <w:rsid w:val="00A45E52"/>
    <w:rsid w:val="00A46652"/>
    <w:rsid w:val="00A46942"/>
    <w:rsid w:val="00A46B80"/>
    <w:rsid w:val="00A46D15"/>
    <w:rsid w:val="00A470DE"/>
    <w:rsid w:val="00A4713D"/>
    <w:rsid w:val="00A502BC"/>
    <w:rsid w:val="00A50457"/>
    <w:rsid w:val="00A508D3"/>
    <w:rsid w:val="00A50CBA"/>
    <w:rsid w:val="00A50CC0"/>
    <w:rsid w:val="00A51263"/>
    <w:rsid w:val="00A51279"/>
    <w:rsid w:val="00A516E2"/>
    <w:rsid w:val="00A51A70"/>
    <w:rsid w:val="00A51ADA"/>
    <w:rsid w:val="00A51B1C"/>
    <w:rsid w:val="00A52A03"/>
    <w:rsid w:val="00A52C62"/>
    <w:rsid w:val="00A52D9E"/>
    <w:rsid w:val="00A530EC"/>
    <w:rsid w:val="00A5323B"/>
    <w:rsid w:val="00A538DA"/>
    <w:rsid w:val="00A53CFA"/>
    <w:rsid w:val="00A53FF0"/>
    <w:rsid w:val="00A54FB4"/>
    <w:rsid w:val="00A5546C"/>
    <w:rsid w:val="00A5555D"/>
    <w:rsid w:val="00A55E44"/>
    <w:rsid w:val="00A560CD"/>
    <w:rsid w:val="00A5610B"/>
    <w:rsid w:val="00A5616A"/>
    <w:rsid w:val="00A56556"/>
    <w:rsid w:val="00A56DE0"/>
    <w:rsid w:val="00A56F04"/>
    <w:rsid w:val="00A57B51"/>
    <w:rsid w:val="00A601AE"/>
    <w:rsid w:val="00A606FA"/>
    <w:rsid w:val="00A608EA"/>
    <w:rsid w:val="00A60A70"/>
    <w:rsid w:val="00A611EF"/>
    <w:rsid w:val="00A6129B"/>
    <w:rsid w:val="00A61657"/>
    <w:rsid w:val="00A619FC"/>
    <w:rsid w:val="00A622D8"/>
    <w:rsid w:val="00A623DF"/>
    <w:rsid w:val="00A62707"/>
    <w:rsid w:val="00A62BA2"/>
    <w:rsid w:val="00A62C1B"/>
    <w:rsid w:val="00A62C60"/>
    <w:rsid w:val="00A63C18"/>
    <w:rsid w:val="00A63C95"/>
    <w:rsid w:val="00A65019"/>
    <w:rsid w:val="00A6567D"/>
    <w:rsid w:val="00A65A48"/>
    <w:rsid w:val="00A65E5C"/>
    <w:rsid w:val="00A662DC"/>
    <w:rsid w:val="00A666B0"/>
    <w:rsid w:val="00A66A19"/>
    <w:rsid w:val="00A67234"/>
    <w:rsid w:val="00A6741B"/>
    <w:rsid w:val="00A67708"/>
    <w:rsid w:val="00A700C9"/>
    <w:rsid w:val="00A70728"/>
    <w:rsid w:val="00A708E4"/>
    <w:rsid w:val="00A70EB3"/>
    <w:rsid w:val="00A71731"/>
    <w:rsid w:val="00A71C71"/>
    <w:rsid w:val="00A71C90"/>
    <w:rsid w:val="00A71DCB"/>
    <w:rsid w:val="00A71E62"/>
    <w:rsid w:val="00A74149"/>
    <w:rsid w:val="00A74154"/>
    <w:rsid w:val="00A74226"/>
    <w:rsid w:val="00A7442B"/>
    <w:rsid w:val="00A74512"/>
    <w:rsid w:val="00A74C3F"/>
    <w:rsid w:val="00A74D3C"/>
    <w:rsid w:val="00A750D6"/>
    <w:rsid w:val="00A75106"/>
    <w:rsid w:val="00A757B0"/>
    <w:rsid w:val="00A75F51"/>
    <w:rsid w:val="00A776A4"/>
    <w:rsid w:val="00A77B30"/>
    <w:rsid w:val="00A8049D"/>
    <w:rsid w:val="00A807F0"/>
    <w:rsid w:val="00A8084E"/>
    <w:rsid w:val="00A81CC3"/>
    <w:rsid w:val="00A81DA7"/>
    <w:rsid w:val="00A81DAF"/>
    <w:rsid w:val="00A81EA9"/>
    <w:rsid w:val="00A822C2"/>
    <w:rsid w:val="00A82990"/>
    <w:rsid w:val="00A82D30"/>
    <w:rsid w:val="00A830E5"/>
    <w:rsid w:val="00A832B3"/>
    <w:rsid w:val="00A840F8"/>
    <w:rsid w:val="00A844A1"/>
    <w:rsid w:val="00A84906"/>
    <w:rsid w:val="00A850E7"/>
    <w:rsid w:val="00A85A8D"/>
    <w:rsid w:val="00A85E77"/>
    <w:rsid w:val="00A8660B"/>
    <w:rsid w:val="00A873F0"/>
    <w:rsid w:val="00A874B4"/>
    <w:rsid w:val="00A875DC"/>
    <w:rsid w:val="00A87810"/>
    <w:rsid w:val="00A87878"/>
    <w:rsid w:val="00A878B1"/>
    <w:rsid w:val="00A902B2"/>
    <w:rsid w:val="00A90401"/>
    <w:rsid w:val="00A9048B"/>
    <w:rsid w:val="00A90875"/>
    <w:rsid w:val="00A90D09"/>
    <w:rsid w:val="00A911B0"/>
    <w:rsid w:val="00A91596"/>
    <w:rsid w:val="00A91C61"/>
    <w:rsid w:val="00A921E3"/>
    <w:rsid w:val="00A92393"/>
    <w:rsid w:val="00A9266B"/>
    <w:rsid w:val="00A92E4E"/>
    <w:rsid w:val="00A94202"/>
    <w:rsid w:val="00A94780"/>
    <w:rsid w:val="00A94D20"/>
    <w:rsid w:val="00A94E00"/>
    <w:rsid w:val="00A956E6"/>
    <w:rsid w:val="00A96404"/>
    <w:rsid w:val="00A96CB6"/>
    <w:rsid w:val="00A970C2"/>
    <w:rsid w:val="00A972CB"/>
    <w:rsid w:val="00A97354"/>
    <w:rsid w:val="00A9752B"/>
    <w:rsid w:val="00A97B75"/>
    <w:rsid w:val="00AA0208"/>
    <w:rsid w:val="00AA09AD"/>
    <w:rsid w:val="00AA0EC9"/>
    <w:rsid w:val="00AA1018"/>
    <w:rsid w:val="00AA1909"/>
    <w:rsid w:val="00AA2461"/>
    <w:rsid w:val="00AA2574"/>
    <w:rsid w:val="00AA2865"/>
    <w:rsid w:val="00AA37B1"/>
    <w:rsid w:val="00AA3A9B"/>
    <w:rsid w:val="00AA3BF1"/>
    <w:rsid w:val="00AA3DF7"/>
    <w:rsid w:val="00AA47D8"/>
    <w:rsid w:val="00AA4B98"/>
    <w:rsid w:val="00AA5410"/>
    <w:rsid w:val="00AA587C"/>
    <w:rsid w:val="00AA5C65"/>
    <w:rsid w:val="00AA65CC"/>
    <w:rsid w:val="00AA6CEF"/>
    <w:rsid w:val="00AA7679"/>
    <w:rsid w:val="00AA7A1B"/>
    <w:rsid w:val="00AA7C12"/>
    <w:rsid w:val="00AB0117"/>
    <w:rsid w:val="00AB06BB"/>
    <w:rsid w:val="00AB0797"/>
    <w:rsid w:val="00AB0A3A"/>
    <w:rsid w:val="00AB0B01"/>
    <w:rsid w:val="00AB0BF3"/>
    <w:rsid w:val="00AB109B"/>
    <w:rsid w:val="00AB12FC"/>
    <w:rsid w:val="00AB21C6"/>
    <w:rsid w:val="00AB24D0"/>
    <w:rsid w:val="00AB26EF"/>
    <w:rsid w:val="00AB2841"/>
    <w:rsid w:val="00AB28DC"/>
    <w:rsid w:val="00AB389B"/>
    <w:rsid w:val="00AB38CB"/>
    <w:rsid w:val="00AB42EE"/>
    <w:rsid w:val="00AB4813"/>
    <w:rsid w:val="00AB50C3"/>
    <w:rsid w:val="00AB5414"/>
    <w:rsid w:val="00AB552A"/>
    <w:rsid w:val="00AB5579"/>
    <w:rsid w:val="00AB5F73"/>
    <w:rsid w:val="00AB6069"/>
    <w:rsid w:val="00AB6BB3"/>
    <w:rsid w:val="00AC0637"/>
    <w:rsid w:val="00AC0F3A"/>
    <w:rsid w:val="00AC132E"/>
    <w:rsid w:val="00AC135A"/>
    <w:rsid w:val="00AC2149"/>
    <w:rsid w:val="00AC285F"/>
    <w:rsid w:val="00AC2D1C"/>
    <w:rsid w:val="00AC2D55"/>
    <w:rsid w:val="00AC3266"/>
    <w:rsid w:val="00AC3952"/>
    <w:rsid w:val="00AC3A1F"/>
    <w:rsid w:val="00AC45E7"/>
    <w:rsid w:val="00AC4888"/>
    <w:rsid w:val="00AC4C81"/>
    <w:rsid w:val="00AC547E"/>
    <w:rsid w:val="00AC6242"/>
    <w:rsid w:val="00AC6F7D"/>
    <w:rsid w:val="00AC7077"/>
    <w:rsid w:val="00AC720A"/>
    <w:rsid w:val="00AC75F1"/>
    <w:rsid w:val="00AC7701"/>
    <w:rsid w:val="00AC771A"/>
    <w:rsid w:val="00AD000B"/>
    <w:rsid w:val="00AD0185"/>
    <w:rsid w:val="00AD0548"/>
    <w:rsid w:val="00AD09D9"/>
    <w:rsid w:val="00AD0FD2"/>
    <w:rsid w:val="00AD12B1"/>
    <w:rsid w:val="00AD1716"/>
    <w:rsid w:val="00AD192A"/>
    <w:rsid w:val="00AD1B1A"/>
    <w:rsid w:val="00AD1C18"/>
    <w:rsid w:val="00AD232E"/>
    <w:rsid w:val="00AD2432"/>
    <w:rsid w:val="00AD25B1"/>
    <w:rsid w:val="00AD28F0"/>
    <w:rsid w:val="00AD2D46"/>
    <w:rsid w:val="00AD2F96"/>
    <w:rsid w:val="00AD308A"/>
    <w:rsid w:val="00AD308C"/>
    <w:rsid w:val="00AD3568"/>
    <w:rsid w:val="00AD37CE"/>
    <w:rsid w:val="00AD419B"/>
    <w:rsid w:val="00AD4363"/>
    <w:rsid w:val="00AD4692"/>
    <w:rsid w:val="00AD4B2F"/>
    <w:rsid w:val="00AD5D33"/>
    <w:rsid w:val="00AD5EB5"/>
    <w:rsid w:val="00AD60EA"/>
    <w:rsid w:val="00AD632C"/>
    <w:rsid w:val="00AD63D1"/>
    <w:rsid w:val="00AD6479"/>
    <w:rsid w:val="00AD67D4"/>
    <w:rsid w:val="00AD6847"/>
    <w:rsid w:val="00AD6F5B"/>
    <w:rsid w:val="00AD6FEF"/>
    <w:rsid w:val="00AE066C"/>
    <w:rsid w:val="00AE085B"/>
    <w:rsid w:val="00AE122F"/>
    <w:rsid w:val="00AE1367"/>
    <w:rsid w:val="00AE1674"/>
    <w:rsid w:val="00AE1A0F"/>
    <w:rsid w:val="00AE1BC3"/>
    <w:rsid w:val="00AE1F82"/>
    <w:rsid w:val="00AE34A7"/>
    <w:rsid w:val="00AE35CF"/>
    <w:rsid w:val="00AE4005"/>
    <w:rsid w:val="00AE4331"/>
    <w:rsid w:val="00AE4AE9"/>
    <w:rsid w:val="00AE54E6"/>
    <w:rsid w:val="00AE614D"/>
    <w:rsid w:val="00AE6B6A"/>
    <w:rsid w:val="00AE6B90"/>
    <w:rsid w:val="00AE6CAF"/>
    <w:rsid w:val="00AE71D1"/>
    <w:rsid w:val="00AE750C"/>
    <w:rsid w:val="00AE7849"/>
    <w:rsid w:val="00AE7977"/>
    <w:rsid w:val="00AF085D"/>
    <w:rsid w:val="00AF0862"/>
    <w:rsid w:val="00AF09D2"/>
    <w:rsid w:val="00AF1302"/>
    <w:rsid w:val="00AF153F"/>
    <w:rsid w:val="00AF1802"/>
    <w:rsid w:val="00AF1CD3"/>
    <w:rsid w:val="00AF1F10"/>
    <w:rsid w:val="00AF23AB"/>
    <w:rsid w:val="00AF24D7"/>
    <w:rsid w:val="00AF323B"/>
    <w:rsid w:val="00AF349A"/>
    <w:rsid w:val="00AF35F4"/>
    <w:rsid w:val="00AF3D39"/>
    <w:rsid w:val="00AF41F6"/>
    <w:rsid w:val="00AF47F8"/>
    <w:rsid w:val="00AF497B"/>
    <w:rsid w:val="00AF498F"/>
    <w:rsid w:val="00AF4D88"/>
    <w:rsid w:val="00AF56D8"/>
    <w:rsid w:val="00AF5E57"/>
    <w:rsid w:val="00AF6572"/>
    <w:rsid w:val="00AF6A4C"/>
    <w:rsid w:val="00AF6DEE"/>
    <w:rsid w:val="00AF753B"/>
    <w:rsid w:val="00AF77C2"/>
    <w:rsid w:val="00B00B40"/>
    <w:rsid w:val="00B00B54"/>
    <w:rsid w:val="00B00D28"/>
    <w:rsid w:val="00B01A38"/>
    <w:rsid w:val="00B02183"/>
    <w:rsid w:val="00B024F3"/>
    <w:rsid w:val="00B025B7"/>
    <w:rsid w:val="00B02938"/>
    <w:rsid w:val="00B02B26"/>
    <w:rsid w:val="00B02FEB"/>
    <w:rsid w:val="00B03077"/>
    <w:rsid w:val="00B03650"/>
    <w:rsid w:val="00B0365D"/>
    <w:rsid w:val="00B03C38"/>
    <w:rsid w:val="00B042AC"/>
    <w:rsid w:val="00B042BB"/>
    <w:rsid w:val="00B047C2"/>
    <w:rsid w:val="00B04A0E"/>
    <w:rsid w:val="00B04CB1"/>
    <w:rsid w:val="00B05031"/>
    <w:rsid w:val="00B0534D"/>
    <w:rsid w:val="00B05635"/>
    <w:rsid w:val="00B05887"/>
    <w:rsid w:val="00B05E24"/>
    <w:rsid w:val="00B060B0"/>
    <w:rsid w:val="00B06611"/>
    <w:rsid w:val="00B06808"/>
    <w:rsid w:val="00B06BF3"/>
    <w:rsid w:val="00B06E1D"/>
    <w:rsid w:val="00B07620"/>
    <w:rsid w:val="00B07A02"/>
    <w:rsid w:val="00B07C57"/>
    <w:rsid w:val="00B07D38"/>
    <w:rsid w:val="00B10B03"/>
    <w:rsid w:val="00B10C57"/>
    <w:rsid w:val="00B11100"/>
    <w:rsid w:val="00B12666"/>
    <w:rsid w:val="00B13134"/>
    <w:rsid w:val="00B1314F"/>
    <w:rsid w:val="00B13197"/>
    <w:rsid w:val="00B13848"/>
    <w:rsid w:val="00B13E80"/>
    <w:rsid w:val="00B15035"/>
    <w:rsid w:val="00B151CF"/>
    <w:rsid w:val="00B154F8"/>
    <w:rsid w:val="00B15527"/>
    <w:rsid w:val="00B15CED"/>
    <w:rsid w:val="00B1687A"/>
    <w:rsid w:val="00B1742C"/>
    <w:rsid w:val="00B179F4"/>
    <w:rsid w:val="00B17D38"/>
    <w:rsid w:val="00B17DE7"/>
    <w:rsid w:val="00B203B5"/>
    <w:rsid w:val="00B203BB"/>
    <w:rsid w:val="00B20445"/>
    <w:rsid w:val="00B21150"/>
    <w:rsid w:val="00B214D1"/>
    <w:rsid w:val="00B21A01"/>
    <w:rsid w:val="00B2220E"/>
    <w:rsid w:val="00B22552"/>
    <w:rsid w:val="00B2308D"/>
    <w:rsid w:val="00B230D5"/>
    <w:rsid w:val="00B23477"/>
    <w:rsid w:val="00B2369E"/>
    <w:rsid w:val="00B2377F"/>
    <w:rsid w:val="00B239AF"/>
    <w:rsid w:val="00B23AA6"/>
    <w:rsid w:val="00B23F63"/>
    <w:rsid w:val="00B243EA"/>
    <w:rsid w:val="00B247AD"/>
    <w:rsid w:val="00B24ACB"/>
    <w:rsid w:val="00B24C16"/>
    <w:rsid w:val="00B24CB4"/>
    <w:rsid w:val="00B24F2B"/>
    <w:rsid w:val="00B25A7B"/>
    <w:rsid w:val="00B25D05"/>
    <w:rsid w:val="00B25F83"/>
    <w:rsid w:val="00B25F93"/>
    <w:rsid w:val="00B26099"/>
    <w:rsid w:val="00B26622"/>
    <w:rsid w:val="00B26669"/>
    <w:rsid w:val="00B2708A"/>
    <w:rsid w:val="00B27667"/>
    <w:rsid w:val="00B276B4"/>
    <w:rsid w:val="00B27795"/>
    <w:rsid w:val="00B27BDF"/>
    <w:rsid w:val="00B303F6"/>
    <w:rsid w:val="00B306B7"/>
    <w:rsid w:val="00B307B7"/>
    <w:rsid w:val="00B30BB1"/>
    <w:rsid w:val="00B31C91"/>
    <w:rsid w:val="00B320FA"/>
    <w:rsid w:val="00B32537"/>
    <w:rsid w:val="00B32C9C"/>
    <w:rsid w:val="00B32FCE"/>
    <w:rsid w:val="00B333CA"/>
    <w:rsid w:val="00B337CA"/>
    <w:rsid w:val="00B33AE4"/>
    <w:rsid w:val="00B3465E"/>
    <w:rsid w:val="00B34D05"/>
    <w:rsid w:val="00B356DF"/>
    <w:rsid w:val="00B35B35"/>
    <w:rsid w:val="00B36028"/>
    <w:rsid w:val="00B36305"/>
    <w:rsid w:val="00B36938"/>
    <w:rsid w:val="00B36A44"/>
    <w:rsid w:val="00B373F4"/>
    <w:rsid w:val="00B37583"/>
    <w:rsid w:val="00B40064"/>
    <w:rsid w:val="00B404C1"/>
    <w:rsid w:val="00B4054D"/>
    <w:rsid w:val="00B40A93"/>
    <w:rsid w:val="00B40CC5"/>
    <w:rsid w:val="00B40E11"/>
    <w:rsid w:val="00B412FE"/>
    <w:rsid w:val="00B414BD"/>
    <w:rsid w:val="00B417A6"/>
    <w:rsid w:val="00B42380"/>
    <w:rsid w:val="00B42AD4"/>
    <w:rsid w:val="00B43342"/>
    <w:rsid w:val="00B43AB9"/>
    <w:rsid w:val="00B43F9F"/>
    <w:rsid w:val="00B4410A"/>
    <w:rsid w:val="00B44C28"/>
    <w:rsid w:val="00B45806"/>
    <w:rsid w:val="00B45D84"/>
    <w:rsid w:val="00B45EF5"/>
    <w:rsid w:val="00B46CF3"/>
    <w:rsid w:val="00B473D1"/>
    <w:rsid w:val="00B478A3"/>
    <w:rsid w:val="00B50283"/>
    <w:rsid w:val="00B5044A"/>
    <w:rsid w:val="00B5096F"/>
    <w:rsid w:val="00B50A44"/>
    <w:rsid w:val="00B50B63"/>
    <w:rsid w:val="00B50EFF"/>
    <w:rsid w:val="00B51948"/>
    <w:rsid w:val="00B5195E"/>
    <w:rsid w:val="00B51987"/>
    <w:rsid w:val="00B5204B"/>
    <w:rsid w:val="00B52399"/>
    <w:rsid w:val="00B52637"/>
    <w:rsid w:val="00B52A26"/>
    <w:rsid w:val="00B52BF9"/>
    <w:rsid w:val="00B52FD6"/>
    <w:rsid w:val="00B54632"/>
    <w:rsid w:val="00B54DB0"/>
    <w:rsid w:val="00B54EC1"/>
    <w:rsid w:val="00B54FA1"/>
    <w:rsid w:val="00B551A8"/>
    <w:rsid w:val="00B551EB"/>
    <w:rsid w:val="00B55524"/>
    <w:rsid w:val="00B55711"/>
    <w:rsid w:val="00B55CF2"/>
    <w:rsid w:val="00B55D16"/>
    <w:rsid w:val="00B561A4"/>
    <w:rsid w:val="00B5635A"/>
    <w:rsid w:val="00B56547"/>
    <w:rsid w:val="00B56818"/>
    <w:rsid w:val="00B57365"/>
    <w:rsid w:val="00B575BF"/>
    <w:rsid w:val="00B57834"/>
    <w:rsid w:val="00B57DA1"/>
    <w:rsid w:val="00B57E7F"/>
    <w:rsid w:val="00B60822"/>
    <w:rsid w:val="00B60DA4"/>
    <w:rsid w:val="00B60F04"/>
    <w:rsid w:val="00B6102F"/>
    <w:rsid w:val="00B61118"/>
    <w:rsid w:val="00B611ED"/>
    <w:rsid w:val="00B612EA"/>
    <w:rsid w:val="00B617D8"/>
    <w:rsid w:val="00B61C66"/>
    <w:rsid w:val="00B61C90"/>
    <w:rsid w:val="00B62604"/>
    <w:rsid w:val="00B627C1"/>
    <w:rsid w:val="00B627CD"/>
    <w:rsid w:val="00B628F9"/>
    <w:rsid w:val="00B62A48"/>
    <w:rsid w:val="00B62DF2"/>
    <w:rsid w:val="00B62F29"/>
    <w:rsid w:val="00B63099"/>
    <w:rsid w:val="00B631FA"/>
    <w:rsid w:val="00B63E49"/>
    <w:rsid w:val="00B642F0"/>
    <w:rsid w:val="00B643F2"/>
    <w:rsid w:val="00B64605"/>
    <w:rsid w:val="00B6476F"/>
    <w:rsid w:val="00B65134"/>
    <w:rsid w:val="00B652A4"/>
    <w:rsid w:val="00B6602C"/>
    <w:rsid w:val="00B664B7"/>
    <w:rsid w:val="00B66615"/>
    <w:rsid w:val="00B66A87"/>
    <w:rsid w:val="00B66A96"/>
    <w:rsid w:val="00B676A9"/>
    <w:rsid w:val="00B67C84"/>
    <w:rsid w:val="00B7078E"/>
    <w:rsid w:val="00B712D0"/>
    <w:rsid w:val="00B717FC"/>
    <w:rsid w:val="00B71805"/>
    <w:rsid w:val="00B71ACE"/>
    <w:rsid w:val="00B71E11"/>
    <w:rsid w:val="00B728B9"/>
    <w:rsid w:val="00B72BFC"/>
    <w:rsid w:val="00B72FFF"/>
    <w:rsid w:val="00B73140"/>
    <w:rsid w:val="00B7341F"/>
    <w:rsid w:val="00B73FBC"/>
    <w:rsid w:val="00B74558"/>
    <w:rsid w:val="00B7472B"/>
    <w:rsid w:val="00B7521B"/>
    <w:rsid w:val="00B757E5"/>
    <w:rsid w:val="00B76A1F"/>
    <w:rsid w:val="00B76A3A"/>
    <w:rsid w:val="00B76BC1"/>
    <w:rsid w:val="00B7783D"/>
    <w:rsid w:val="00B77A3D"/>
    <w:rsid w:val="00B77A6F"/>
    <w:rsid w:val="00B77D5F"/>
    <w:rsid w:val="00B77D73"/>
    <w:rsid w:val="00B77F8B"/>
    <w:rsid w:val="00B80523"/>
    <w:rsid w:val="00B8096E"/>
    <w:rsid w:val="00B80AF2"/>
    <w:rsid w:val="00B81324"/>
    <w:rsid w:val="00B817C5"/>
    <w:rsid w:val="00B818F6"/>
    <w:rsid w:val="00B81F38"/>
    <w:rsid w:val="00B8344E"/>
    <w:rsid w:val="00B83775"/>
    <w:rsid w:val="00B8391E"/>
    <w:rsid w:val="00B83AF5"/>
    <w:rsid w:val="00B83B62"/>
    <w:rsid w:val="00B83DD1"/>
    <w:rsid w:val="00B83E71"/>
    <w:rsid w:val="00B84188"/>
    <w:rsid w:val="00B84B8F"/>
    <w:rsid w:val="00B84F48"/>
    <w:rsid w:val="00B8535F"/>
    <w:rsid w:val="00B853D3"/>
    <w:rsid w:val="00B853E9"/>
    <w:rsid w:val="00B8549E"/>
    <w:rsid w:val="00B85C74"/>
    <w:rsid w:val="00B85EDE"/>
    <w:rsid w:val="00B86301"/>
    <w:rsid w:val="00B86BE1"/>
    <w:rsid w:val="00B87565"/>
    <w:rsid w:val="00B87783"/>
    <w:rsid w:val="00B878CD"/>
    <w:rsid w:val="00B90660"/>
    <w:rsid w:val="00B9066D"/>
    <w:rsid w:val="00B90E29"/>
    <w:rsid w:val="00B91007"/>
    <w:rsid w:val="00B916CF"/>
    <w:rsid w:val="00B91CB1"/>
    <w:rsid w:val="00B9249B"/>
    <w:rsid w:val="00B92D1D"/>
    <w:rsid w:val="00B93216"/>
    <w:rsid w:val="00B935C8"/>
    <w:rsid w:val="00B93639"/>
    <w:rsid w:val="00B9369E"/>
    <w:rsid w:val="00B93841"/>
    <w:rsid w:val="00B94197"/>
    <w:rsid w:val="00B942B6"/>
    <w:rsid w:val="00B94384"/>
    <w:rsid w:val="00B94CE6"/>
    <w:rsid w:val="00B9536C"/>
    <w:rsid w:val="00B9574D"/>
    <w:rsid w:val="00B95B3A"/>
    <w:rsid w:val="00B95D6A"/>
    <w:rsid w:val="00B95ED7"/>
    <w:rsid w:val="00B95F94"/>
    <w:rsid w:val="00B9635D"/>
    <w:rsid w:val="00B9715D"/>
    <w:rsid w:val="00B9729D"/>
    <w:rsid w:val="00BA1DE1"/>
    <w:rsid w:val="00BA1FFB"/>
    <w:rsid w:val="00BA2A35"/>
    <w:rsid w:val="00BA2B3F"/>
    <w:rsid w:val="00BA2E43"/>
    <w:rsid w:val="00BA35A8"/>
    <w:rsid w:val="00BA3794"/>
    <w:rsid w:val="00BA387A"/>
    <w:rsid w:val="00BA38A6"/>
    <w:rsid w:val="00BA40DF"/>
    <w:rsid w:val="00BA4E45"/>
    <w:rsid w:val="00BA4E96"/>
    <w:rsid w:val="00BA5606"/>
    <w:rsid w:val="00BA59FB"/>
    <w:rsid w:val="00BA5C58"/>
    <w:rsid w:val="00BA6044"/>
    <w:rsid w:val="00BA60AC"/>
    <w:rsid w:val="00BA6500"/>
    <w:rsid w:val="00BA6CD0"/>
    <w:rsid w:val="00BA6D70"/>
    <w:rsid w:val="00BA6E85"/>
    <w:rsid w:val="00BA6F3F"/>
    <w:rsid w:val="00BA6F99"/>
    <w:rsid w:val="00BA7159"/>
    <w:rsid w:val="00BA733F"/>
    <w:rsid w:val="00BA7365"/>
    <w:rsid w:val="00BA7569"/>
    <w:rsid w:val="00BA75AF"/>
    <w:rsid w:val="00BA7CE0"/>
    <w:rsid w:val="00BB03F2"/>
    <w:rsid w:val="00BB0A80"/>
    <w:rsid w:val="00BB0D72"/>
    <w:rsid w:val="00BB118A"/>
    <w:rsid w:val="00BB11B0"/>
    <w:rsid w:val="00BB14A3"/>
    <w:rsid w:val="00BB1D72"/>
    <w:rsid w:val="00BB20A8"/>
    <w:rsid w:val="00BB338A"/>
    <w:rsid w:val="00BB36DD"/>
    <w:rsid w:val="00BB3766"/>
    <w:rsid w:val="00BB3A49"/>
    <w:rsid w:val="00BB3A6B"/>
    <w:rsid w:val="00BB3BFD"/>
    <w:rsid w:val="00BB4109"/>
    <w:rsid w:val="00BB4319"/>
    <w:rsid w:val="00BB4FBC"/>
    <w:rsid w:val="00BB53FC"/>
    <w:rsid w:val="00BB58B6"/>
    <w:rsid w:val="00BB5C5D"/>
    <w:rsid w:val="00BB6876"/>
    <w:rsid w:val="00BB6D40"/>
    <w:rsid w:val="00BB6F17"/>
    <w:rsid w:val="00BB77D9"/>
    <w:rsid w:val="00BC0445"/>
    <w:rsid w:val="00BC0706"/>
    <w:rsid w:val="00BC116A"/>
    <w:rsid w:val="00BC123E"/>
    <w:rsid w:val="00BC15DE"/>
    <w:rsid w:val="00BC17C8"/>
    <w:rsid w:val="00BC1B52"/>
    <w:rsid w:val="00BC1CAD"/>
    <w:rsid w:val="00BC1CF3"/>
    <w:rsid w:val="00BC1FD4"/>
    <w:rsid w:val="00BC26A7"/>
    <w:rsid w:val="00BC2C5A"/>
    <w:rsid w:val="00BC2E8D"/>
    <w:rsid w:val="00BC2EE0"/>
    <w:rsid w:val="00BC314A"/>
    <w:rsid w:val="00BC31AA"/>
    <w:rsid w:val="00BC329B"/>
    <w:rsid w:val="00BC3531"/>
    <w:rsid w:val="00BC3664"/>
    <w:rsid w:val="00BC369C"/>
    <w:rsid w:val="00BC369E"/>
    <w:rsid w:val="00BC3837"/>
    <w:rsid w:val="00BC385B"/>
    <w:rsid w:val="00BC42B2"/>
    <w:rsid w:val="00BC48C9"/>
    <w:rsid w:val="00BC4972"/>
    <w:rsid w:val="00BC531C"/>
    <w:rsid w:val="00BC56AB"/>
    <w:rsid w:val="00BC5F9D"/>
    <w:rsid w:val="00BC5FAE"/>
    <w:rsid w:val="00BC62C6"/>
    <w:rsid w:val="00BC6897"/>
    <w:rsid w:val="00BC6A82"/>
    <w:rsid w:val="00BC7577"/>
    <w:rsid w:val="00BC75EB"/>
    <w:rsid w:val="00BC7B09"/>
    <w:rsid w:val="00BD00EB"/>
    <w:rsid w:val="00BD1167"/>
    <w:rsid w:val="00BD1252"/>
    <w:rsid w:val="00BD1B4F"/>
    <w:rsid w:val="00BD1B8D"/>
    <w:rsid w:val="00BD1BA2"/>
    <w:rsid w:val="00BD1E3A"/>
    <w:rsid w:val="00BD30B6"/>
    <w:rsid w:val="00BD3121"/>
    <w:rsid w:val="00BD33D4"/>
    <w:rsid w:val="00BD3C34"/>
    <w:rsid w:val="00BD40B1"/>
    <w:rsid w:val="00BD43DC"/>
    <w:rsid w:val="00BD442D"/>
    <w:rsid w:val="00BD44EC"/>
    <w:rsid w:val="00BD4999"/>
    <w:rsid w:val="00BD5342"/>
    <w:rsid w:val="00BD5591"/>
    <w:rsid w:val="00BD5D8A"/>
    <w:rsid w:val="00BD5EC3"/>
    <w:rsid w:val="00BD6723"/>
    <w:rsid w:val="00BD6F50"/>
    <w:rsid w:val="00BD7289"/>
    <w:rsid w:val="00BD7BE1"/>
    <w:rsid w:val="00BD7D65"/>
    <w:rsid w:val="00BD7E79"/>
    <w:rsid w:val="00BD7EF8"/>
    <w:rsid w:val="00BE06AF"/>
    <w:rsid w:val="00BE0CBE"/>
    <w:rsid w:val="00BE22AD"/>
    <w:rsid w:val="00BE26C1"/>
    <w:rsid w:val="00BE2CEE"/>
    <w:rsid w:val="00BE336D"/>
    <w:rsid w:val="00BE36DC"/>
    <w:rsid w:val="00BE3A1B"/>
    <w:rsid w:val="00BE3A88"/>
    <w:rsid w:val="00BE3B4D"/>
    <w:rsid w:val="00BE3CA4"/>
    <w:rsid w:val="00BE3DC0"/>
    <w:rsid w:val="00BE4236"/>
    <w:rsid w:val="00BE437F"/>
    <w:rsid w:val="00BE446B"/>
    <w:rsid w:val="00BE4484"/>
    <w:rsid w:val="00BE47BF"/>
    <w:rsid w:val="00BE5305"/>
    <w:rsid w:val="00BE5374"/>
    <w:rsid w:val="00BE56C4"/>
    <w:rsid w:val="00BE57B8"/>
    <w:rsid w:val="00BE581E"/>
    <w:rsid w:val="00BE5A89"/>
    <w:rsid w:val="00BE5D5F"/>
    <w:rsid w:val="00BE627A"/>
    <w:rsid w:val="00BE6B7F"/>
    <w:rsid w:val="00BE6CE8"/>
    <w:rsid w:val="00BE7167"/>
    <w:rsid w:val="00BE78F8"/>
    <w:rsid w:val="00BE7A05"/>
    <w:rsid w:val="00BE7C4D"/>
    <w:rsid w:val="00BE7E21"/>
    <w:rsid w:val="00BF0573"/>
    <w:rsid w:val="00BF0A2A"/>
    <w:rsid w:val="00BF1364"/>
    <w:rsid w:val="00BF148B"/>
    <w:rsid w:val="00BF1CD1"/>
    <w:rsid w:val="00BF1DB9"/>
    <w:rsid w:val="00BF1E6D"/>
    <w:rsid w:val="00BF22B8"/>
    <w:rsid w:val="00BF3715"/>
    <w:rsid w:val="00BF3B09"/>
    <w:rsid w:val="00BF3E9A"/>
    <w:rsid w:val="00BF6175"/>
    <w:rsid w:val="00BF7373"/>
    <w:rsid w:val="00BF7C54"/>
    <w:rsid w:val="00C00869"/>
    <w:rsid w:val="00C00899"/>
    <w:rsid w:val="00C00A03"/>
    <w:rsid w:val="00C0179F"/>
    <w:rsid w:val="00C01D5F"/>
    <w:rsid w:val="00C02481"/>
    <w:rsid w:val="00C028A5"/>
    <w:rsid w:val="00C02D3B"/>
    <w:rsid w:val="00C02DD3"/>
    <w:rsid w:val="00C032AB"/>
    <w:rsid w:val="00C0345A"/>
    <w:rsid w:val="00C03511"/>
    <w:rsid w:val="00C03DF4"/>
    <w:rsid w:val="00C03F8F"/>
    <w:rsid w:val="00C049A4"/>
    <w:rsid w:val="00C049F1"/>
    <w:rsid w:val="00C04B9F"/>
    <w:rsid w:val="00C04C3A"/>
    <w:rsid w:val="00C05452"/>
    <w:rsid w:val="00C05700"/>
    <w:rsid w:val="00C067E5"/>
    <w:rsid w:val="00C06ECC"/>
    <w:rsid w:val="00C07111"/>
    <w:rsid w:val="00C074CD"/>
    <w:rsid w:val="00C074EB"/>
    <w:rsid w:val="00C0770A"/>
    <w:rsid w:val="00C078AE"/>
    <w:rsid w:val="00C107C3"/>
    <w:rsid w:val="00C114C8"/>
    <w:rsid w:val="00C1159D"/>
    <w:rsid w:val="00C1193C"/>
    <w:rsid w:val="00C11988"/>
    <w:rsid w:val="00C11D76"/>
    <w:rsid w:val="00C12087"/>
    <w:rsid w:val="00C1273B"/>
    <w:rsid w:val="00C12871"/>
    <w:rsid w:val="00C12A00"/>
    <w:rsid w:val="00C12E6F"/>
    <w:rsid w:val="00C13520"/>
    <w:rsid w:val="00C1364A"/>
    <w:rsid w:val="00C13A75"/>
    <w:rsid w:val="00C13BBC"/>
    <w:rsid w:val="00C14177"/>
    <w:rsid w:val="00C149AA"/>
    <w:rsid w:val="00C14CF7"/>
    <w:rsid w:val="00C14F9B"/>
    <w:rsid w:val="00C14FAB"/>
    <w:rsid w:val="00C15260"/>
    <w:rsid w:val="00C15412"/>
    <w:rsid w:val="00C15B33"/>
    <w:rsid w:val="00C15DB6"/>
    <w:rsid w:val="00C15F42"/>
    <w:rsid w:val="00C1610B"/>
    <w:rsid w:val="00C1611D"/>
    <w:rsid w:val="00C165F2"/>
    <w:rsid w:val="00C16945"/>
    <w:rsid w:val="00C16C9A"/>
    <w:rsid w:val="00C16E1A"/>
    <w:rsid w:val="00C17073"/>
    <w:rsid w:val="00C17479"/>
    <w:rsid w:val="00C175E4"/>
    <w:rsid w:val="00C1777D"/>
    <w:rsid w:val="00C17A85"/>
    <w:rsid w:val="00C17FFD"/>
    <w:rsid w:val="00C211AE"/>
    <w:rsid w:val="00C21201"/>
    <w:rsid w:val="00C21314"/>
    <w:rsid w:val="00C21991"/>
    <w:rsid w:val="00C21A07"/>
    <w:rsid w:val="00C21C40"/>
    <w:rsid w:val="00C2226C"/>
    <w:rsid w:val="00C22380"/>
    <w:rsid w:val="00C231FD"/>
    <w:rsid w:val="00C232DB"/>
    <w:rsid w:val="00C232E0"/>
    <w:rsid w:val="00C244DE"/>
    <w:rsid w:val="00C24546"/>
    <w:rsid w:val="00C2472F"/>
    <w:rsid w:val="00C247E3"/>
    <w:rsid w:val="00C24A2A"/>
    <w:rsid w:val="00C24B5E"/>
    <w:rsid w:val="00C252C7"/>
    <w:rsid w:val="00C2534F"/>
    <w:rsid w:val="00C25C24"/>
    <w:rsid w:val="00C25DD9"/>
    <w:rsid w:val="00C26A64"/>
    <w:rsid w:val="00C270CC"/>
    <w:rsid w:val="00C2716B"/>
    <w:rsid w:val="00C27B9B"/>
    <w:rsid w:val="00C27BA7"/>
    <w:rsid w:val="00C30058"/>
    <w:rsid w:val="00C30DFF"/>
    <w:rsid w:val="00C3122D"/>
    <w:rsid w:val="00C313FB"/>
    <w:rsid w:val="00C3176B"/>
    <w:rsid w:val="00C317A2"/>
    <w:rsid w:val="00C317EE"/>
    <w:rsid w:val="00C31BD3"/>
    <w:rsid w:val="00C31EBA"/>
    <w:rsid w:val="00C3272C"/>
    <w:rsid w:val="00C32DC5"/>
    <w:rsid w:val="00C331E1"/>
    <w:rsid w:val="00C33699"/>
    <w:rsid w:val="00C33D3B"/>
    <w:rsid w:val="00C33D56"/>
    <w:rsid w:val="00C33DA2"/>
    <w:rsid w:val="00C33E94"/>
    <w:rsid w:val="00C33F1E"/>
    <w:rsid w:val="00C340FC"/>
    <w:rsid w:val="00C341C5"/>
    <w:rsid w:val="00C343FC"/>
    <w:rsid w:val="00C3452B"/>
    <w:rsid w:val="00C35EAB"/>
    <w:rsid w:val="00C3600C"/>
    <w:rsid w:val="00C36477"/>
    <w:rsid w:val="00C3651F"/>
    <w:rsid w:val="00C36610"/>
    <w:rsid w:val="00C36633"/>
    <w:rsid w:val="00C36703"/>
    <w:rsid w:val="00C36A5F"/>
    <w:rsid w:val="00C36BDD"/>
    <w:rsid w:val="00C36E9D"/>
    <w:rsid w:val="00C3711E"/>
    <w:rsid w:val="00C37331"/>
    <w:rsid w:val="00C37999"/>
    <w:rsid w:val="00C37C86"/>
    <w:rsid w:val="00C40790"/>
    <w:rsid w:val="00C407B3"/>
    <w:rsid w:val="00C40C8B"/>
    <w:rsid w:val="00C40D26"/>
    <w:rsid w:val="00C40F56"/>
    <w:rsid w:val="00C40FB9"/>
    <w:rsid w:val="00C41035"/>
    <w:rsid w:val="00C41048"/>
    <w:rsid w:val="00C41067"/>
    <w:rsid w:val="00C411BE"/>
    <w:rsid w:val="00C412B1"/>
    <w:rsid w:val="00C414F5"/>
    <w:rsid w:val="00C415EC"/>
    <w:rsid w:val="00C41608"/>
    <w:rsid w:val="00C42144"/>
    <w:rsid w:val="00C4379E"/>
    <w:rsid w:val="00C43E47"/>
    <w:rsid w:val="00C43EC3"/>
    <w:rsid w:val="00C4436C"/>
    <w:rsid w:val="00C443F3"/>
    <w:rsid w:val="00C44847"/>
    <w:rsid w:val="00C450BC"/>
    <w:rsid w:val="00C45AD4"/>
    <w:rsid w:val="00C45C36"/>
    <w:rsid w:val="00C45DD9"/>
    <w:rsid w:val="00C46096"/>
    <w:rsid w:val="00C461B2"/>
    <w:rsid w:val="00C461FA"/>
    <w:rsid w:val="00C4644F"/>
    <w:rsid w:val="00C46891"/>
    <w:rsid w:val="00C46ECE"/>
    <w:rsid w:val="00C4714E"/>
    <w:rsid w:val="00C474E8"/>
    <w:rsid w:val="00C4772D"/>
    <w:rsid w:val="00C477FD"/>
    <w:rsid w:val="00C47958"/>
    <w:rsid w:val="00C47C8E"/>
    <w:rsid w:val="00C501FC"/>
    <w:rsid w:val="00C50398"/>
    <w:rsid w:val="00C51390"/>
    <w:rsid w:val="00C51536"/>
    <w:rsid w:val="00C51580"/>
    <w:rsid w:val="00C522E0"/>
    <w:rsid w:val="00C52337"/>
    <w:rsid w:val="00C523CD"/>
    <w:rsid w:val="00C52430"/>
    <w:rsid w:val="00C52EE3"/>
    <w:rsid w:val="00C52FD1"/>
    <w:rsid w:val="00C531A1"/>
    <w:rsid w:val="00C5359B"/>
    <w:rsid w:val="00C536A0"/>
    <w:rsid w:val="00C536C9"/>
    <w:rsid w:val="00C539AF"/>
    <w:rsid w:val="00C53AF7"/>
    <w:rsid w:val="00C543D5"/>
    <w:rsid w:val="00C5456C"/>
    <w:rsid w:val="00C5467A"/>
    <w:rsid w:val="00C549C9"/>
    <w:rsid w:val="00C551A6"/>
    <w:rsid w:val="00C554B5"/>
    <w:rsid w:val="00C556F7"/>
    <w:rsid w:val="00C559FA"/>
    <w:rsid w:val="00C55AA1"/>
    <w:rsid w:val="00C55D9D"/>
    <w:rsid w:val="00C56B23"/>
    <w:rsid w:val="00C56EF2"/>
    <w:rsid w:val="00C570A6"/>
    <w:rsid w:val="00C579F3"/>
    <w:rsid w:val="00C600B3"/>
    <w:rsid w:val="00C60DE1"/>
    <w:rsid w:val="00C61464"/>
    <w:rsid w:val="00C61F4A"/>
    <w:rsid w:val="00C62AC9"/>
    <w:rsid w:val="00C63010"/>
    <w:rsid w:val="00C6329B"/>
    <w:rsid w:val="00C63C94"/>
    <w:rsid w:val="00C63DDA"/>
    <w:rsid w:val="00C64316"/>
    <w:rsid w:val="00C649DC"/>
    <w:rsid w:val="00C64C0B"/>
    <w:rsid w:val="00C64D0A"/>
    <w:rsid w:val="00C6507E"/>
    <w:rsid w:val="00C6526E"/>
    <w:rsid w:val="00C65C7B"/>
    <w:rsid w:val="00C65EC0"/>
    <w:rsid w:val="00C66473"/>
    <w:rsid w:val="00C66C9A"/>
    <w:rsid w:val="00C66FFA"/>
    <w:rsid w:val="00C67018"/>
    <w:rsid w:val="00C67534"/>
    <w:rsid w:val="00C675A0"/>
    <w:rsid w:val="00C67E8E"/>
    <w:rsid w:val="00C702D9"/>
    <w:rsid w:val="00C702FC"/>
    <w:rsid w:val="00C70612"/>
    <w:rsid w:val="00C708C1"/>
    <w:rsid w:val="00C70C31"/>
    <w:rsid w:val="00C71326"/>
    <w:rsid w:val="00C71745"/>
    <w:rsid w:val="00C719AD"/>
    <w:rsid w:val="00C72177"/>
    <w:rsid w:val="00C7244A"/>
    <w:rsid w:val="00C7336D"/>
    <w:rsid w:val="00C7385B"/>
    <w:rsid w:val="00C73B6D"/>
    <w:rsid w:val="00C73B9F"/>
    <w:rsid w:val="00C74167"/>
    <w:rsid w:val="00C742CE"/>
    <w:rsid w:val="00C74B8C"/>
    <w:rsid w:val="00C74C6C"/>
    <w:rsid w:val="00C74E1C"/>
    <w:rsid w:val="00C750FB"/>
    <w:rsid w:val="00C7552D"/>
    <w:rsid w:val="00C75609"/>
    <w:rsid w:val="00C75B0A"/>
    <w:rsid w:val="00C76120"/>
    <w:rsid w:val="00C762EB"/>
    <w:rsid w:val="00C765A6"/>
    <w:rsid w:val="00C765B5"/>
    <w:rsid w:val="00C76A1F"/>
    <w:rsid w:val="00C76E4D"/>
    <w:rsid w:val="00C774C4"/>
    <w:rsid w:val="00C774FB"/>
    <w:rsid w:val="00C77BC7"/>
    <w:rsid w:val="00C77DA5"/>
    <w:rsid w:val="00C80080"/>
    <w:rsid w:val="00C802D8"/>
    <w:rsid w:val="00C80372"/>
    <w:rsid w:val="00C80734"/>
    <w:rsid w:val="00C80902"/>
    <w:rsid w:val="00C80F11"/>
    <w:rsid w:val="00C81B5A"/>
    <w:rsid w:val="00C81C70"/>
    <w:rsid w:val="00C820F4"/>
    <w:rsid w:val="00C8268F"/>
    <w:rsid w:val="00C828B2"/>
    <w:rsid w:val="00C82B01"/>
    <w:rsid w:val="00C82FB9"/>
    <w:rsid w:val="00C834E1"/>
    <w:rsid w:val="00C83535"/>
    <w:rsid w:val="00C83A55"/>
    <w:rsid w:val="00C83D84"/>
    <w:rsid w:val="00C83DE4"/>
    <w:rsid w:val="00C83F2C"/>
    <w:rsid w:val="00C83FC3"/>
    <w:rsid w:val="00C83FD2"/>
    <w:rsid w:val="00C84BCF"/>
    <w:rsid w:val="00C84E4D"/>
    <w:rsid w:val="00C8523D"/>
    <w:rsid w:val="00C85B27"/>
    <w:rsid w:val="00C85CB5"/>
    <w:rsid w:val="00C868BD"/>
    <w:rsid w:val="00C86BBE"/>
    <w:rsid w:val="00C86C3C"/>
    <w:rsid w:val="00C86E75"/>
    <w:rsid w:val="00C86EC4"/>
    <w:rsid w:val="00C86F73"/>
    <w:rsid w:val="00C86FF8"/>
    <w:rsid w:val="00C87436"/>
    <w:rsid w:val="00C87466"/>
    <w:rsid w:val="00C87D65"/>
    <w:rsid w:val="00C87F13"/>
    <w:rsid w:val="00C90245"/>
    <w:rsid w:val="00C9036F"/>
    <w:rsid w:val="00C90545"/>
    <w:rsid w:val="00C911B8"/>
    <w:rsid w:val="00C9163F"/>
    <w:rsid w:val="00C91651"/>
    <w:rsid w:val="00C917A4"/>
    <w:rsid w:val="00C920B6"/>
    <w:rsid w:val="00C9217B"/>
    <w:rsid w:val="00C922A2"/>
    <w:rsid w:val="00C9275F"/>
    <w:rsid w:val="00C93184"/>
    <w:rsid w:val="00C932EA"/>
    <w:rsid w:val="00C93C14"/>
    <w:rsid w:val="00C93F7F"/>
    <w:rsid w:val="00C93FDC"/>
    <w:rsid w:val="00C94043"/>
    <w:rsid w:val="00C94AAE"/>
    <w:rsid w:val="00C95398"/>
    <w:rsid w:val="00C9563C"/>
    <w:rsid w:val="00C95D79"/>
    <w:rsid w:val="00C95E7E"/>
    <w:rsid w:val="00C96DD1"/>
    <w:rsid w:val="00C96E43"/>
    <w:rsid w:val="00C97158"/>
    <w:rsid w:val="00C9738D"/>
    <w:rsid w:val="00C97663"/>
    <w:rsid w:val="00C97971"/>
    <w:rsid w:val="00C97CEE"/>
    <w:rsid w:val="00CA04FC"/>
    <w:rsid w:val="00CA06B6"/>
    <w:rsid w:val="00CA0754"/>
    <w:rsid w:val="00CA0860"/>
    <w:rsid w:val="00CA0EDC"/>
    <w:rsid w:val="00CA1866"/>
    <w:rsid w:val="00CA1F2C"/>
    <w:rsid w:val="00CA26CF"/>
    <w:rsid w:val="00CA26EA"/>
    <w:rsid w:val="00CA2FB2"/>
    <w:rsid w:val="00CA3D3A"/>
    <w:rsid w:val="00CA42D6"/>
    <w:rsid w:val="00CA528A"/>
    <w:rsid w:val="00CA59E1"/>
    <w:rsid w:val="00CA5D71"/>
    <w:rsid w:val="00CA65E0"/>
    <w:rsid w:val="00CA663F"/>
    <w:rsid w:val="00CA6759"/>
    <w:rsid w:val="00CA6A87"/>
    <w:rsid w:val="00CA6CAC"/>
    <w:rsid w:val="00CA7837"/>
    <w:rsid w:val="00CA78EE"/>
    <w:rsid w:val="00CA7AAB"/>
    <w:rsid w:val="00CB02B8"/>
    <w:rsid w:val="00CB0871"/>
    <w:rsid w:val="00CB0AC2"/>
    <w:rsid w:val="00CB0D06"/>
    <w:rsid w:val="00CB0F72"/>
    <w:rsid w:val="00CB11E5"/>
    <w:rsid w:val="00CB1525"/>
    <w:rsid w:val="00CB15E9"/>
    <w:rsid w:val="00CB161E"/>
    <w:rsid w:val="00CB1654"/>
    <w:rsid w:val="00CB16EB"/>
    <w:rsid w:val="00CB188F"/>
    <w:rsid w:val="00CB1E84"/>
    <w:rsid w:val="00CB2126"/>
    <w:rsid w:val="00CB2163"/>
    <w:rsid w:val="00CB217F"/>
    <w:rsid w:val="00CB266C"/>
    <w:rsid w:val="00CB2BD5"/>
    <w:rsid w:val="00CB330B"/>
    <w:rsid w:val="00CB3AE1"/>
    <w:rsid w:val="00CB3AFF"/>
    <w:rsid w:val="00CB41C6"/>
    <w:rsid w:val="00CB4A6B"/>
    <w:rsid w:val="00CB5147"/>
    <w:rsid w:val="00CB5B8F"/>
    <w:rsid w:val="00CB5C55"/>
    <w:rsid w:val="00CB6243"/>
    <w:rsid w:val="00CB6294"/>
    <w:rsid w:val="00CB674F"/>
    <w:rsid w:val="00CB67C5"/>
    <w:rsid w:val="00CB6DCC"/>
    <w:rsid w:val="00CB7636"/>
    <w:rsid w:val="00CC0679"/>
    <w:rsid w:val="00CC0808"/>
    <w:rsid w:val="00CC08E5"/>
    <w:rsid w:val="00CC0AE6"/>
    <w:rsid w:val="00CC127B"/>
    <w:rsid w:val="00CC1764"/>
    <w:rsid w:val="00CC1875"/>
    <w:rsid w:val="00CC1B9B"/>
    <w:rsid w:val="00CC1D1A"/>
    <w:rsid w:val="00CC1D51"/>
    <w:rsid w:val="00CC1FEF"/>
    <w:rsid w:val="00CC2156"/>
    <w:rsid w:val="00CC226B"/>
    <w:rsid w:val="00CC2C2A"/>
    <w:rsid w:val="00CC2DBA"/>
    <w:rsid w:val="00CC316D"/>
    <w:rsid w:val="00CC37CA"/>
    <w:rsid w:val="00CC39B5"/>
    <w:rsid w:val="00CC3E38"/>
    <w:rsid w:val="00CC3E84"/>
    <w:rsid w:val="00CC49D8"/>
    <w:rsid w:val="00CC5956"/>
    <w:rsid w:val="00CC60F7"/>
    <w:rsid w:val="00CC6260"/>
    <w:rsid w:val="00CC6D0D"/>
    <w:rsid w:val="00CC71D6"/>
    <w:rsid w:val="00CC7413"/>
    <w:rsid w:val="00CC75C0"/>
    <w:rsid w:val="00CC7739"/>
    <w:rsid w:val="00CC777C"/>
    <w:rsid w:val="00CC77B1"/>
    <w:rsid w:val="00CC7CDD"/>
    <w:rsid w:val="00CC7DB6"/>
    <w:rsid w:val="00CD06DD"/>
    <w:rsid w:val="00CD093F"/>
    <w:rsid w:val="00CD10DD"/>
    <w:rsid w:val="00CD1404"/>
    <w:rsid w:val="00CD18B8"/>
    <w:rsid w:val="00CD2652"/>
    <w:rsid w:val="00CD31A8"/>
    <w:rsid w:val="00CD32C3"/>
    <w:rsid w:val="00CD35B3"/>
    <w:rsid w:val="00CD40A6"/>
    <w:rsid w:val="00CD42DD"/>
    <w:rsid w:val="00CD4314"/>
    <w:rsid w:val="00CD51DA"/>
    <w:rsid w:val="00CD577B"/>
    <w:rsid w:val="00CD57B1"/>
    <w:rsid w:val="00CD5A83"/>
    <w:rsid w:val="00CD5BBD"/>
    <w:rsid w:val="00CD5D0F"/>
    <w:rsid w:val="00CD6F6B"/>
    <w:rsid w:val="00CD7664"/>
    <w:rsid w:val="00CD7A20"/>
    <w:rsid w:val="00CE006B"/>
    <w:rsid w:val="00CE0E5A"/>
    <w:rsid w:val="00CE1461"/>
    <w:rsid w:val="00CE207B"/>
    <w:rsid w:val="00CE284E"/>
    <w:rsid w:val="00CE28E3"/>
    <w:rsid w:val="00CE2E84"/>
    <w:rsid w:val="00CE3084"/>
    <w:rsid w:val="00CE35DA"/>
    <w:rsid w:val="00CE3B61"/>
    <w:rsid w:val="00CE4A1E"/>
    <w:rsid w:val="00CE4AD0"/>
    <w:rsid w:val="00CE5076"/>
    <w:rsid w:val="00CE5C13"/>
    <w:rsid w:val="00CE5C27"/>
    <w:rsid w:val="00CE5E80"/>
    <w:rsid w:val="00CE6174"/>
    <w:rsid w:val="00CE6973"/>
    <w:rsid w:val="00CE6B75"/>
    <w:rsid w:val="00CE6BD7"/>
    <w:rsid w:val="00CE719F"/>
    <w:rsid w:val="00CE7942"/>
    <w:rsid w:val="00CE7A0C"/>
    <w:rsid w:val="00CF0528"/>
    <w:rsid w:val="00CF0ADF"/>
    <w:rsid w:val="00CF1222"/>
    <w:rsid w:val="00CF1922"/>
    <w:rsid w:val="00CF1A2D"/>
    <w:rsid w:val="00CF2913"/>
    <w:rsid w:val="00CF309C"/>
    <w:rsid w:val="00CF42CC"/>
    <w:rsid w:val="00CF439F"/>
    <w:rsid w:val="00CF5213"/>
    <w:rsid w:val="00CF618D"/>
    <w:rsid w:val="00CF629D"/>
    <w:rsid w:val="00CF62B2"/>
    <w:rsid w:val="00CF6D68"/>
    <w:rsid w:val="00CF6E13"/>
    <w:rsid w:val="00CF6F2A"/>
    <w:rsid w:val="00CF70A4"/>
    <w:rsid w:val="00CF7120"/>
    <w:rsid w:val="00CF724C"/>
    <w:rsid w:val="00CF75A4"/>
    <w:rsid w:val="00CF7816"/>
    <w:rsid w:val="00CF7DBC"/>
    <w:rsid w:val="00D00079"/>
    <w:rsid w:val="00D0008F"/>
    <w:rsid w:val="00D001B4"/>
    <w:rsid w:val="00D003B7"/>
    <w:rsid w:val="00D00778"/>
    <w:rsid w:val="00D00E36"/>
    <w:rsid w:val="00D00E61"/>
    <w:rsid w:val="00D01949"/>
    <w:rsid w:val="00D0194B"/>
    <w:rsid w:val="00D01BAC"/>
    <w:rsid w:val="00D02393"/>
    <w:rsid w:val="00D02473"/>
    <w:rsid w:val="00D02F4F"/>
    <w:rsid w:val="00D03A79"/>
    <w:rsid w:val="00D0489A"/>
    <w:rsid w:val="00D04C5E"/>
    <w:rsid w:val="00D04C92"/>
    <w:rsid w:val="00D04CB3"/>
    <w:rsid w:val="00D05878"/>
    <w:rsid w:val="00D05A51"/>
    <w:rsid w:val="00D064DD"/>
    <w:rsid w:val="00D06774"/>
    <w:rsid w:val="00D068C7"/>
    <w:rsid w:val="00D06C15"/>
    <w:rsid w:val="00D07215"/>
    <w:rsid w:val="00D0768C"/>
    <w:rsid w:val="00D078FD"/>
    <w:rsid w:val="00D07F00"/>
    <w:rsid w:val="00D104DE"/>
    <w:rsid w:val="00D10CAF"/>
    <w:rsid w:val="00D1105B"/>
    <w:rsid w:val="00D1208B"/>
    <w:rsid w:val="00D120CF"/>
    <w:rsid w:val="00D1217D"/>
    <w:rsid w:val="00D127A6"/>
    <w:rsid w:val="00D12811"/>
    <w:rsid w:val="00D12A0F"/>
    <w:rsid w:val="00D12CCF"/>
    <w:rsid w:val="00D12F9B"/>
    <w:rsid w:val="00D13CCF"/>
    <w:rsid w:val="00D13D2D"/>
    <w:rsid w:val="00D13DA3"/>
    <w:rsid w:val="00D13F61"/>
    <w:rsid w:val="00D14E59"/>
    <w:rsid w:val="00D1539D"/>
    <w:rsid w:val="00D15876"/>
    <w:rsid w:val="00D15E40"/>
    <w:rsid w:val="00D1638F"/>
    <w:rsid w:val="00D1691B"/>
    <w:rsid w:val="00D1694B"/>
    <w:rsid w:val="00D17981"/>
    <w:rsid w:val="00D20031"/>
    <w:rsid w:val="00D200A1"/>
    <w:rsid w:val="00D20336"/>
    <w:rsid w:val="00D207EF"/>
    <w:rsid w:val="00D209A7"/>
    <w:rsid w:val="00D217C5"/>
    <w:rsid w:val="00D22437"/>
    <w:rsid w:val="00D224B3"/>
    <w:rsid w:val="00D22678"/>
    <w:rsid w:val="00D22D37"/>
    <w:rsid w:val="00D22EA0"/>
    <w:rsid w:val="00D22EE9"/>
    <w:rsid w:val="00D233BD"/>
    <w:rsid w:val="00D238F0"/>
    <w:rsid w:val="00D23C32"/>
    <w:rsid w:val="00D23C5D"/>
    <w:rsid w:val="00D23C86"/>
    <w:rsid w:val="00D23D8D"/>
    <w:rsid w:val="00D23DF2"/>
    <w:rsid w:val="00D23E25"/>
    <w:rsid w:val="00D2416B"/>
    <w:rsid w:val="00D249A0"/>
    <w:rsid w:val="00D25805"/>
    <w:rsid w:val="00D25F04"/>
    <w:rsid w:val="00D25F2C"/>
    <w:rsid w:val="00D2691F"/>
    <w:rsid w:val="00D26D01"/>
    <w:rsid w:val="00D26D17"/>
    <w:rsid w:val="00D2761F"/>
    <w:rsid w:val="00D27785"/>
    <w:rsid w:val="00D278EF"/>
    <w:rsid w:val="00D27BB7"/>
    <w:rsid w:val="00D27D88"/>
    <w:rsid w:val="00D27E5D"/>
    <w:rsid w:val="00D30035"/>
    <w:rsid w:val="00D30229"/>
    <w:rsid w:val="00D302A0"/>
    <w:rsid w:val="00D30D1D"/>
    <w:rsid w:val="00D30ED4"/>
    <w:rsid w:val="00D313B3"/>
    <w:rsid w:val="00D318AA"/>
    <w:rsid w:val="00D31E06"/>
    <w:rsid w:val="00D328B4"/>
    <w:rsid w:val="00D3292B"/>
    <w:rsid w:val="00D32EBA"/>
    <w:rsid w:val="00D33443"/>
    <w:rsid w:val="00D33794"/>
    <w:rsid w:val="00D33C8B"/>
    <w:rsid w:val="00D33DD2"/>
    <w:rsid w:val="00D33F02"/>
    <w:rsid w:val="00D342B7"/>
    <w:rsid w:val="00D34620"/>
    <w:rsid w:val="00D34AD6"/>
    <w:rsid w:val="00D355FF"/>
    <w:rsid w:val="00D3571D"/>
    <w:rsid w:val="00D358F7"/>
    <w:rsid w:val="00D36376"/>
    <w:rsid w:val="00D36E67"/>
    <w:rsid w:val="00D3710D"/>
    <w:rsid w:val="00D3722A"/>
    <w:rsid w:val="00D372C1"/>
    <w:rsid w:val="00D37709"/>
    <w:rsid w:val="00D377ED"/>
    <w:rsid w:val="00D37A71"/>
    <w:rsid w:val="00D37EF5"/>
    <w:rsid w:val="00D40381"/>
    <w:rsid w:val="00D419B6"/>
    <w:rsid w:val="00D419C9"/>
    <w:rsid w:val="00D41E22"/>
    <w:rsid w:val="00D4221E"/>
    <w:rsid w:val="00D4243B"/>
    <w:rsid w:val="00D426B6"/>
    <w:rsid w:val="00D428B9"/>
    <w:rsid w:val="00D42EFF"/>
    <w:rsid w:val="00D43246"/>
    <w:rsid w:val="00D439B0"/>
    <w:rsid w:val="00D441A7"/>
    <w:rsid w:val="00D447A3"/>
    <w:rsid w:val="00D454DB"/>
    <w:rsid w:val="00D45750"/>
    <w:rsid w:val="00D457EA"/>
    <w:rsid w:val="00D458EA"/>
    <w:rsid w:val="00D45C42"/>
    <w:rsid w:val="00D46118"/>
    <w:rsid w:val="00D4634D"/>
    <w:rsid w:val="00D46FE5"/>
    <w:rsid w:val="00D47547"/>
    <w:rsid w:val="00D477A5"/>
    <w:rsid w:val="00D47B1A"/>
    <w:rsid w:val="00D50252"/>
    <w:rsid w:val="00D51239"/>
    <w:rsid w:val="00D513A9"/>
    <w:rsid w:val="00D51620"/>
    <w:rsid w:val="00D5175D"/>
    <w:rsid w:val="00D51F6D"/>
    <w:rsid w:val="00D52269"/>
    <w:rsid w:val="00D52846"/>
    <w:rsid w:val="00D52E54"/>
    <w:rsid w:val="00D52F4D"/>
    <w:rsid w:val="00D52FF5"/>
    <w:rsid w:val="00D530EC"/>
    <w:rsid w:val="00D533C0"/>
    <w:rsid w:val="00D53F04"/>
    <w:rsid w:val="00D540D2"/>
    <w:rsid w:val="00D54316"/>
    <w:rsid w:val="00D544EB"/>
    <w:rsid w:val="00D54DDA"/>
    <w:rsid w:val="00D54F3A"/>
    <w:rsid w:val="00D54F61"/>
    <w:rsid w:val="00D54F8B"/>
    <w:rsid w:val="00D557E1"/>
    <w:rsid w:val="00D55AA3"/>
    <w:rsid w:val="00D560DA"/>
    <w:rsid w:val="00D56227"/>
    <w:rsid w:val="00D56660"/>
    <w:rsid w:val="00D56B13"/>
    <w:rsid w:val="00D56C99"/>
    <w:rsid w:val="00D56DFA"/>
    <w:rsid w:val="00D56EE3"/>
    <w:rsid w:val="00D573F9"/>
    <w:rsid w:val="00D57EFC"/>
    <w:rsid w:val="00D60B53"/>
    <w:rsid w:val="00D60C1B"/>
    <w:rsid w:val="00D60E22"/>
    <w:rsid w:val="00D61302"/>
    <w:rsid w:val="00D61D38"/>
    <w:rsid w:val="00D621F1"/>
    <w:rsid w:val="00D62709"/>
    <w:rsid w:val="00D627B4"/>
    <w:rsid w:val="00D62B0E"/>
    <w:rsid w:val="00D62B72"/>
    <w:rsid w:val="00D62C09"/>
    <w:rsid w:val="00D62D34"/>
    <w:rsid w:val="00D62F4D"/>
    <w:rsid w:val="00D63637"/>
    <w:rsid w:val="00D63644"/>
    <w:rsid w:val="00D638B2"/>
    <w:rsid w:val="00D639D1"/>
    <w:rsid w:val="00D63DC0"/>
    <w:rsid w:val="00D6442F"/>
    <w:rsid w:val="00D6468A"/>
    <w:rsid w:val="00D64906"/>
    <w:rsid w:val="00D652D9"/>
    <w:rsid w:val="00D65C86"/>
    <w:rsid w:val="00D66286"/>
    <w:rsid w:val="00D663AB"/>
    <w:rsid w:val="00D664DF"/>
    <w:rsid w:val="00D66D63"/>
    <w:rsid w:val="00D66E69"/>
    <w:rsid w:val="00D67FF5"/>
    <w:rsid w:val="00D700EC"/>
    <w:rsid w:val="00D709BB"/>
    <w:rsid w:val="00D70DDA"/>
    <w:rsid w:val="00D7202F"/>
    <w:rsid w:val="00D72F8E"/>
    <w:rsid w:val="00D7364A"/>
    <w:rsid w:val="00D7378B"/>
    <w:rsid w:val="00D7384C"/>
    <w:rsid w:val="00D73AD9"/>
    <w:rsid w:val="00D73F62"/>
    <w:rsid w:val="00D74E30"/>
    <w:rsid w:val="00D75629"/>
    <w:rsid w:val="00D75BBB"/>
    <w:rsid w:val="00D75DA5"/>
    <w:rsid w:val="00D76726"/>
    <w:rsid w:val="00D76BA2"/>
    <w:rsid w:val="00D76EBD"/>
    <w:rsid w:val="00D7774F"/>
    <w:rsid w:val="00D77825"/>
    <w:rsid w:val="00D77A91"/>
    <w:rsid w:val="00D77B20"/>
    <w:rsid w:val="00D80457"/>
    <w:rsid w:val="00D80C29"/>
    <w:rsid w:val="00D80EEA"/>
    <w:rsid w:val="00D80F20"/>
    <w:rsid w:val="00D81420"/>
    <w:rsid w:val="00D81562"/>
    <w:rsid w:val="00D81D68"/>
    <w:rsid w:val="00D82573"/>
    <w:rsid w:val="00D827A0"/>
    <w:rsid w:val="00D82AB9"/>
    <w:rsid w:val="00D82B46"/>
    <w:rsid w:val="00D82BD8"/>
    <w:rsid w:val="00D82DB1"/>
    <w:rsid w:val="00D82DF7"/>
    <w:rsid w:val="00D8316D"/>
    <w:rsid w:val="00D8368D"/>
    <w:rsid w:val="00D836A7"/>
    <w:rsid w:val="00D838D6"/>
    <w:rsid w:val="00D83948"/>
    <w:rsid w:val="00D83AC7"/>
    <w:rsid w:val="00D83B51"/>
    <w:rsid w:val="00D83DB4"/>
    <w:rsid w:val="00D846FD"/>
    <w:rsid w:val="00D84713"/>
    <w:rsid w:val="00D8471A"/>
    <w:rsid w:val="00D847A9"/>
    <w:rsid w:val="00D847E6"/>
    <w:rsid w:val="00D847EE"/>
    <w:rsid w:val="00D849BF"/>
    <w:rsid w:val="00D84ECA"/>
    <w:rsid w:val="00D8525E"/>
    <w:rsid w:val="00D852F8"/>
    <w:rsid w:val="00D86797"/>
    <w:rsid w:val="00D869F4"/>
    <w:rsid w:val="00D8755C"/>
    <w:rsid w:val="00D87B1D"/>
    <w:rsid w:val="00D9041B"/>
    <w:rsid w:val="00D907F2"/>
    <w:rsid w:val="00D90DBB"/>
    <w:rsid w:val="00D90F01"/>
    <w:rsid w:val="00D91140"/>
    <w:rsid w:val="00D91330"/>
    <w:rsid w:val="00D91399"/>
    <w:rsid w:val="00D9141D"/>
    <w:rsid w:val="00D91B8E"/>
    <w:rsid w:val="00D91BC9"/>
    <w:rsid w:val="00D92135"/>
    <w:rsid w:val="00D92289"/>
    <w:rsid w:val="00D922A7"/>
    <w:rsid w:val="00D933AE"/>
    <w:rsid w:val="00D946C9"/>
    <w:rsid w:val="00D94758"/>
    <w:rsid w:val="00D94CF3"/>
    <w:rsid w:val="00D94D37"/>
    <w:rsid w:val="00D9502F"/>
    <w:rsid w:val="00D9629C"/>
    <w:rsid w:val="00D96574"/>
    <w:rsid w:val="00D967A8"/>
    <w:rsid w:val="00D96B70"/>
    <w:rsid w:val="00D96E66"/>
    <w:rsid w:val="00D96F2C"/>
    <w:rsid w:val="00D970F7"/>
    <w:rsid w:val="00D973BE"/>
    <w:rsid w:val="00D97D8E"/>
    <w:rsid w:val="00DA012F"/>
    <w:rsid w:val="00DA058E"/>
    <w:rsid w:val="00DA06E0"/>
    <w:rsid w:val="00DA0D12"/>
    <w:rsid w:val="00DA1072"/>
    <w:rsid w:val="00DA113E"/>
    <w:rsid w:val="00DA17E6"/>
    <w:rsid w:val="00DA2230"/>
    <w:rsid w:val="00DA3649"/>
    <w:rsid w:val="00DA386E"/>
    <w:rsid w:val="00DA45FB"/>
    <w:rsid w:val="00DA4674"/>
    <w:rsid w:val="00DA4B3E"/>
    <w:rsid w:val="00DA512C"/>
    <w:rsid w:val="00DA5E13"/>
    <w:rsid w:val="00DA5ED8"/>
    <w:rsid w:val="00DA64AA"/>
    <w:rsid w:val="00DA6730"/>
    <w:rsid w:val="00DA6765"/>
    <w:rsid w:val="00DA69D1"/>
    <w:rsid w:val="00DA726E"/>
    <w:rsid w:val="00DA733D"/>
    <w:rsid w:val="00DA7CE4"/>
    <w:rsid w:val="00DA7D4B"/>
    <w:rsid w:val="00DB003C"/>
    <w:rsid w:val="00DB0277"/>
    <w:rsid w:val="00DB0B52"/>
    <w:rsid w:val="00DB0E7C"/>
    <w:rsid w:val="00DB184E"/>
    <w:rsid w:val="00DB19FB"/>
    <w:rsid w:val="00DB1E91"/>
    <w:rsid w:val="00DB2296"/>
    <w:rsid w:val="00DB26C1"/>
    <w:rsid w:val="00DB2C89"/>
    <w:rsid w:val="00DB2EC5"/>
    <w:rsid w:val="00DB342F"/>
    <w:rsid w:val="00DB3CC4"/>
    <w:rsid w:val="00DB42E1"/>
    <w:rsid w:val="00DB4410"/>
    <w:rsid w:val="00DB454A"/>
    <w:rsid w:val="00DB49BC"/>
    <w:rsid w:val="00DB5117"/>
    <w:rsid w:val="00DB5189"/>
    <w:rsid w:val="00DB538E"/>
    <w:rsid w:val="00DB583E"/>
    <w:rsid w:val="00DB58E7"/>
    <w:rsid w:val="00DB6031"/>
    <w:rsid w:val="00DB6096"/>
    <w:rsid w:val="00DB6262"/>
    <w:rsid w:val="00DB65DF"/>
    <w:rsid w:val="00DB664A"/>
    <w:rsid w:val="00DB69E4"/>
    <w:rsid w:val="00DB6C7C"/>
    <w:rsid w:val="00DB6E5F"/>
    <w:rsid w:val="00DB6EB1"/>
    <w:rsid w:val="00DB732C"/>
    <w:rsid w:val="00DB7379"/>
    <w:rsid w:val="00DB73F5"/>
    <w:rsid w:val="00DB7463"/>
    <w:rsid w:val="00DC0254"/>
    <w:rsid w:val="00DC14AF"/>
    <w:rsid w:val="00DC1720"/>
    <w:rsid w:val="00DC1BDC"/>
    <w:rsid w:val="00DC294E"/>
    <w:rsid w:val="00DC2A1C"/>
    <w:rsid w:val="00DC3633"/>
    <w:rsid w:val="00DC3AE2"/>
    <w:rsid w:val="00DC4108"/>
    <w:rsid w:val="00DC4567"/>
    <w:rsid w:val="00DC4C06"/>
    <w:rsid w:val="00DC4EC7"/>
    <w:rsid w:val="00DC4F64"/>
    <w:rsid w:val="00DC50C5"/>
    <w:rsid w:val="00DC52AE"/>
    <w:rsid w:val="00DC5F1E"/>
    <w:rsid w:val="00DC5F94"/>
    <w:rsid w:val="00DC5FFD"/>
    <w:rsid w:val="00DC64A7"/>
    <w:rsid w:val="00DC6624"/>
    <w:rsid w:val="00DC6C6C"/>
    <w:rsid w:val="00DC6EDF"/>
    <w:rsid w:val="00DC73B3"/>
    <w:rsid w:val="00DC7414"/>
    <w:rsid w:val="00DC7993"/>
    <w:rsid w:val="00DC7D84"/>
    <w:rsid w:val="00DC7EAC"/>
    <w:rsid w:val="00DD07AE"/>
    <w:rsid w:val="00DD0953"/>
    <w:rsid w:val="00DD0F27"/>
    <w:rsid w:val="00DD1774"/>
    <w:rsid w:val="00DD1A95"/>
    <w:rsid w:val="00DD1E6A"/>
    <w:rsid w:val="00DD1F15"/>
    <w:rsid w:val="00DD1F81"/>
    <w:rsid w:val="00DD2C81"/>
    <w:rsid w:val="00DD2D27"/>
    <w:rsid w:val="00DD3684"/>
    <w:rsid w:val="00DD459F"/>
    <w:rsid w:val="00DD5330"/>
    <w:rsid w:val="00DD58C0"/>
    <w:rsid w:val="00DD5A25"/>
    <w:rsid w:val="00DD5BBB"/>
    <w:rsid w:val="00DD5BC3"/>
    <w:rsid w:val="00DD5EA0"/>
    <w:rsid w:val="00DD60FC"/>
    <w:rsid w:val="00DD64D0"/>
    <w:rsid w:val="00DD6803"/>
    <w:rsid w:val="00DD776F"/>
    <w:rsid w:val="00DD79AB"/>
    <w:rsid w:val="00DE0075"/>
    <w:rsid w:val="00DE0783"/>
    <w:rsid w:val="00DE08E6"/>
    <w:rsid w:val="00DE0C89"/>
    <w:rsid w:val="00DE0D94"/>
    <w:rsid w:val="00DE123B"/>
    <w:rsid w:val="00DE1603"/>
    <w:rsid w:val="00DE1C92"/>
    <w:rsid w:val="00DE2496"/>
    <w:rsid w:val="00DE270F"/>
    <w:rsid w:val="00DE2897"/>
    <w:rsid w:val="00DE327F"/>
    <w:rsid w:val="00DE39B8"/>
    <w:rsid w:val="00DE4A11"/>
    <w:rsid w:val="00DE4DE5"/>
    <w:rsid w:val="00DE4F82"/>
    <w:rsid w:val="00DE56A5"/>
    <w:rsid w:val="00DE64A2"/>
    <w:rsid w:val="00DE65D1"/>
    <w:rsid w:val="00DE6618"/>
    <w:rsid w:val="00DE66FD"/>
    <w:rsid w:val="00DE7099"/>
    <w:rsid w:val="00DF0BA7"/>
    <w:rsid w:val="00DF0C85"/>
    <w:rsid w:val="00DF0CE2"/>
    <w:rsid w:val="00DF0FAA"/>
    <w:rsid w:val="00DF1B75"/>
    <w:rsid w:val="00DF243E"/>
    <w:rsid w:val="00DF2519"/>
    <w:rsid w:val="00DF26A2"/>
    <w:rsid w:val="00DF28CA"/>
    <w:rsid w:val="00DF2D7D"/>
    <w:rsid w:val="00DF341B"/>
    <w:rsid w:val="00DF3877"/>
    <w:rsid w:val="00DF39E9"/>
    <w:rsid w:val="00DF3B7A"/>
    <w:rsid w:val="00DF3EFE"/>
    <w:rsid w:val="00DF42D7"/>
    <w:rsid w:val="00DF431B"/>
    <w:rsid w:val="00DF470A"/>
    <w:rsid w:val="00DF5249"/>
    <w:rsid w:val="00DF546B"/>
    <w:rsid w:val="00DF5648"/>
    <w:rsid w:val="00DF603D"/>
    <w:rsid w:val="00DF65D0"/>
    <w:rsid w:val="00DF6804"/>
    <w:rsid w:val="00DF6FB1"/>
    <w:rsid w:val="00DF74D9"/>
    <w:rsid w:val="00DF74DC"/>
    <w:rsid w:val="00DF76E3"/>
    <w:rsid w:val="00E005DC"/>
    <w:rsid w:val="00E00F9A"/>
    <w:rsid w:val="00E01265"/>
    <w:rsid w:val="00E017FE"/>
    <w:rsid w:val="00E0221E"/>
    <w:rsid w:val="00E02261"/>
    <w:rsid w:val="00E022C5"/>
    <w:rsid w:val="00E022DF"/>
    <w:rsid w:val="00E027B7"/>
    <w:rsid w:val="00E030CC"/>
    <w:rsid w:val="00E03241"/>
    <w:rsid w:val="00E034A7"/>
    <w:rsid w:val="00E0360B"/>
    <w:rsid w:val="00E037D1"/>
    <w:rsid w:val="00E03A96"/>
    <w:rsid w:val="00E03CD7"/>
    <w:rsid w:val="00E05664"/>
    <w:rsid w:val="00E05B4B"/>
    <w:rsid w:val="00E05BBE"/>
    <w:rsid w:val="00E05D56"/>
    <w:rsid w:val="00E06D30"/>
    <w:rsid w:val="00E06E16"/>
    <w:rsid w:val="00E06E39"/>
    <w:rsid w:val="00E0738D"/>
    <w:rsid w:val="00E077A9"/>
    <w:rsid w:val="00E079B8"/>
    <w:rsid w:val="00E103F8"/>
    <w:rsid w:val="00E105A9"/>
    <w:rsid w:val="00E1069B"/>
    <w:rsid w:val="00E10825"/>
    <w:rsid w:val="00E10F23"/>
    <w:rsid w:val="00E113A7"/>
    <w:rsid w:val="00E11573"/>
    <w:rsid w:val="00E117A9"/>
    <w:rsid w:val="00E11A33"/>
    <w:rsid w:val="00E11A51"/>
    <w:rsid w:val="00E122E6"/>
    <w:rsid w:val="00E12859"/>
    <w:rsid w:val="00E13267"/>
    <w:rsid w:val="00E14804"/>
    <w:rsid w:val="00E14A90"/>
    <w:rsid w:val="00E15056"/>
    <w:rsid w:val="00E15749"/>
    <w:rsid w:val="00E157C9"/>
    <w:rsid w:val="00E15A87"/>
    <w:rsid w:val="00E15DB1"/>
    <w:rsid w:val="00E160F1"/>
    <w:rsid w:val="00E16505"/>
    <w:rsid w:val="00E166BE"/>
    <w:rsid w:val="00E1705D"/>
    <w:rsid w:val="00E17100"/>
    <w:rsid w:val="00E172F5"/>
    <w:rsid w:val="00E17552"/>
    <w:rsid w:val="00E17757"/>
    <w:rsid w:val="00E178A5"/>
    <w:rsid w:val="00E17B6E"/>
    <w:rsid w:val="00E200C3"/>
    <w:rsid w:val="00E20B67"/>
    <w:rsid w:val="00E210ED"/>
    <w:rsid w:val="00E21986"/>
    <w:rsid w:val="00E21B03"/>
    <w:rsid w:val="00E21FC0"/>
    <w:rsid w:val="00E2218C"/>
    <w:rsid w:val="00E22205"/>
    <w:rsid w:val="00E2231F"/>
    <w:rsid w:val="00E22445"/>
    <w:rsid w:val="00E22561"/>
    <w:rsid w:val="00E2283B"/>
    <w:rsid w:val="00E228B3"/>
    <w:rsid w:val="00E233E0"/>
    <w:rsid w:val="00E2434B"/>
    <w:rsid w:val="00E24594"/>
    <w:rsid w:val="00E24793"/>
    <w:rsid w:val="00E24839"/>
    <w:rsid w:val="00E24C90"/>
    <w:rsid w:val="00E24EF6"/>
    <w:rsid w:val="00E25120"/>
    <w:rsid w:val="00E2542A"/>
    <w:rsid w:val="00E255AB"/>
    <w:rsid w:val="00E2562F"/>
    <w:rsid w:val="00E25973"/>
    <w:rsid w:val="00E260A3"/>
    <w:rsid w:val="00E267D1"/>
    <w:rsid w:val="00E26C58"/>
    <w:rsid w:val="00E26D15"/>
    <w:rsid w:val="00E26E16"/>
    <w:rsid w:val="00E26F70"/>
    <w:rsid w:val="00E270C5"/>
    <w:rsid w:val="00E27CC3"/>
    <w:rsid w:val="00E27DDB"/>
    <w:rsid w:val="00E304A4"/>
    <w:rsid w:val="00E30987"/>
    <w:rsid w:val="00E311D3"/>
    <w:rsid w:val="00E3159A"/>
    <w:rsid w:val="00E3166A"/>
    <w:rsid w:val="00E31702"/>
    <w:rsid w:val="00E31B75"/>
    <w:rsid w:val="00E31EA4"/>
    <w:rsid w:val="00E3242E"/>
    <w:rsid w:val="00E328CF"/>
    <w:rsid w:val="00E32B26"/>
    <w:rsid w:val="00E32DE9"/>
    <w:rsid w:val="00E32F1F"/>
    <w:rsid w:val="00E330C9"/>
    <w:rsid w:val="00E332E4"/>
    <w:rsid w:val="00E3330E"/>
    <w:rsid w:val="00E3351F"/>
    <w:rsid w:val="00E33992"/>
    <w:rsid w:val="00E33D45"/>
    <w:rsid w:val="00E33E2A"/>
    <w:rsid w:val="00E33EAC"/>
    <w:rsid w:val="00E3465D"/>
    <w:rsid w:val="00E348E6"/>
    <w:rsid w:val="00E34F96"/>
    <w:rsid w:val="00E354CA"/>
    <w:rsid w:val="00E35897"/>
    <w:rsid w:val="00E35DAE"/>
    <w:rsid w:val="00E3601B"/>
    <w:rsid w:val="00E3676E"/>
    <w:rsid w:val="00E3699C"/>
    <w:rsid w:val="00E36CEE"/>
    <w:rsid w:val="00E37000"/>
    <w:rsid w:val="00E3751C"/>
    <w:rsid w:val="00E40122"/>
    <w:rsid w:val="00E4086B"/>
    <w:rsid w:val="00E40DAE"/>
    <w:rsid w:val="00E40F38"/>
    <w:rsid w:val="00E40F62"/>
    <w:rsid w:val="00E41714"/>
    <w:rsid w:val="00E41E2F"/>
    <w:rsid w:val="00E41E85"/>
    <w:rsid w:val="00E431E8"/>
    <w:rsid w:val="00E43249"/>
    <w:rsid w:val="00E4347D"/>
    <w:rsid w:val="00E43505"/>
    <w:rsid w:val="00E436A2"/>
    <w:rsid w:val="00E43FA9"/>
    <w:rsid w:val="00E449A7"/>
    <w:rsid w:val="00E449F0"/>
    <w:rsid w:val="00E44AC0"/>
    <w:rsid w:val="00E451E3"/>
    <w:rsid w:val="00E45625"/>
    <w:rsid w:val="00E45878"/>
    <w:rsid w:val="00E458D8"/>
    <w:rsid w:val="00E46A46"/>
    <w:rsid w:val="00E474C4"/>
    <w:rsid w:val="00E47D17"/>
    <w:rsid w:val="00E503DF"/>
    <w:rsid w:val="00E50D50"/>
    <w:rsid w:val="00E51300"/>
    <w:rsid w:val="00E518A7"/>
    <w:rsid w:val="00E51C03"/>
    <w:rsid w:val="00E529F5"/>
    <w:rsid w:val="00E53149"/>
    <w:rsid w:val="00E5343E"/>
    <w:rsid w:val="00E5348C"/>
    <w:rsid w:val="00E5356B"/>
    <w:rsid w:val="00E53733"/>
    <w:rsid w:val="00E5393B"/>
    <w:rsid w:val="00E53E00"/>
    <w:rsid w:val="00E53F25"/>
    <w:rsid w:val="00E541B1"/>
    <w:rsid w:val="00E54221"/>
    <w:rsid w:val="00E5447C"/>
    <w:rsid w:val="00E544A5"/>
    <w:rsid w:val="00E5508A"/>
    <w:rsid w:val="00E55708"/>
    <w:rsid w:val="00E55711"/>
    <w:rsid w:val="00E5650A"/>
    <w:rsid w:val="00E565C1"/>
    <w:rsid w:val="00E56661"/>
    <w:rsid w:val="00E567E3"/>
    <w:rsid w:val="00E56D6A"/>
    <w:rsid w:val="00E56EEB"/>
    <w:rsid w:val="00E56F50"/>
    <w:rsid w:val="00E574A3"/>
    <w:rsid w:val="00E574EC"/>
    <w:rsid w:val="00E57880"/>
    <w:rsid w:val="00E578DE"/>
    <w:rsid w:val="00E57F9C"/>
    <w:rsid w:val="00E602C4"/>
    <w:rsid w:val="00E60445"/>
    <w:rsid w:val="00E615F9"/>
    <w:rsid w:val="00E61604"/>
    <w:rsid w:val="00E61768"/>
    <w:rsid w:val="00E61857"/>
    <w:rsid w:val="00E6193C"/>
    <w:rsid w:val="00E619BF"/>
    <w:rsid w:val="00E62160"/>
    <w:rsid w:val="00E62238"/>
    <w:rsid w:val="00E62568"/>
    <w:rsid w:val="00E626D9"/>
    <w:rsid w:val="00E627A6"/>
    <w:rsid w:val="00E62BC2"/>
    <w:rsid w:val="00E62D6B"/>
    <w:rsid w:val="00E6344E"/>
    <w:rsid w:val="00E639BA"/>
    <w:rsid w:val="00E63B53"/>
    <w:rsid w:val="00E63DAA"/>
    <w:rsid w:val="00E64305"/>
    <w:rsid w:val="00E6477D"/>
    <w:rsid w:val="00E64A99"/>
    <w:rsid w:val="00E65200"/>
    <w:rsid w:val="00E660A6"/>
    <w:rsid w:val="00E66125"/>
    <w:rsid w:val="00E67C68"/>
    <w:rsid w:val="00E67F28"/>
    <w:rsid w:val="00E67F54"/>
    <w:rsid w:val="00E67FF8"/>
    <w:rsid w:val="00E70625"/>
    <w:rsid w:val="00E707F3"/>
    <w:rsid w:val="00E70916"/>
    <w:rsid w:val="00E70A1A"/>
    <w:rsid w:val="00E70D4A"/>
    <w:rsid w:val="00E71647"/>
    <w:rsid w:val="00E71668"/>
    <w:rsid w:val="00E7200A"/>
    <w:rsid w:val="00E7214A"/>
    <w:rsid w:val="00E7221D"/>
    <w:rsid w:val="00E726A2"/>
    <w:rsid w:val="00E7327D"/>
    <w:rsid w:val="00E73369"/>
    <w:rsid w:val="00E7440E"/>
    <w:rsid w:val="00E74590"/>
    <w:rsid w:val="00E74EB1"/>
    <w:rsid w:val="00E74F5F"/>
    <w:rsid w:val="00E75298"/>
    <w:rsid w:val="00E7537B"/>
    <w:rsid w:val="00E75542"/>
    <w:rsid w:val="00E75653"/>
    <w:rsid w:val="00E757AD"/>
    <w:rsid w:val="00E75CF6"/>
    <w:rsid w:val="00E760AC"/>
    <w:rsid w:val="00E7615F"/>
    <w:rsid w:val="00E7621D"/>
    <w:rsid w:val="00E76437"/>
    <w:rsid w:val="00E76AE0"/>
    <w:rsid w:val="00E76BB9"/>
    <w:rsid w:val="00E771C8"/>
    <w:rsid w:val="00E773B4"/>
    <w:rsid w:val="00E77851"/>
    <w:rsid w:val="00E77A9A"/>
    <w:rsid w:val="00E80EEB"/>
    <w:rsid w:val="00E81457"/>
    <w:rsid w:val="00E816AF"/>
    <w:rsid w:val="00E8186B"/>
    <w:rsid w:val="00E8198A"/>
    <w:rsid w:val="00E81A87"/>
    <w:rsid w:val="00E822E6"/>
    <w:rsid w:val="00E82645"/>
    <w:rsid w:val="00E829BB"/>
    <w:rsid w:val="00E82BA1"/>
    <w:rsid w:val="00E83948"/>
    <w:rsid w:val="00E83A53"/>
    <w:rsid w:val="00E83CF9"/>
    <w:rsid w:val="00E84518"/>
    <w:rsid w:val="00E8457E"/>
    <w:rsid w:val="00E85050"/>
    <w:rsid w:val="00E85660"/>
    <w:rsid w:val="00E856AD"/>
    <w:rsid w:val="00E85786"/>
    <w:rsid w:val="00E85A79"/>
    <w:rsid w:val="00E85CA0"/>
    <w:rsid w:val="00E85EDB"/>
    <w:rsid w:val="00E863D9"/>
    <w:rsid w:val="00E86632"/>
    <w:rsid w:val="00E87205"/>
    <w:rsid w:val="00E87844"/>
    <w:rsid w:val="00E87E2B"/>
    <w:rsid w:val="00E87EF4"/>
    <w:rsid w:val="00E903CB"/>
    <w:rsid w:val="00E9062B"/>
    <w:rsid w:val="00E912A0"/>
    <w:rsid w:val="00E91423"/>
    <w:rsid w:val="00E92075"/>
    <w:rsid w:val="00E922D5"/>
    <w:rsid w:val="00E922D8"/>
    <w:rsid w:val="00E924BC"/>
    <w:rsid w:val="00E92760"/>
    <w:rsid w:val="00E92974"/>
    <w:rsid w:val="00E92F98"/>
    <w:rsid w:val="00E92FCF"/>
    <w:rsid w:val="00E93195"/>
    <w:rsid w:val="00E9331D"/>
    <w:rsid w:val="00E933A5"/>
    <w:rsid w:val="00E939E2"/>
    <w:rsid w:val="00E93BDD"/>
    <w:rsid w:val="00E93F5C"/>
    <w:rsid w:val="00E94339"/>
    <w:rsid w:val="00E95322"/>
    <w:rsid w:val="00E95490"/>
    <w:rsid w:val="00E956B2"/>
    <w:rsid w:val="00E9601E"/>
    <w:rsid w:val="00E964D3"/>
    <w:rsid w:val="00E968C1"/>
    <w:rsid w:val="00E971F6"/>
    <w:rsid w:val="00E9720C"/>
    <w:rsid w:val="00E97D95"/>
    <w:rsid w:val="00EA07B7"/>
    <w:rsid w:val="00EA0B4D"/>
    <w:rsid w:val="00EA0E54"/>
    <w:rsid w:val="00EA12F5"/>
    <w:rsid w:val="00EA16EB"/>
    <w:rsid w:val="00EA1769"/>
    <w:rsid w:val="00EA1A07"/>
    <w:rsid w:val="00EA206F"/>
    <w:rsid w:val="00EA29E8"/>
    <w:rsid w:val="00EA3529"/>
    <w:rsid w:val="00EA3671"/>
    <w:rsid w:val="00EA3A49"/>
    <w:rsid w:val="00EA3C6D"/>
    <w:rsid w:val="00EA4529"/>
    <w:rsid w:val="00EA4670"/>
    <w:rsid w:val="00EA4FDB"/>
    <w:rsid w:val="00EA5409"/>
    <w:rsid w:val="00EA5B99"/>
    <w:rsid w:val="00EA5CF5"/>
    <w:rsid w:val="00EA603B"/>
    <w:rsid w:val="00EA6C50"/>
    <w:rsid w:val="00EA6F42"/>
    <w:rsid w:val="00EA7BE3"/>
    <w:rsid w:val="00EB0746"/>
    <w:rsid w:val="00EB0B43"/>
    <w:rsid w:val="00EB0DEA"/>
    <w:rsid w:val="00EB10CE"/>
    <w:rsid w:val="00EB1312"/>
    <w:rsid w:val="00EB14CD"/>
    <w:rsid w:val="00EB1845"/>
    <w:rsid w:val="00EB186A"/>
    <w:rsid w:val="00EB1F63"/>
    <w:rsid w:val="00EB27BC"/>
    <w:rsid w:val="00EB2DDD"/>
    <w:rsid w:val="00EB3793"/>
    <w:rsid w:val="00EB3A19"/>
    <w:rsid w:val="00EB3AB0"/>
    <w:rsid w:val="00EB3E82"/>
    <w:rsid w:val="00EB417B"/>
    <w:rsid w:val="00EB4770"/>
    <w:rsid w:val="00EB4AFA"/>
    <w:rsid w:val="00EB54FD"/>
    <w:rsid w:val="00EB5C50"/>
    <w:rsid w:val="00EB5D5A"/>
    <w:rsid w:val="00EB5D5D"/>
    <w:rsid w:val="00EB6615"/>
    <w:rsid w:val="00EB6A32"/>
    <w:rsid w:val="00EB7739"/>
    <w:rsid w:val="00EB7F61"/>
    <w:rsid w:val="00EC02B8"/>
    <w:rsid w:val="00EC06E7"/>
    <w:rsid w:val="00EC1760"/>
    <w:rsid w:val="00EC1ADA"/>
    <w:rsid w:val="00EC1D48"/>
    <w:rsid w:val="00EC1D66"/>
    <w:rsid w:val="00EC1D8B"/>
    <w:rsid w:val="00EC2337"/>
    <w:rsid w:val="00EC255D"/>
    <w:rsid w:val="00EC2CF1"/>
    <w:rsid w:val="00EC2DDF"/>
    <w:rsid w:val="00EC33A0"/>
    <w:rsid w:val="00EC3A55"/>
    <w:rsid w:val="00EC4265"/>
    <w:rsid w:val="00EC432D"/>
    <w:rsid w:val="00EC433E"/>
    <w:rsid w:val="00EC4836"/>
    <w:rsid w:val="00EC4A79"/>
    <w:rsid w:val="00EC4D11"/>
    <w:rsid w:val="00EC5088"/>
    <w:rsid w:val="00EC52BD"/>
    <w:rsid w:val="00EC53A8"/>
    <w:rsid w:val="00EC5DE5"/>
    <w:rsid w:val="00EC5E51"/>
    <w:rsid w:val="00EC685D"/>
    <w:rsid w:val="00EC762C"/>
    <w:rsid w:val="00EC77F6"/>
    <w:rsid w:val="00EC7899"/>
    <w:rsid w:val="00EC7DA8"/>
    <w:rsid w:val="00EC7ED5"/>
    <w:rsid w:val="00ED07B5"/>
    <w:rsid w:val="00ED10E2"/>
    <w:rsid w:val="00ED163B"/>
    <w:rsid w:val="00ED284B"/>
    <w:rsid w:val="00ED290B"/>
    <w:rsid w:val="00ED2B51"/>
    <w:rsid w:val="00ED455B"/>
    <w:rsid w:val="00ED4F8F"/>
    <w:rsid w:val="00ED510A"/>
    <w:rsid w:val="00ED5268"/>
    <w:rsid w:val="00ED58D0"/>
    <w:rsid w:val="00ED5A45"/>
    <w:rsid w:val="00ED5B87"/>
    <w:rsid w:val="00ED5D30"/>
    <w:rsid w:val="00ED5E38"/>
    <w:rsid w:val="00ED60A0"/>
    <w:rsid w:val="00ED611F"/>
    <w:rsid w:val="00ED6189"/>
    <w:rsid w:val="00ED6793"/>
    <w:rsid w:val="00ED6A85"/>
    <w:rsid w:val="00ED7592"/>
    <w:rsid w:val="00EE004D"/>
    <w:rsid w:val="00EE060F"/>
    <w:rsid w:val="00EE0616"/>
    <w:rsid w:val="00EE07FF"/>
    <w:rsid w:val="00EE0DEB"/>
    <w:rsid w:val="00EE1979"/>
    <w:rsid w:val="00EE1D66"/>
    <w:rsid w:val="00EE1FE2"/>
    <w:rsid w:val="00EE201F"/>
    <w:rsid w:val="00EE23DD"/>
    <w:rsid w:val="00EE2AD3"/>
    <w:rsid w:val="00EE320A"/>
    <w:rsid w:val="00EE3CA8"/>
    <w:rsid w:val="00EE4490"/>
    <w:rsid w:val="00EE484B"/>
    <w:rsid w:val="00EE4873"/>
    <w:rsid w:val="00EE4EEF"/>
    <w:rsid w:val="00EE511B"/>
    <w:rsid w:val="00EE531F"/>
    <w:rsid w:val="00EE5FAD"/>
    <w:rsid w:val="00EE65DE"/>
    <w:rsid w:val="00EE67D5"/>
    <w:rsid w:val="00EE6832"/>
    <w:rsid w:val="00EE69AF"/>
    <w:rsid w:val="00EE6E94"/>
    <w:rsid w:val="00EE74A9"/>
    <w:rsid w:val="00EE753B"/>
    <w:rsid w:val="00EE7FD3"/>
    <w:rsid w:val="00EF03E7"/>
    <w:rsid w:val="00EF1026"/>
    <w:rsid w:val="00EF10DE"/>
    <w:rsid w:val="00EF1419"/>
    <w:rsid w:val="00EF15E7"/>
    <w:rsid w:val="00EF1755"/>
    <w:rsid w:val="00EF1A8F"/>
    <w:rsid w:val="00EF24C1"/>
    <w:rsid w:val="00EF2503"/>
    <w:rsid w:val="00EF28A6"/>
    <w:rsid w:val="00EF2A06"/>
    <w:rsid w:val="00EF3D58"/>
    <w:rsid w:val="00EF3FDB"/>
    <w:rsid w:val="00EF4C8E"/>
    <w:rsid w:val="00EF4E90"/>
    <w:rsid w:val="00EF54C6"/>
    <w:rsid w:val="00EF5857"/>
    <w:rsid w:val="00EF665A"/>
    <w:rsid w:val="00EF6CD1"/>
    <w:rsid w:val="00EF7063"/>
    <w:rsid w:val="00EF7084"/>
    <w:rsid w:val="00EF7A5F"/>
    <w:rsid w:val="00F00562"/>
    <w:rsid w:val="00F0077A"/>
    <w:rsid w:val="00F00C02"/>
    <w:rsid w:val="00F00C4E"/>
    <w:rsid w:val="00F01D66"/>
    <w:rsid w:val="00F02210"/>
    <w:rsid w:val="00F02A48"/>
    <w:rsid w:val="00F02ABA"/>
    <w:rsid w:val="00F02D15"/>
    <w:rsid w:val="00F03024"/>
    <w:rsid w:val="00F03413"/>
    <w:rsid w:val="00F03B39"/>
    <w:rsid w:val="00F03C0D"/>
    <w:rsid w:val="00F04052"/>
    <w:rsid w:val="00F04289"/>
    <w:rsid w:val="00F0469A"/>
    <w:rsid w:val="00F046BF"/>
    <w:rsid w:val="00F048C2"/>
    <w:rsid w:val="00F04910"/>
    <w:rsid w:val="00F04FED"/>
    <w:rsid w:val="00F0527C"/>
    <w:rsid w:val="00F0549A"/>
    <w:rsid w:val="00F05CAE"/>
    <w:rsid w:val="00F06673"/>
    <w:rsid w:val="00F06961"/>
    <w:rsid w:val="00F06B75"/>
    <w:rsid w:val="00F07B1F"/>
    <w:rsid w:val="00F10221"/>
    <w:rsid w:val="00F10383"/>
    <w:rsid w:val="00F1066F"/>
    <w:rsid w:val="00F109F8"/>
    <w:rsid w:val="00F10F13"/>
    <w:rsid w:val="00F1111E"/>
    <w:rsid w:val="00F1140E"/>
    <w:rsid w:val="00F11484"/>
    <w:rsid w:val="00F117F6"/>
    <w:rsid w:val="00F11AAC"/>
    <w:rsid w:val="00F11CFC"/>
    <w:rsid w:val="00F11D38"/>
    <w:rsid w:val="00F11D9E"/>
    <w:rsid w:val="00F1261F"/>
    <w:rsid w:val="00F12C4C"/>
    <w:rsid w:val="00F1309B"/>
    <w:rsid w:val="00F140A5"/>
    <w:rsid w:val="00F1415F"/>
    <w:rsid w:val="00F14201"/>
    <w:rsid w:val="00F1480F"/>
    <w:rsid w:val="00F14828"/>
    <w:rsid w:val="00F148AA"/>
    <w:rsid w:val="00F1495E"/>
    <w:rsid w:val="00F14AF2"/>
    <w:rsid w:val="00F14C4C"/>
    <w:rsid w:val="00F14FE0"/>
    <w:rsid w:val="00F1508C"/>
    <w:rsid w:val="00F15197"/>
    <w:rsid w:val="00F152DB"/>
    <w:rsid w:val="00F15759"/>
    <w:rsid w:val="00F1578E"/>
    <w:rsid w:val="00F1631E"/>
    <w:rsid w:val="00F165B6"/>
    <w:rsid w:val="00F16601"/>
    <w:rsid w:val="00F16AB0"/>
    <w:rsid w:val="00F16B65"/>
    <w:rsid w:val="00F20763"/>
    <w:rsid w:val="00F20AC9"/>
    <w:rsid w:val="00F21892"/>
    <w:rsid w:val="00F21D16"/>
    <w:rsid w:val="00F220F0"/>
    <w:rsid w:val="00F220F8"/>
    <w:rsid w:val="00F223B6"/>
    <w:rsid w:val="00F227C2"/>
    <w:rsid w:val="00F227C8"/>
    <w:rsid w:val="00F23CB7"/>
    <w:rsid w:val="00F23D11"/>
    <w:rsid w:val="00F23F7C"/>
    <w:rsid w:val="00F24450"/>
    <w:rsid w:val="00F2446C"/>
    <w:rsid w:val="00F2463D"/>
    <w:rsid w:val="00F25026"/>
    <w:rsid w:val="00F25410"/>
    <w:rsid w:val="00F254A9"/>
    <w:rsid w:val="00F257B5"/>
    <w:rsid w:val="00F25CBB"/>
    <w:rsid w:val="00F25DE9"/>
    <w:rsid w:val="00F260B9"/>
    <w:rsid w:val="00F26100"/>
    <w:rsid w:val="00F2720E"/>
    <w:rsid w:val="00F2776D"/>
    <w:rsid w:val="00F27EA2"/>
    <w:rsid w:val="00F301FE"/>
    <w:rsid w:val="00F30BA6"/>
    <w:rsid w:val="00F30E9B"/>
    <w:rsid w:val="00F315D8"/>
    <w:rsid w:val="00F31D1B"/>
    <w:rsid w:val="00F325F3"/>
    <w:rsid w:val="00F32C46"/>
    <w:rsid w:val="00F32F5F"/>
    <w:rsid w:val="00F335EC"/>
    <w:rsid w:val="00F33B71"/>
    <w:rsid w:val="00F346E6"/>
    <w:rsid w:val="00F350D5"/>
    <w:rsid w:val="00F351B6"/>
    <w:rsid w:val="00F35932"/>
    <w:rsid w:val="00F36B78"/>
    <w:rsid w:val="00F402DF"/>
    <w:rsid w:val="00F40864"/>
    <w:rsid w:val="00F409BA"/>
    <w:rsid w:val="00F4113A"/>
    <w:rsid w:val="00F4244F"/>
    <w:rsid w:val="00F42539"/>
    <w:rsid w:val="00F42608"/>
    <w:rsid w:val="00F427F8"/>
    <w:rsid w:val="00F42F93"/>
    <w:rsid w:val="00F437A8"/>
    <w:rsid w:val="00F438E8"/>
    <w:rsid w:val="00F43CE3"/>
    <w:rsid w:val="00F43E6A"/>
    <w:rsid w:val="00F440C9"/>
    <w:rsid w:val="00F441CB"/>
    <w:rsid w:val="00F44524"/>
    <w:rsid w:val="00F44723"/>
    <w:rsid w:val="00F44895"/>
    <w:rsid w:val="00F44CDE"/>
    <w:rsid w:val="00F45F3F"/>
    <w:rsid w:val="00F4600A"/>
    <w:rsid w:val="00F46A90"/>
    <w:rsid w:val="00F46C99"/>
    <w:rsid w:val="00F46F17"/>
    <w:rsid w:val="00F47877"/>
    <w:rsid w:val="00F47F03"/>
    <w:rsid w:val="00F501DF"/>
    <w:rsid w:val="00F50585"/>
    <w:rsid w:val="00F50692"/>
    <w:rsid w:val="00F5078D"/>
    <w:rsid w:val="00F51003"/>
    <w:rsid w:val="00F5135B"/>
    <w:rsid w:val="00F516A5"/>
    <w:rsid w:val="00F516E3"/>
    <w:rsid w:val="00F5240A"/>
    <w:rsid w:val="00F526B2"/>
    <w:rsid w:val="00F527F7"/>
    <w:rsid w:val="00F5311F"/>
    <w:rsid w:val="00F533F7"/>
    <w:rsid w:val="00F534B7"/>
    <w:rsid w:val="00F53714"/>
    <w:rsid w:val="00F53DE6"/>
    <w:rsid w:val="00F54832"/>
    <w:rsid w:val="00F55088"/>
    <w:rsid w:val="00F56765"/>
    <w:rsid w:val="00F56F36"/>
    <w:rsid w:val="00F577ED"/>
    <w:rsid w:val="00F57885"/>
    <w:rsid w:val="00F57960"/>
    <w:rsid w:val="00F57F74"/>
    <w:rsid w:val="00F57FE6"/>
    <w:rsid w:val="00F60AE2"/>
    <w:rsid w:val="00F60CF3"/>
    <w:rsid w:val="00F60E94"/>
    <w:rsid w:val="00F60F5F"/>
    <w:rsid w:val="00F61CF1"/>
    <w:rsid w:val="00F620EE"/>
    <w:rsid w:val="00F6238C"/>
    <w:rsid w:val="00F6263C"/>
    <w:rsid w:val="00F62A2A"/>
    <w:rsid w:val="00F635CF"/>
    <w:rsid w:val="00F6363D"/>
    <w:rsid w:val="00F63BE9"/>
    <w:rsid w:val="00F6401E"/>
    <w:rsid w:val="00F644CC"/>
    <w:rsid w:val="00F64E28"/>
    <w:rsid w:val="00F65218"/>
    <w:rsid w:val="00F65A23"/>
    <w:rsid w:val="00F66144"/>
    <w:rsid w:val="00F66735"/>
    <w:rsid w:val="00F66976"/>
    <w:rsid w:val="00F66CB2"/>
    <w:rsid w:val="00F66D00"/>
    <w:rsid w:val="00F66DA0"/>
    <w:rsid w:val="00F66EB0"/>
    <w:rsid w:val="00F66F2B"/>
    <w:rsid w:val="00F66FAD"/>
    <w:rsid w:val="00F67011"/>
    <w:rsid w:val="00F6713F"/>
    <w:rsid w:val="00F676A8"/>
    <w:rsid w:val="00F6789B"/>
    <w:rsid w:val="00F67948"/>
    <w:rsid w:val="00F703EE"/>
    <w:rsid w:val="00F708C1"/>
    <w:rsid w:val="00F71100"/>
    <w:rsid w:val="00F71241"/>
    <w:rsid w:val="00F7158F"/>
    <w:rsid w:val="00F71685"/>
    <w:rsid w:val="00F71B2D"/>
    <w:rsid w:val="00F72102"/>
    <w:rsid w:val="00F729CC"/>
    <w:rsid w:val="00F7335E"/>
    <w:rsid w:val="00F7390E"/>
    <w:rsid w:val="00F745C2"/>
    <w:rsid w:val="00F748D2"/>
    <w:rsid w:val="00F74B51"/>
    <w:rsid w:val="00F75030"/>
    <w:rsid w:val="00F75154"/>
    <w:rsid w:val="00F75A51"/>
    <w:rsid w:val="00F75DB9"/>
    <w:rsid w:val="00F75E40"/>
    <w:rsid w:val="00F76154"/>
    <w:rsid w:val="00F76287"/>
    <w:rsid w:val="00F7639C"/>
    <w:rsid w:val="00F7695C"/>
    <w:rsid w:val="00F76C6C"/>
    <w:rsid w:val="00F76E29"/>
    <w:rsid w:val="00F76F33"/>
    <w:rsid w:val="00F77914"/>
    <w:rsid w:val="00F77D45"/>
    <w:rsid w:val="00F77F6A"/>
    <w:rsid w:val="00F80235"/>
    <w:rsid w:val="00F80341"/>
    <w:rsid w:val="00F805D3"/>
    <w:rsid w:val="00F805FC"/>
    <w:rsid w:val="00F80C9A"/>
    <w:rsid w:val="00F81362"/>
    <w:rsid w:val="00F81375"/>
    <w:rsid w:val="00F81BC3"/>
    <w:rsid w:val="00F82385"/>
    <w:rsid w:val="00F824AF"/>
    <w:rsid w:val="00F826DC"/>
    <w:rsid w:val="00F82855"/>
    <w:rsid w:val="00F82EB9"/>
    <w:rsid w:val="00F83CB6"/>
    <w:rsid w:val="00F842AA"/>
    <w:rsid w:val="00F842B2"/>
    <w:rsid w:val="00F84E0D"/>
    <w:rsid w:val="00F8505E"/>
    <w:rsid w:val="00F853DD"/>
    <w:rsid w:val="00F854EE"/>
    <w:rsid w:val="00F863A4"/>
    <w:rsid w:val="00F86B9C"/>
    <w:rsid w:val="00F86DFD"/>
    <w:rsid w:val="00F870AD"/>
    <w:rsid w:val="00F878BE"/>
    <w:rsid w:val="00F9042E"/>
    <w:rsid w:val="00F909E2"/>
    <w:rsid w:val="00F90D1B"/>
    <w:rsid w:val="00F90D85"/>
    <w:rsid w:val="00F912DB"/>
    <w:rsid w:val="00F91353"/>
    <w:rsid w:val="00F9147A"/>
    <w:rsid w:val="00F91D4D"/>
    <w:rsid w:val="00F92506"/>
    <w:rsid w:val="00F92DA7"/>
    <w:rsid w:val="00F9328E"/>
    <w:rsid w:val="00F9354A"/>
    <w:rsid w:val="00F93B6D"/>
    <w:rsid w:val="00F93BED"/>
    <w:rsid w:val="00F94222"/>
    <w:rsid w:val="00F947D4"/>
    <w:rsid w:val="00F95A07"/>
    <w:rsid w:val="00F95DA6"/>
    <w:rsid w:val="00F95DE7"/>
    <w:rsid w:val="00F96651"/>
    <w:rsid w:val="00F9684A"/>
    <w:rsid w:val="00F9694B"/>
    <w:rsid w:val="00F97381"/>
    <w:rsid w:val="00F97531"/>
    <w:rsid w:val="00F97572"/>
    <w:rsid w:val="00FA04A9"/>
    <w:rsid w:val="00FA068A"/>
    <w:rsid w:val="00FA06E8"/>
    <w:rsid w:val="00FA0825"/>
    <w:rsid w:val="00FA08AD"/>
    <w:rsid w:val="00FA0950"/>
    <w:rsid w:val="00FA0A6E"/>
    <w:rsid w:val="00FA141B"/>
    <w:rsid w:val="00FA1BF4"/>
    <w:rsid w:val="00FA1CEA"/>
    <w:rsid w:val="00FA2937"/>
    <w:rsid w:val="00FA29BF"/>
    <w:rsid w:val="00FA2C9D"/>
    <w:rsid w:val="00FA2EFC"/>
    <w:rsid w:val="00FA2F27"/>
    <w:rsid w:val="00FA388E"/>
    <w:rsid w:val="00FA399E"/>
    <w:rsid w:val="00FA3D0D"/>
    <w:rsid w:val="00FA4150"/>
    <w:rsid w:val="00FA4B49"/>
    <w:rsid w:val="00FA4C59"/>
    <w:rsid w:val="00FA4CA5"/>
    <w:rsid w:val="00FA4D06"/>
    <w:rsid w:val="00FA4F8F"/>
    <w:rsid w:val="00FA51B3"/>
    <w:rsid w:val="00FA5766"/>
    <w:rsid w:val="00FA5DAE"/>
    <w:rsid w:val="00FA6261"/>
    <w:rsid w:val="00FA6B8A"/>
    <w:rsid w:val="00FA7C2F"/>
    <w:rsid w:val="00FA7D7D"/>
    <w:rsid w:val="00FA7F4A"/>
    <w:rsid w:val="00FB057A"/>
    <w:rsid w:val="00FB0E58"/>
    <w:rsid w:val="00FB120A"/>
    <w:rsid w:val="00FB15B5"/>
    <w:rsid w:val="00FB2CC1"/>
    <w:rsid w:val="00FB2D8C"/>
    <w:rsid w:val="00FB383E"/>
    <w:rsid w:val="00FB39B8"/>
    <w:rsid w:val="00FB3A95"/>
    <w:rsid w:val="00FB4118"/>
    <w:rsid w:val="00FB4BC3"/>
    <w:rsid w:val="00FB56E7"/>
    <w:rsid w:val="00FB620D"/>
    <w:rsid w:val="00FB6468"/>
    <w:rsid w:val="00FB65C9"/>
    <w:rsid w:val="00FB6E05"/>
    <w:rsid w:val="00FB6F67"/>
    <w:rsid w:val="00FB77EA"/>
    <w:rsid w:val="00FB7910"/>
    <w:rsid w:val="00FC0AD7"/>
    <w:rsid w:val="00FC10DE"/>
    <w:rsid w:val="00FC1598"/>
    <w:rsid w:val="00FC19A0"/>
    <w:rsid w:val="00FC1E0A"/>
    <w:rsid w:val="00FC22DB"/>
    <w:rsid w:val="00FC253D"/>
    <w:rsid w:val="00FC2D5F"/>
    <w:rsid w:val="00FC3B99"/>
    <w:rsid w:val="00FC3F72"/>
    <w:rsid w:val="00FC4101"/>
    <w:rsid w:val="00FC4677"/>
    <w:rsid w:val="00FC4B0E"/>
    <w:rsid w:val="00FC5358"/>
    <w:rsid w:val="00FC53C8"/>
    <w:rsid w:val="00FC5502"/>
    <w:rsid w:val="00FC5603"/>
    <w:rsid w:val="00FC6F04"/>
    <w:rsid w:val="00FC6F73"/>
    <w:rsid w:val="00FC7264"/>
    <w:rsid w:val="00FD09EE"/>
    <w:rsid w:val="00FD0B28"/>
    <w:rsid w:val="00FD0CD1"/>
    <w:rsid w:val="00FD1614"/>
    <w:rsid w:val="00FD17BA"/>
    <w:rsid w:val="00FD181C"/>
    <w:rsid w:val="00FD1C94"/>
    <w:rsid w:val="00FD1F82"/>
    <w:rsid w:val="00FD2B2A"/>
    <w:rsid w:val="00FD2B8B"/>
    <w:rsid w:val="00FD2C9D"/>
    <w:rsid w:val="00FD2F74"/>
    <w:rsid w:val="00FD3B94"/>
    <w:rsid w:val="00FD4007"/>
    <w:rsid w:val="00FD40DD"/>
    <w:rsid w:val="00FD43B3"/>
    <w:rsid w:val="00FD4408"/>
    <w:rsid w:val="00FD49F9"/>
    <w:rsid w:val="00FD4B43"/>
    <w:rsid w:val="00FD4C33"/>
    <w:rsid w:val="00FD4F88"/>
    <w:rsid w:val="00FD524B"/>
    <w:rsid w:val="00FD5952"/>
    <w:rsid w:val="00FD5CA5"/>
    <w:rsid w:val="00FD5D06"/>
    <w:rsid w:val="00FD60B7"/>
    <w:rsid w:val="00FD61BC"/>
    <w:rsid w:val="00FD6295"/>
    <w:rsid w:val="00FD65D9"/>
    <w:rsid w:val="00FD6AD6"/>
    <w:rsid w:val="00FD6DD1"/>
    <w:rsid w:val="00FD6DF6"/>
    <w:rsid w:val="00FD6EEE"/>
    <w:rsid w:val="00FD7083"/>
    <w:rsid w:val="00FD75C0"/>
    <w:rsid w:val="00FD7BCB"/>
    <w:rsid w:val="00FE02C6"/>
    <w:rsid w:val="00FE0A21"/>
    <w:rsid w:val="00FE0CC8"/>
    <w:rsid w:val="00FE0E41"/>
    <w:rsid w:val="00FE0F21"/>
    <w:rsid w:val="00FE1118"/>
    <w:rsid w:val="00FE1400"/>
    <w:rsid w:val="00FE14BA"/>
    <w:rsid w:val="00FE1D84"/>
    <w:rsid w:val="00FE1DC1"/>
    <w:rsid w:val="00FE23D5"/>
    <w:rsid w:val="00FE2BB6"/>
    <w:rsid w:val="00FE2FD6"/>
    <w:rsid w:val="00FE3FA7"/>
    <w:rsid w:val="00FE40E5"/>
    <w:rsid w:val="00FE4215"/>
    <w:rsid w:val="00FE4739"/>
    <w:rsid w:val="00FE49D8"/>
    <w:rsid w:val="00FE4D55"/>
    <w:rsid w:val="00FE4DB2"/>
    <w:rsid w:val="00FE5755"/>
    <w:rsid w:val="00FE6377"/>
    <w:rsid w:val="00FE63AF"/>
    <w:rsid w:val="00FE6508"/>
    <w:rsid w:val="00FE6631"/>
    <w:rsid w:val="00FE681D"/>
    <w:rsid w:val="00FE68EB"/>
    <w:rsid w:val="00FE6BAB"/>
    <w:rsid w:val="00FE6CA8"/>
    <w:rsid w:val="00FE6FCC"/>
    <w:rsid w:val="00FE704A"/>
    <w:rsid w:val="00FE74DF"/>
    <w:rsid w:val="00FE7E54"/>
    <w:rsid w:val="00FF047D"/>
    <w:rsid w:val="00FF06C2"/>
    <w:rsid w:val="00FF0DBD"/>
    <w:rsid w:val="00FF14D4"/>
    <w:rsid w:val="00FF16A0"/>
    <w:rsid w:val="00FF1FD9"/>
    <w:rsid w:val="00FF2100"/>
    <w:rsid w:val="00FF22C6"/>
    <w:rsid w:val="00FF2AC0"/>
    <w:rsid w:val="00FF327D"/>
    <w:rsid w:val="00FF3A07"/>
    <w:rsid w:val="00FF3FEA"/>
    <w:rsid w:val="00FF471F"/>
    <w:rsid w:val="00FF4C68"/>
    <w:rsid w:val="00FF5238"/>
    <w:rsid w:val="00FF5600"/>
    <w:rsid w:val="00FF756B"/>
    <w:rsid w:val="00FF7D99"/>
    <w:rsid w:val="00FF7FB8"/>
    <w:rsid w:val="01591A34"/>
    <w:rsid w:val="01743A41"/>
    <w:rsid w:val="01971DC9"/>
    <w:rsid w:val="01E22AD5"/>
    <w:rsid w:val="0203ACB5"/>
    <w:rsid w:val="022A9F90"/>
    <w:rsid w:val="024E8BEB"/>
    <w:rsid w:val="0299E8FE"/>
    <w:rsid w:val="034FC3B4"/>
    <w:rsid w:val="03640CD8"/>
    <w:rsid w:val="039451EC"/>
    <w:rsid w:val="047CB4B1"/>
    <w:rsid w:val="04AC7AF3"/>
    <w:rsid w:val="04AC9D56"/>
    <w:rsid w:val="04DAFB56"/>
    <w:rsid w:val="0527339C"/>
    <w:rsid w:val="053A928A"/>
    <w:rsid w:val="055CED1D"/>
    <w:rsid w:val="0652E35B"/>
    <w:rsid w:val="06839EEE"/>
    <w:rsid w:val="0708F5CB"/>
    <w:rsid w:val="0754938F"/>
    <w:rsid w:val="07A0955E"/>
    <w:rsid w:val="07C73A7E"/>
    <w:rsid w:val="081176ED"/>
    <w:rsid w:val="0819EF51"/>
    <w:rsid w:val="087D5415"/>
    <w:rsid w:val="08B2D93F"/>
    <w:rsid w:val="08FB29AC"/>
    <w:rsid w:val="096E094B"/>
    <w:rsid w:val="0ADAD7F0"/>
    <w:rsid w:val="0B2F92B4"/>
    <w:rsid w:val="0B86C453"/>
    <w:rsid w:val="0B98621F"/>
    <w:rsid w:val="0BE4D705"/>
    <w:rsid w:val="0C590FE5"/>
    <w:rsid w:val="0C86CC58"/>
    <w:rsid w:val="0CF3226E"/>
    <w:rsid w:val="0D43D077"/>
    <w:rsid w:val="0DE81BAB"/>
    <w:rsid w:val="0DE83659"/>
    <w:rsid w:val="0DFCE3F1"/>
    <w:rsid w:val="0E8D7F2B"/>
    <w:rsid w:val="0F3AFDE6"/>
    <w:rsid w:val="0F4372D2"/>
    <w:rsid w:val="0FB42125"/>
    <w:rsid w:val="0FD97674"/>
    <w:rsid w:val="106EE76F"/>
    <w:rsid w:val="10863951"/>
    <w:rsid w:val="11628408"/>
    <w:rsid w:val="1185DCE7"/>
    <w:rsid w:val="11F64436"/>
    <w:rsid w:val="122E5B99"/>
    <w:rsid w:val="128477AD"/>
    <w:rsid w:val="12C34577"/>
    <w:rsid w:val="13A53A16"/>
    <w:rsid w:val="14A36966"/>
    <w:rsid w:val="14AA4B0A"/>
    <w:rsid w:val="14E7FEBC"/>
    <w:rsid w:val="14E99E45"/>
    <w:rsid w:val="1513D7DF"/>
    <w:rsid w:val="1604653E"/>
    <w:rsid w:val="16221D7E"/>
    <w:rsid w:val="16375446"/>
    <w:rsid w:val="16720302"/>
    <w:rsid w:val="17402E8B"/>
    <w:rsid w:val="186C94C5"/>
    <w:rsid w:val="18DEE308"/>
    <w:rsid w:val="191125A6"/>
    <w:rsid w:val="1964FC1A"/>
    <w:rsid w:val="19FC3EDF"/>
    <w:rsid w:val="1A012995"/>
    <w:rsid w:val="1A3A9617"/>
    <w:rsid w:val="1A5CD524"/>
    <w:rsid w:val="1A80E04C"/>
    <w:rsid w:val="1AC03446"/>
    <w:rsid w:val="1B2F4C8C"/>
    <w:rsid w:val="1B343754"/>
    <w:rsid w:val="1B6D96E6"/>
    <w:rsid w:val="1B787FA8"/>
    <w:rsid w:val="1BD902C2"/>
    <w:rsid w:val="1BDE707F"/>
    <w:rsid w:val="1BDFBF37"/>
    <w:rsid w:val="1C6539AF"/>
    <w:rsid w:val="1D0861EF"/>
    <w:rsid w:val="1D0AA6FC"/>
    <w:rsid w:val="1DEAD4F2"/>
    <w:rsid w:val="1ED36D99"/>
    <w:rsid w:val="1F2E2D26"/>
    <w:rsid w:val="1F61AB06"/>
    <w:rsid w:val="1FEA80A5"/>
    <w:rsid w:val="2059FE3B"/>
    <w:rsid w:val="20690742"/>
    <w:rsid w:val="20C659B1"/>
    <w:rsid w:val="20E6B2D9"/>
    <w:rsid w:val="20EA46D3"/>
    <w:rsid w:val="2168859A"/>
    <w:rsid w:val="21D33B7F"/>
    <w:rsid w:val="2287945A"/>
    <w:rsid w:val="22D05ACE"/>
    <w:rsid w:val="22D636A7"/>
    <w:rsid w:val="22FB2F17"/>
    <w:rsid w:val="23EBAAE0"/>
    <w:rsid w:val="2486C3B4"/>
    <w:rsid w:val="2491F807"/>
    <w:rsid w:val="24A2B782"/>
    <w:rsid w:val="24FEB3C7"/>
    <w:rsid w:val="2585DCF8"/>
    <w:rsid w:val="25AEB45D"/>
    <w:rsid w:val="25B02443"/>
    <w:rsid w:val="25DD5E15"/>
    <w:rsid w:val="261E26EE"/>
    <w:rsid w:val="27094963"/>
    <w:rsid w:val="2721E0F3"/>
    <w:rsid w:val="2724E462"/>
    <w:rsid w:val="27926413"/>
    <w:rsid w:val="27F05527"/>
    <w:rsid w:val="286705FF"/>
    <w:rsid w:val="2893FF8C"/>
    <w:rsid w:val="289651CF"/>
    <w:rsid w:val="29065ABD"/>
    <w:rsid w:val="2925C6DF"/>
    <w:rsid w:val="29E94F83"/>
    <w:rsid w:val="2A16BA7C"/>
    <w:rsid w:val="2A72B28F"/>
    <w:rsid w:val="2A7CDCD6"/>
    <w:rsid w:val="2A96E622"/>
    <w:rsid w:val="2AF0F6A2"/>
    <w:rsid w:val="2BBB86D2"/>
    <w:rsid w:val="2C5CD140"/>
    <w:rsid w:val="2CA4066B"/>
    <w:rsid w:val="2E3BB0EE"/>
    <w:rsid w:val="2E51E7B5"/>
    <w:rsid w:val="2E7BD013"/>
    <w:rsid w:val="2F1135C7"/>
    <w:rsid w:val="2F183481"/>
    <w:rsid w:val="2F35E90F"/>
    <w:rsid w:val="2F88E09B"/>
    <w:rsid w:val="30A4F4EA"/>
    <w:rsid w:val="30BE7C60"/>
    <w:rsid w:val="30FD6BB7"/>
    <w:rsid w:val="3108B8D1"/>
    <w:rsid w:val="314E3F2F"/>
    <w:rsid w:val="3197B8EC"/>
    <w:rsid w:val="32357506"/>
    <w:rsid w:val="323E1D3D"/>
    <w:rsid w:val="3275AAA3"/>
    <w:rsid w:val="32791D71"/>
    <w:rsid w:val="33004AE1"/>
    <w:rsid w:val="33B84676"/>
    <w:rsid w:val="33F14A35"/>
    <w:rsid w:val="342D700E"/>
    <w:rsid w:val="34315142"/>
    <w:rsid w:val="3536C8BA"/>
    <w:rsid w:val="357095DC"/>
    <w:rsid w:val="3616B385"/>
    <w:rsid w:val="361E49F3"/>
    <w:rsid w:val="364F4BDC"/>
    <w:rsid w:val="36DFD909"/>
    <w:rsid w:val="37466918"/>
    <w:rsid w:val="3766A406"/>
    <w:rsid w:val="37826380"/>
    <w:rsid w:val="380B8735"/>
    <w:rsid w:val="382ED60B"/>
    <w:rsid w:val="383665C9"/>
    <w:rsid w:val="393EC9AE"/>
    <w:rsid w:val="39675947"/>
    <w:rsid w:val="3990F29E"/>
    <w:rsid w:val="399B2F1A"/>
    <w:rsid w:val="3A3D7F9A"/>
    <w:rsid w:val="3A63C6E4"/>
    <w:rsid w:val="3A6835E6"/>
    <w:rsid w:val="3B1805F0"/>
    <w:rsid w:val="3B76F034"/>
    <w:rsid w:val="3B918709"/>
    <w:rsid w:val="3BDD1918"/>
    <w:rsid w:val="3C32C6C7"/>
    <w:rsid w:val="3C6E16A0"/>
    <w:rsid w:val="3CAA71B5"/>
    <w:rsid w:val="3D7865CD"/>
    <w:rsid w:val="3D93544A"/>
    <w:rsid w:val="3D96B2BE"/>
    <w:rsid w:val="3DB0B9F0"/>
    <w:rsid w:val="3E804B11"/>
    <w:rsid w:val="3F6E78F1"/>
    <w:rsid w:val="3FE35A7D"/>
    <w:rsid w:val="40235B91"/>
    <w:rsid w:val="40722BFF"/>
    <w:rsid w:val="408C35AA"/>
    <w:rsid w:val="40A74196"/>
    <w:rsid w:val="40C5BF05"/>
    <w:rsid w:val="40E52B6D"/>
    <w:rsid w:val="4182F27E"/>
    <w:rsid w:val="43772889"/>
    <w:rsid w:val="43A65312"/>
    <w:rsid w:val="43DA441F"/>
    <w:rsid w:val="443C84F4"/>
    <w:rsid w:val="44A7571D"/>
    <w:rsid w:val="44B7B514"/>
    <w:rsid w:val="44C655B2"/>
    <w:rsid w:val="45031B7E"/>
    <w:rsid w:val="457F022B"/>
    <w:rsid w:val="45F2DEA8"/>
    <w:rsid w:val="46177744"/>
    <w:rsid w:val="46AB644D"/>
    <w:rsid w:val="49252EC8"/>
    <w:rsid w:val="4B418CCB"/>
    <w:rsid w:val="4B528323"/>
    <w:rsid w:val="4BCD0273"/>
    <w:rsid w:val="4BDA06B4"/>
    <w:rsid w:val="4C12CB2D"/>
    <w:rsid w:val="4CB463CB"/>
    <w:rsid w:val="4CFAEEE6"/>
    <w:rsid w:val="4D78132C"/>
    <w:rsid w:val="4D819FCC"/>
    <w:rsid w:val="4DD07A11"/>
    <w:rsid w:val="4DFB42E6"/>
    <w:rsid w:val="4E0813AB"/>
    <w:rsid w:val="4E267A8D"/>
    <w:rsid w:val="4EB5FCA0"/>
    <w:rsid w:val="4F5FEFB4"/>
    <w:rsid w:val="500BED03"/>
    <w:rsid w:val="505A3732"/>
    <w:rsid w:val="5074A936"/>
    <w:rsid w:val="508CAB91"/>
    <w:rsid w:val="50C47177"/>
    <w:rsid w:val="50CB4DB8"/>
    <w:rsid w:val="51821F78"/>
    <w:rsid w:val="518F96BA"/>
    <w:rsid w:val="524E7982"/>
    <w:rsid w:val="52711932"/>
    <w:rsid w:val="529044BC"/>
    <w:rsid w:val="52AAF699"/>
    <w:rsid w:val="52CF3A8E"/>
    <w:rsid w:val="533991BD"/>
    <w:rsid w:val="536B6A0A"/>
    <w:rsid w:val="5389F414"/>
    <w:rsid w:val="539C52A0"/>
    <w:rsid w:val="53C60888"/>
    <w:rsid w:val="53C98CE3"/>
    <w:rsid w:val="543092A5"/>
    <w:rsid w:val="54D91400"/>
    <w:rsid w:val="54F839FD"/>
    <w:rsid w:val="5510457F"/>
    <w:rsid w:val="553828E3"/>
    <w:rsid w:val="55A19E54"/>
    <w:rsid w:val="55BE2DDC"/>
    <w:rsid w:val="565B340B"/>
    <w:rsid w:val="565B576F"/>
    <w:rsid w:val="56633BC7"/>
    <w:rsid w:val="56958401"/>
    <w:rsid w:val="56DFACD2"/>
    <w:rsid w:val="5743439D"/>
    <w:rsid w:val="57B1B399"/>
    <w:rsid w:val="57BA114A"/>
    <w:rsid w:val="57D6A8C1"/>
    <w:rsid w:val="5805156E"/>
    <w:rsid w:val="58248D60"/>
    <w:rsid w:val="58DA5A11"/>
    <w:rsid w:val="5A132B0B"/>
    <w:rsid w:val="5A17F82B"/>
    <w:rsid w:val="5A776CAC"/>
    <w:rsid w:val="5A7B16CF"/>
    <w:rsid w:val="5AB9099B"/>
    <w:rsid w:val="5B16ACF2"/>
    <w:rsid w:val="5B4A6CC6"/>
    <w:rsid w:val="5B5A24A5"/>
    <w:rsid w:val="5B772381"/>
    <w:rsid w:val="5B866C8A"/>
    <w:rsid w:val="5C1C3514"/>
    <w:rsid w:val="5CF3BECD"/>
    <w:rsid w:val="5D1732E5"/>
    <w:rsid w:val="5D27A4AB"/>
    <w:rsid w:val="5DAD03D7"/>
    <w:rsid w:val="5DE3040C"/>
    <w:rsid w:val="5DF1C209"/>
    <w:rsid w:val="5E6D30BB"/>
    <w:rsid w:val="5EA6E16D"/>
    <w:rsid w:val="5F2AA175"/>
    <w:rsid w:val="5FC8F541"/>
    <w:rsid w:val="6000B9C3"/>
    <w:rsid w:val="60A6A3D4"/>
    <w:rsid w:val="60E3D581"/>
    <w:rsid w:val="61B11CFC"/>
    <w:rsid w:val="6244F7E9"/>
    <w:rsid w:val="63328D55"/>
    <w:rsid w:val="636819A5"/>
    <w:rsid w:val="6397C44F"/>
    <w:rsid w:val="63C326C5"/>
    <w:rsid w:val="646B596A"/>
    <w:rsid w:val="651693B3"/>
    <w:rsid w:val="6523A982"/>
    <w:rsid w:val="6551709D"/>
    <w:rsid w:val="657ACA27"/>
    <w:rsid w:val="6585D8C9"/>
    <w:rsid w:val="660A69CC"/>
    <w:rsid w:val="6659D885"/>
    <w:rsid w:val="66718D49"/>
    <w:rsid w:val="66DB0E8C"/>
    <w:rsid w:val="67B5D716"/>
    <w:rsid w:val="681DCED9"/>
    <w:rsid w:val="689ACFD1"/>
    <w:rsid w:val="695DC138"/>
    <w:rsid w:val="6968D362"/>
    <w:rsid w:val="6970258D"/>
    <w:rsid w:val="69729A06"/>
    <w:rsid w:val="69AEAEBF"/>
    <w:rsid w:val="69D317F3"/>
    <w:rsid w:val="6A48F7A3"/>
    <w:rsid w:val="6A7FF4DC"/>
    <w:rsid w:val="6AAAD525"/>
    <w:rsid w:val="6B383359"/>
    <w:rsid w:val="6B4CE663"/>
    <w:rsid w:val="6BC0A6A9"/>
    <w:rsid w:val="6BDD298D"/>
    <w:rsid w:val="6C331DC9"/>
    <w:rsid w:val="6C5C0497"/>
    <w:rsid w:val="6C73FDC1"/>
    <w:rsid w:val="6D291D5A"/>
    <w:rsid w:val="6D757A7D"/>
    <w:rsid w:val="6E24AFA6"/>
    <w:rsid w:val="6E79AF23"/>
    <w:rsid w:val="6F7EA587"/>
    <w:rsid w:val="6F9351BC"/>
    <w:rsid w:val="7090F1D7"/>
    <w:rsid w:val="70AE9D7E"/>
    <w:rsid w:val="70E099E7"/>
    <w:rsid w:val="70F2DB3A"/>
    <w:rsid w:val="713830B4"/>
    <w:rsid w:val="714974EB"/>
    <w:rsid w:val="719184DC"/>
    <w:rsid w:val="71A05B9F"/>
    <w:rsid w:val="71AF543A"/>
    <w:rsid w:val="71BF9993"/>
    <w:rsid w:val="71E53A16"/>
    <w:rsid w:val="71F2490E"/>
    <w:rsid w:val="72D8FF77"/>
    <w:rsid w:val="7331F24B"/>
    <w:rsid w:val="733DEB5A"/>
    <w:rsid w:val="74F93862"/>
    <w:rsid w:val="75024C3B"/>
    <w:rsid w:val="759DBA2C"/>
    <w:rsid w:val="7646F534"/>
    <w:rsid w:val="76733327"/>
    <w:rsid w:val="769D8E7D"/>
    <w:rsid w:val="76ADA9A0"/>
    <w:rsid w:val="76C6324B"/>
    <w:rsid w:val="772EF449"/>
    <w:rsid w:val="7739FB6E"/>
    <w:rsid w:val="77618698"/>
    <w:rsid w:val="77C277DC"/>
    <w:rsid w:val="77C4DB46"/>
    <w:rsid w:val="77D9DDB8"/>
    <w:rsid w:val="782C6AD6"/>
    <w:rsid w:val="784AF269"/>
    <w:rsid w:val="788A02A4"/>
    <w:rsid w:val="78D056BF"/>
    <w:rsid w:val="79FF9B75"/>
    <w:rsid w:val="7A7A2472"/>
    <w:rsid w:val="7A92287A"/>
    <w:rsid w:val="7A9FA53C"/>
    <w:rsid w:val="7AEEC16C"/>
    <w:rsid w:val="7B1D6910"/>
    <w:rsid w:val="7B4F9999"/>
    <w:rsid w:val="7B53F3B5"/>
    <w:rsid w:val="7BAE27D8"/>
    <w:rsid w:val="7BE2E1EE"/>
    <w:rsid w:val="7C8ADC37"/>
    <w:rsid w:val="7CC92A81"/>
    <w:rsid w:val="7CF8ABF7"/>
    <w:rsid w:val="7D08BEC1"/>
    <w:rsid w:val="7D290414"/>
    <w:rsid w:val="7D5BD2A6"/>
    <w:rsid w:val="7DF88BDC"/>
    <w:rsid w:val="7ED8B9C9"/>
    <w:rsid w:val="7F11FB1C"/>
    <w:rsid w:val="7F3F9373"/>
    <w:rsid w:val="7F81C875"/>
    <w:rsid w:val="7FC5AA4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8C4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3A9"/>
    <w:pPr>
      <w:spacing w:before="120"/>
    </w:pPr>
    <w:rPr>
      <w:rFonts w:ascii="Franklin Gothic Book" w:hAnsi="Franklin Gothic Book"/>
    </w:rPr>
  </w:style>
  <w:style w:type="paragraph" w:styleId="Heading1">
    <w:name w:val="heading 1"/>
    <w:basedOn w:val="Normal"/>
    <w:next w:val="Normal"/>
    <w:link w:val="Heading1Char"/>
    <w:uiPriority w:val="9"/>
    <w:qFormat/>
    <w:rsid w:val="001531D6"/>
    <w:pPr>
      <w:keepNext/>
      <w:keepLines/>
      <w:numPr>
        <w:numId w:val="4"/>
      </w:numPr>
      <w:pBdr>
        <w:bottom w:val="single" w:sz="4" w:space="1" w:color="auto"/>
      </w:pBdr>
      <w:spacing w:before="600" w:after="480" w:line="240" w:lineRule="auto"/>
      <w:outlineLvl w:val="0"/>
    </w:pPr>
    <w:rPr>
      <w:rFonts w:ascii="Franklin Gothic Medium" w:eastAsiaTheme="majorEastAsia" w:hAnsi="Franklin Gothic Medium" w:cstheme="majorBidi"/>
      <w:sz w:val="44"/>
      <w:szCs w:val="32"/>
    </w:rPr>
  </w:style>
  <w:style w:type="paragraph" w:styleId="Heading2">
    <w:name w:val="heading 2"/>
    <w:basedOn w:val="Normal"/>
    <w:next w:val="Normal"/>
    <w:link w:val="Heading2Char"/>
    <w:uiPriority w:val="9"/>
    <w:unhideWhenUsed/>
    <w:qFormat/>
    <w:rsid w:val="004C0DC4"/>
    <w:pPr>
      <w:keepNext/>
      <w:keepLines/>
      <w:spacing w:before="360" w:after="24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Normal"/>
    <w:next w:val="Normal"/>
    <w:link w:val="Heading3Char"/>
    <w:uiPriority w:val="9"/>
    <w:unhideWhenUsed/>
    <w:qFormat/>
    <w:rsid w:val="005103C5"/>
    <w:pPr>
      <w:keepNext/>
      <w:keepLines/>
      <w:tabs>
        <w:tab w:val="left" w:pos="851"/>
      </w:tabs>
      <w:spacing w:before="360" w:after="200" w:line="240" w:lineRule="auto"/>
      <w:outlineLvl w:val="2"/>
    </w:pPr>
    <w:rPr>
      <w:rFonts w:ascii="Franklin Gothic Medium" w:eastAsiaTheme="majorEastAsia" w:hAnsi="Franklin Gothic Medium" w:cstheme="majorBidi"/>
      <w:sz w:val="24"/>
      <w:szCs w:val="24"/>
    </w:rPr>
  </w:style>
  <w:style w:type="paragraph" w:styleId="Heading4">
    <w:name w:val="heading 4"/>
    <w:basedOn w:val="Heading3"/>
    <w:next w:val="Normal"/>
    <w:link w:val="Heading4Char"/>
    <w:uiPriority w:val="9"/>
    <w:unhideWhenUsed/>
    <w:qFormat/>
    <w:rsid w:val="00A776A4"/>
    <w:pPr>
      <w:outlineLvl w:val="3"/>
    </w:pPr>
    <w:rPr>
      <w:i/>
    </w:rPr>
  </w:style>
  <w:style w:type="paragraph" w:styleId="Heading5">
    <w:name w:val="heading 5"/>
    <w:basedOn w:val="Normal"/>
    <w:next w:val="Normal"/>
    <w:link w:val="Heading5Char"/>
    <w:uiPriority w:val="9"/>
    <w:semiHidden/>
    <w:unhideWhenUsed/>
    <w:qFormat/>
    <w:rsid w:val="0089752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9752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9752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9752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752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link w:val="TableTextChar"/>
    <w:qFormat/>
    <w:rsid w:val="003E7773"/>
    <w:pPr>
      <w:spacing w:before="40" w:after="40" w:line="240" w:lineRule="auto"/>
    </w:pPr>
    <w:rPr>
      <w:rFonts w:ascii="Arial Narrow" w:hAnsi="Arial Narrow"/>
      <w:sz w:val="20"/>
    </w:rPr>
  </w:style>
  <w:style w:type="paragraph" w:customStyle="1" w:styleId="TableHeading">
    <w:name w:val="TableHeading"/>
    <w:basedOn w:val="Normal"/>
    <w:link w:val="TableHeadingChar"/>
    <w:qFormat/>
    <w:rsid w:val="00B151CF"/>
    <w:pPr>
      <w:keepNext/>
      <w:spacing w:after="60" w:line="240" w:lineRule="auto"/>
    </w:pPr>
    <w:rPr>
      <w:rFonts w:ascii="Arial Narrow" w:hAnsi="Arial Narrow"/>
      <w:b/>
      <w:sz w:val="20"/>
    </w:rPr>
  </w:style>
  <w:style w:type="paragraph" w:styleId="CommentText">
    <w:name w:val="annotation text"/>
    <w:basedOn w:val="Normal"/>
    <w:link w:val="CommentTextChar"/>
    <w:uiPriority w:val="99"/>
    <w:unhideWhenUsed/>
    <w:rsid w:val="003E7773"/>
    <w:pPr>
      <w:spacing w:after="240" w:line="240" w:lineRule="auto"/>
    </w:pPr>
    <w:rPr>
      <w:rFonts w:ascii="Calibri" w:eastAsia="Times New Roman" w:hAnsi="Calibri" w:cs="Times New Roman"/>
      <w:color w:val="000000"/>
      <w:szCs w:val="24"/>
      <w:lang w:eastAsia="en-AU"/>
    </w:rPr>
  </w:style>
  <w:style w:type="character" w:customStyle="1" w:styleId="CommentTextChar">
    <w:name w:val="Comment Text Char"/>
    <w:basedOn w:val="DefaultParagraphFont"/>
    <w:link w:val="CommentText"/>
    <w:uiPriority w:val="99"/>
    <w:rsid w:val="003E7773"/>
    <w:rPr>
      <w:rFonts w:ascii="Calibri" w:eastAsia="Times New Roman" w:hAnsi="Calibri" w:cs="Times New Roman"/>
      <w:color w:val="000000"/>
      <w:szCs w:val="24"/>
      <w:lang w:eastAsia="en-AU"/>
    </w:rPr>
  </w:style>
  <w:style w:type="character" w:styleId="CommentReference">
    <w:name w:val="annotation reference"/>
    <w:aliases w:val="Table Title"/>
    <w:basedOn w:val="DefaultParagraphFont"/>
    <w:uiPriority w:val="99"/>
    <w:unhideWhenUsed/>
    <w:qFormat/>
    <w:rsid w:val="003E7773"/>
    <w:rPr>
      <w:sz w:val="16"/>
      <w:szCs w:val="16"/>
    </w:rPr>
  </w:style>
  <w:style w:type="character" w:customStyle="1" w:styleId="TableTextChar">
    <w:name w:val="Table Text Char"/>
    <w:basedOn w:val="DefaultParagraphFont"/>
    <w:link w:val="TableText"/>
    <w:rsid w:val="003E7773"/>
    <w:rPr>
      <w:rFonts w:ascii="Arial Narrow" w:hAnsi="Arial Narrow"/>
      <w:sz w:val="20"/>
    </w:rPr>
  </w:style>
  <w:style w:type="character" w:customStyle="1" w:styleId="TableHeadingChar">
    <w:name w:val="TableHeading Char"/>
    <w:link w:val="TableHeading"/>
    <w:rsid w:val="00B151CF"/>
    <w:rPr>
      <w:rFonts w:ascii="Arial Narrow" w:hAnsi="Arial Narrow"/>
      <w:b/>
      <w:sz w:val="20"/>
    </w:rPr>
  </w:style>
  <w:style w:type="paragraph" w:styleId="BalloonText">
    <w:name w:val="Balloon Text"/>
    <w:basedOn w:val="Normal"/>
    <w:link w:val="BalloonTextChar"/>
    <w:uiPriority w:val="99"/>
    <w:semiHidden/>
    <w:unhideWhenUsed/>
    <w:rsid w:val="003E7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7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7773"/>
    <w:pPr>
      <w:spacing w:after="160"/>
    </w:pPr>
    <w:rPr>
      <w:rFonts w:asciiTheme="minorHAnsi" w:eastAsiaTheme="minorHAnsi" w:hAnsiTheme="minorHAnsi" w:cstheme="minorBidi"/>
      <w:b/>
      <w:bCs/>
      <w:color w:val="auto"/>
      <w:sz w:val="20"/>
      <w:szCs w:val="20"/>
      <w:lang w:eastAsia="en-US"/>
    </w:rPr>
  </w:style>
  <w:style w:type="character" w:customStyle="1" w:styleId="CommentSubjectChar">
    <w:name w:val="Comment Subject Char"/>
    <w:basedOn w:val="CommentTextChar"/>
    <w:link w:val="CommentSubject"/>
    <w:uiPriority w:val="99"/>
    <w:semiHidden/>
    <w:rsid w:val="003E7773"/>
    <w:rPr>
      <w:rFonts w:ascii="Calibri" w:eastAsia="Times New Roman" w:hAnsi="Calibri" w:cs="Times New Roman"/>
      <w:b/>
      <w:bCs/>
      <w:color w:val="000000"/>
      <w:sz w:val="20"/>
      <w:szCs w:val="20"/>
      <w:lang w:eastAsia="en-AU"/>
    </w:rPr>
  </w:style>
  <w:style w:type="character" w:customStyle="1" w:styleId="Heading1Char">
    <w:name w:val="Heading 1 Char"/>
    <w:basedOn w:val="DefaultParagraphFont"/>
    <w:link w:val="Heading1"/>
    <w:uiPriority w:val="9"/>
    <w:rsid w:val="001531D6"/>
    <w:rPr>
      <w:rFonts w:ascii="Franklin Gothic Medium" w:eastAsiaTheme="majorEastAsia" w:hAnsi="Franklin Gothic Medium" w:cstheme="majorBidi"/>
      <w:sz w:val="44"/>
      <w:szCs w:val="32"/>
    </w:rPr>
  </w:style>
  <w:style w:type="character" w:customStyle="1" w:styleId="Heading2Char">
    <w:name w:val="Heading 2 Char"/>
    <w:basedOn w:val="DefaultParagraphFont"/>
    <w:link w:val="Heading2"/>
    <w:uiPriority w:val="9"/>
    <w:rsid w:val="004C0DC4"/>
    <w:rPr>
      <w:rFonts w:ascii="Franklin Gothic Medium" w:eastAsiaTheme="majorEastAsia" w:hAnsi="Franklin Gothic Medium" w:cstheme="majorBidi"/>
      <w:color w:val="000000" w:themeColor="text1"/>
      <w:sz w:val="32"/>
      <w:szCs w:val="26"/>
    </w:rPr>
  </w:style>
  <w:style w:type="character" w:customStyle="1" w:styleId="Heading3Char">
    <w:name w:val="Heading 3 Char"/>
    <w:basedOn w:val="DefaultParagraphFont"/>
    <w:link w:val="Heading3"/>
    <w:uiPriority w:val="9"/>
    <w:rsid w:val="005103C5"/>
    <w:rPr>
      <w:rFonts w:ascii="Franklin Gothic Medium" w:eastAsiaTheme="majorEastAsia" w:hAnsi="Franklin Gothic Medium" w:cstheme="majorBidi"/>
      <w:sz w:val="24"/>
      <w:szCs w:val="24"/>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Char"/>
    <w:basedOn w:val="Normal"/>
    <w:next w:val="Normal"/>
    <w:link w:val="CaptionChar"/>
    <w:uiPriority w:val="35"/>
    <w:qFormat/>
    <w:rsid w:val="009A06F4"/>
    <w:pPr>
      <w:keepNext/>
      <w:spacing w:before="360" w:after="120" w:line="240" w:lineRule="auto"/>
    </w:pPr>
    <w:rPr>
      <w:rFonts w:ascii="Arial Narrow" w:eastAsia="Times New Roman" w:hAnsi="Arial Narrow" w:cs="Times New Roman"/>
      <w:b/>
      <w:bCs/>
      <w:sz w:val="20"/>
      <w:szCs w:val="20"/>
    </w:rPr>
  </w:style>
  <w:style w:type="table" w:customStyle="1" w:styleId="TableGrid1">
    <w:name w:val="Table Grid1"/>
    <w:basedOn w:val="TableNormal"/>
    <w:next w:val="TableGrid"/>
    <w:locked/>
    <w:rsid w:val="00CA528A"/>
    <w:pPr>
      <w:spacing w:before="40" w:after="40" w:line="240" w:lineRule="auto"/>
    </w:pPr>
    <w:rPr>
      <w:rFonts w:ascii="Arial Narrow" w:eastAsia="Times New Roman" w:hAnsi="Arial Narrow"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val="0"/>
        <w:sz w:val="20"/>
      </w:rPr>
    </w:tblStyle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har Char"/>
    <w:basedOn w:val="DefaultParagraphFont"/>
    <w:link w:val="Caption"/>
    <w:uiPriority w:val="35"/>
    <w:rsid w:val="009A06F4"/>
    <w:rPr>
      <w:rFonts w:ascii="Arial Narrow" w:eastAsia="Times New Roman" w:hAnsi="Arial Narrow" w:cs="Times New Roman"/>
      <w:b/>
      <w:bCs/>
      <w:sz w:val="20"/>
      <w:szCs w:val="20"/>
    </w:rPr>
  </w:style>
  <w:style w:type="table" w:styleId="TableGrid">
    <w:name w:val="Table Grid"/>
    <w:aliases w:val="Summary box,Table Gridbeth,RTI AMCP Table,new style,ASD Table,HealthConsult,Source table_,NICE instructions,Header Table"/>
    <w:basedOn w:val="TableNormal"/>
    <w:uiPriority w:val="59"/>
    <w:rsid w:val="00CA5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Note">
    <w:name w:val="TableFigNote"/>
    <w:basedOn w:val="Normal"/>
    <w:qFormat/>
    <w:rsid w:val="00CA528A"/>
    <w:pPr>
      <w:spacing w:after="360" w:line="240" w:lineRule="auto"/>
      <w:contextualSpacing/>
    </w:pPr>
    <w:rPr>
      <w:sz w:val="18"/>
    </w:rPr>
  </w:style>
  <w:style w:type="paragraph" w:styleId="ListParagraph">
    <w:name w:val="List Paragraph"/>
    <w:aliases w:val="Numbered para,BulletPoints,Footnote,Bullet point,List Paragraph1,List Paragraph11,Recommendation,Bullets,Bullet List,FooterText,Colorful List Accent 1,Colorful List - Accent 11,Colorful List - Accent 111,numbered,Bulletr List Paragraph"/>
    <w:basedOn w:val="Normal"/>
    <w:link w:val="ListParagraphChar"/>
    <w:uiPriority w:val="34"/>
    <w:qFormat/>
    <w:rsid w:val="00724F92"/>
    <w:pPr>
      <w:ind w:left="720"/>
      <w:contextualSpacing/>
    </w:pPr>
  </w:style>
  <w:style w:type="character" w:styleId="Strong">
    <w:name w:val="Strong"/>
    <w:basedOn w:val="DefaultParagraphFont"/>
    <w:uiPriority w:val="22"/>
    <w:qFormat/>
    <w:rsid w:val="00FD17BA"/>
    <w:rPr>
      <w:b/>
      <w:bCs/>
    </w:rPr>
  </w:style>
  <w:style w:type="paragraph" w:customStyle="1" w:styleId="TableName">
    <w:name w:val="TableName"/>
    <w:basedOn w:val="Normal"/>
    <w:qFormat/>
    <w:rsid w:val="00FD17BA"/>
    <w:pPr>
      <w:keepNext/>
      <w:spacing w:after="240" w:line="240" w:lineRule="auto"/>
      <w:ind w:left="1418" w:hanging="1418"/>
    </w:pPr>
    <w:rPr>
      <w:rFonts w:ascii="Franklin Gothic Medium" w:hAnsi="Franklin Gothic Medium"/>
    </w:rPr>
  </w:style>
  <w:style w:type="paragraph" w:customStyle="1" w:styleId="TableFigNoteHangingLast">
    <w:name w:val="TableFigNoteHanging Last"/>
    <w:basedOn w:val="TableFigNote"/>
    <w:qFormat/>
    <w:rsid w:val="00FD17BA"/>
    <w:pPr>
      <w:ind w:left="142" w:hanging="142"/>
    </w:pPr>
  </w:style>
  <w:style w:type="paragraph" w:customStyle="1" w:styleId="TableTextCA">
    <w:name w:val="Table Text CA"/>
    <w:basedOn w:val="TableText"/>
    <w:qFormat/>
    <w:rsid w:val="00FD17BA"/>
    <w:pPr>
      <w:jc w:val="center"/>
    </w:pPr>
  </w:style>
  <w:style w:type="paragraph" w:customStyle="1" w:styleId="TableHeadingCA">
    <w:name w:val="Table Heading CA"/>
    <w:basedOn w:val="TableHeading0"/>
    <w:qFormat/>
    <w:rsid w:val="00FD17BA"/>
    <w:pPr>
      <w:jc w:val="center"/>
    </w:pPr>
  </w:style>
  <w:style w:type="paragraph" w:customStyle="1" w:styleId="TableHeading0">
    <w:name w:val="Table Heading"/>
    <w:basedOn w:val="Normal"/>
    <w:qFormat/>
    <w:rsid w:val="00FD17BA"/>
    <w:pPr>
      <w:spacing w:after="60" w:line="240" w:lineRule="auto"/>
    </w:pPr>
    <w:rPr>
      <w:rFonts w:ascii="Arial Narrow" w:hAnsi="Arial Narrow"/>
      <w:b/>
      <w:sz w:val="20"/>
    </w:rPr>
  </w:style>
  <w:style w:type="paragraph" w:customStyle="1" w:styleId="TableFigNoteLast">
    <w:name w:val="TableFigNote Last"/>
    <w:basedOn w:val="TableFigNote"/>
    <w:qFormat/>
    <w:rsid w:val="00FD17BA"/>
  </w:style>
  <w:style w:type="character" w:customStyle="1" w:styleId="Heading4Char">
    <w:name w:val="Heading 4 Char"/>
    <w:basedOn w:val="DefaultParagraphFont"/>
    <w:link w:val="Heading4"/>
    <w:uiPriority w:val="9"/>
    <w:rsid w:val="00A776A4"/>
    <w:rPr>
      <w:rFonts w:ascii="Franklin Gothic Medium" w:eastAsiaTheme="majorEastAsia" w:hAnsi="Franklin Gothic Medium" w:cstheme="majorBidi"/>
      <w:i/>
      <w:sz w:val="24"/>
      <w:szCs w:val="24"/>
    </w:rPr>
  </w:style>
  <w:style w:type="paragraph" w:customStyle="1" w:styleId="2ChapterText">
    <w:name w:val="2ChapterText"/>
    <w:basedOn w:val="Normal"/>
    <w:qFormat/>
    <w:rsid w:val="00004F7F"/>
    <w:rPr>
      <w:shd w:val="clear" w:color="auto" w:fill="BDD6EE" w:themeFill="accent1" w:themeFillTint="66"/>
    </w:rPr>
  </w:style>
  <w:style w:type="paragraph" w:customStyle="1" w:styleId="1ExplanatoryText">
    <w:name w:val="1ExplanatoryText"/>
    <w:basedOn w:val="Normal"/>
    <w:qFormat/>
    <w:rsid w:val="00225833"/>
    <w:pPr>
      <w:shd w:val="clear" w:color="auto" w:fill="C5E0B3" w:themeFill="accent6" w:themeFillTint="66"/>
    </w:pPr>
  </w:style>
  <w:style w:type="character" w:styleId="Hyperlink">
    <w:name w:val="Hyperlink"/>
    <w:basedOn w:val="DefaultParagraphFont"/>
    <w:uiPriority w:val="99"/>
    <w:unhideWhenUsed/>
    <w:rsid w:val="00997BA8"/>
    <w:rPr>
      <w:color w:val="0070C0"/>
      <w:u w:val="single"/>
    </w:rPr>
  </w:style>
  <w:style w:type="paragraph" w:styleId="TOC1">
    <w:name w:val="toc 1"/>
    <w:basedOn w:val="Normal"/>
    <w:next w:val="Normal"/>
    <w:autoRedefine/>
    <w:uiPriority w:val="39"/>
    <w:unhideWhenUsed/>
    <w:rsid w:val="00C91651"/>
    <w:pPr>
      <w:tabs>
        <w:tab w:val="left" w:pos="1100"/>
        <w:tab w:val="left" w:pos="1531"/>
        <w:tab w:val="right" w:leader="dot" w:pos="9010"/>
      </w:tabs>
      <w:spacing w:after="100" w:line="240" w:lineRule="auto"/>
    </w:pPr>
    <w:rPr>
      <w:rFonts w:asciiTheme="minorHAnsi" w:hAnsiTheme="minorHAnsi"/>
      <w:b/>
    </w:rPr>
  </w:style>
  <w:style w:type="paragraph" w:styleId="TOC2">
    <w:name w:val="toc 2"/>
    <w:basedOn w:val="Normal"/>
    <w:next w:val="Normal"/>
    <w:autoRedefine/>
    <w:uiPriority w:val="39"/>
    <w:unhideWhenUsed/>
    <w:rsid w:val="00944087"/>
    <w:pPr>
      <w:tabs>
        <w:tab w:val="left" w:pos="1089"/>
        <w:tab w:val="right" w:leader="dot" w:pos="9010"/>
      </w:tabs>
      <w:spacing w:after="100" w:line="240" w:lineRule="auto"/>
    </w:pPr>
    <w:rPr>
      <w:rFonts w:asciiTheme="minorHAnsi" w:hAnsiTheme="minorHAnsi"/>
    </w:rPr>
  </w:style>
  <w:style w:type="paragraph" w:styleId="TOC3">
    <w:name w:val="toc 3"/>
    <w:basedOn w:val="Normal"/>
    <w:next w:val="Normal"/>
    <w:autoRedefine/>
    <w:uiPriority w:val="39"/>
    <w:unhideWhenUsed/>
    <w:rsid w:val="0088445B"/>
    <w:pPr>
      <w:spacing w:after="100" w:line="240" w:lineRule="auto"/>
      <w:ind w:left="720"/>
    </w:pPr>
    <w:rPr>
      <w:rFonts w:asciiTheme="minorHAnsi" w:hAnsiTheme="minorHAnsi"/>
    </w:rPr>
  </w:style>
  <w:style w:type="character" w:styleId="FollowedHyperlink">
    <w:name w:val="FollowedHyperlink"/>
    <w:basedOn w:val="DefaultParagraphFont"/>
    <w:uiPriority w:val="99"/>
    <w:semiHidden/>
    <w:unhideWhenUsed/>
    <w:rsid w:val="0088445B"/>
    <w:rPr>
      <w:color w:val="954F72" w:themeColor="followedHyperlink"/>
      <w:u w:val="single"/>
    </w:rPr>
  </w:style>
  <w:style w:type="paragraph" w:styleId="TOC9">
    <w:name w:val="toc 9"/>
    <w:basedOn w:val="Normal"/>
    <w:next w:val="Normal"/>
    <w:autoRedefine/>
    <w:uiPriority w:val="39"/>
    <w:unhideWhenUsed/>
    <w:rsid w:val="00AF3D39"/>
    <w:pPr>
      <w:spacing w:after="100"/>
      <w:ind w:left="1760"/>
    </w:pPr>
  </w:style>
  <w:style w:type="paragraph" w:styleId="Date">
    <w:name w:val="Date"/>
    <w:basedOn w:val="Normal"/>
    <w:next w:val="Normal"/>
    <w:link w:val="DateChar"/>
    <w:rsid w:val="000870B6"/>
    <w:pPr>
      <w:spacing w:before="1134" w:after="800"/>
      <w:ind w:left="4536"/>
    </w:pPr>
    <w:rPr>
      <w:rFonts w:ascii="Arial" w:eastAsia="Times New Roman" w:hAnsi="Arial" w:cs="Tahoma"/>
      <w:b/>
      <w:sz w:val="36"/>
      <w:lang w:eastAsia="en-AU"/>
    </w:rPr>
  </w:style>
  <w:style w:type="character" w:customStyle="1" w:styleId="DateChar">
    <w:name w:val="Date Char"/>
    <w:basedOn w:val="DefaultParagraphFont"/>
    <w:link w:val="Date"/>
    <w:rsid w:val="000870B6"/>
    <w:rPr>
      <w:rFonts w:ascii="Arial" w:eastAsia="Times New Roman" w:hAnsi="Arial" w:cs="Tahoma"/>
      <w:b/>
      <w:sz w:val="36"/>
      <w:lang w:eastAsia="en-AU"/>
    </w:rPr>
  </w:style>
  <w:style w:type="paragraph" w:customStyle="1" w:styleId="PublicationTitle">
    <w:name w:val="PublicationTitle"/>
    <w:basedOn w:val="Normal"/>
    <w:rsid w:val="000870B6"/>
    <w:pPr>
      <w:tabs>
        <w:tab w:val="left" w:pos="4536"/>
      </w:tabs>
      <w:spacing w:before="4536" w:after="800" w:line="480" w:lineRule="exact"/>
      <w:ind w:left="4536" w:right="113"/>
      <w:jc w:val="right"/>
    </w:pPr>
    <w:rPr>
      <w:rFonts w:ascii="Arial" w:eastAsia="Times New Roman" w:hAnsi="Arial" w:cs="Tahoma"/>
      <w:b/>
      <w:i/>
      <w:sz w:val="44"/>
      <w:lang w:eastAsia="en-AU"/>
    </w:rPr>
  </w:style>
  <w:style w:type="paragraph" w:customStyle="1" w:styleId="Sub-title">
    <w:name w:val="Sub-title"/>
    <w:basedOn w:val="Normal"/>
    <w:locked/>
    <w:rsid w:val="00401DBF"/>
    <w:pPr>
      <w:spacing w:before="1701"/>
      <w:ind w:left="4536"/>
    </w:pPr>
    <w:rPr>
      <w:rFonts w:ascii="Arial" w:eastAsia="Times New Roman" w:hAnsi="Arial" w:cs="Tahoma"/>
      <w:b/>
      <w:sz w:val="32"/>
      <w:lang w:eastAsia="en-AU"/>
    </w:rPr>
  </w:style>
  <w:style w:type="paragraph" w:customStyle="1" w:styleId="Nnumberedlist">
    <w:name w:val="Nnumbered list"/>
    <w:basedOn w:val="Normal"/>
    <w:rsid w:val="00AF3D39"/>
    <w:pPr>
      <w:numPr>
        <w:numId w:val="5"/>
      </w:numPr>
      <w:jc w:val="both"/>
    </w:pPr>
    <w:rPr>
      <w:rFonts w:ascii="Calibri" w:eastAsia="Times New Roman" w:hAnsi="Calibri" w:cs="Tahoma"/>
      <w:lang w:eastAsia="en-AU"/>
    </w:rPr>
  </w:style>
  <w:style w:type="paragraph" w:styleId="TOCHeading">
    <w:name w:val="TOC Heading"/>
    <w:basedOn w:val="Heading1"/>
    <w:next w:val="Normal"/>
    <w:uiPriority w:val="39"/>
    <w:unhideWhenUsed/>
    <w:qFormat/>
    <w:rsid w:val="00DE7099"/>
    <w:pPr>
      <w:numPr>
        <w:numId w:val="0"/>
      </w:numPr>
      <w:pBdr>
        <w:bottom w:val="none" w:sz="0" w:space="0" w:color="auto"/>
      </w:pBdr>
      <w:spacing w:before="240" w:after="0" w:line="259" w:lineRule="auto"/>
      <w:outlineLvl w:val="9"/>
    </w:pPr>
    <w:rPr>
      <w:rFonts w:asciiTheme="majorHAnsi" w:hAnsiTheme="majorHAnsi"/>
      <w:color w:val="2E74B5" w:themeColor="accent1" w:themeShade="BF"/>
      <w:sz w:val="32"/>
      <w:lang w:val="en-US"/>
    </w:rPr>
  </w:style>
  <w:style w:type="paragraph" w:styleId="TOC4">
    <w:name w:val="toc 4"/>
    <w:basedOn w:val="Normal"/>
    <w:next w:val="Normal"/>
    <w:autoRedefine/>
    <w:uiPriority w:val="39"/>
    <w:unhideWhenUsed/>
    <w:rsid w:val="00DE7099"/>
    <w:pPr>
      <w:spacing w:after="100"/>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DE7099"/>
    <w:pPr>
      <w:spacing w:after="100"/>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DE7099"/>
    <w:pPr>
      <w:spacing w:after="100"/>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DE7099"/>
    <w:pPr>
      <w:spacing w:after="100"/>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DE7099"/>
    <w:pPr>
      <w:spacing w:after="100"/>
      <w:ind w:left="1540"/>
    </w:pPr>
    <w:rPr>
      <w:rFonts w:asciiTheme="minorHAnsi" w:eastAsiaTheme="minorEastAsia" w:hAnsiTheme="minorHAnsi"/>
      <w:lang w:eastAsia="en-AU"/>
    </w:rPr>
  </w:style>
  <w:style w:type="paragraph" w:customStyle="1" w:styleId="In-tableHeading">
    <w:name w:val="In-table Heading"/>
    <w:qFormat/>
    <w:rsid w:val="000472D4"/>
    <w:pPr>
      <w:keepNext/>
      <w:spacing w:after="0" w:line="240" w:lineRule="auto"/>
    </w:pPr>
    <w:rPr>
      <w:rFonts w:ascii="Arial Narrow" w:eastAsiaTheme="majorEastAsia" w:hAnsi="Arial Narrow" w:cs="Times New Roman"/>
      <w:b/>
      <w:sz w:val="20"/>
      <w:szCs w:val="24"/>
      <w:lang w:val="en-US" w:eastAsia="en-AU"/>
    </w:rPr>
  </w:style>
  <w:style w:type="paragraph" w:customStyle="1" w:styleId="TableFigureFooter">
    <w:name w:val="Table/Figure Footer"/>
    <w:basedOn w:val="Normal"/>
    <w:link w:val="TableFigureFooterChar"/>
    <w:qFormat/>
    <w:rsid w:val="009A06F4"/>
    <w:pPr>
      <w:tabs>
        <w:tab w:val="left" w:pos="284"/>
      </w:tabs>
      <w:spacing w:after="360" w:line="240" w:lineRule="auto"/>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9A06F4"/>
    <w:rPr>
      <w:rFonts w:ascii="Arial Narrow" w:eastAsia="Times New Roman" w:hAnsi="Arial Narrow" w:cs="Arial"/>
      <w:snapToGrid w:val="0"/>
      <w:sz w:val="18"/>
      <w:lang w:eastAsia="en-AU"/>
    </w:rPr>
  </w:style>
  <w:style w:type="character" w:styleId="Emphasis">
    <w:name w:val="Emphasis"/>
    <w:uiPriority w:val="20"/>
    <w:qFormat/>
    <w:rsid w:val="00566298"/>
    <w:rPr>
      <w:i/>
      <w:iCs/>
    </w:rPr>
  </w:style>
  <w:style w:type="paragraph" w:styleId="Header">
    <w:name w:val="header"/>
    <w:basedOn w:val="Normal"/>
    <w:link w:val="HeaderChar"/>
    <w:uiPriority w:val="99"/>
    <w:unhideWhenUsed/>
    <w:rsid w:val="00B62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DF2"/>
    <w:rPr>
      <w:rFonts w:ascii="Franklin Gothic Book" w:hAnsi="Franklin Gothic Book"/>
    </w:rPr>
  </w:style>
  <w:style w:type="paragraph" w:styleId="Footer">
    <w:name w:val="footer"/>
    <w:basedOn w:val="Normal"/>
    <w:link w:val="FooterChar"/>
    <w:uiPriority w:val="99"/>
    <w:unhideWhenUsed/>
    <w:rsid w:val="00B62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DF2"/>
    <w:rPr>
      <w:rFonts w:ascii="Franklin Gothic Book" w:hAnsi="Franklin Gothic Book"/>
    </w:rPr>
  </w:style>
  <w:style w:type="paragraph" w:customStyle="1" w:styleId="Tablenotes">
    <w:name w:val="Tablenotes"/>
    <w:basedOn w:val="Normal"/>
    <w:link w:val="TablenotesChar"/>
    <w:qFormat/>
    <w:rsid w:val="00242F4E"/>
    <w:pPr>
      <w:widowControl w:val="0"/>
      <w:spacing w:after="120" w:line="240" w:lineRule="auto"/>
      <w:contextualSpacing/>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242F4E"/>
    <w:rPr>
      <w:rFonts w:ascii="Arial Narrow" w:eastAsia="Times New Roman" w:hAnsi="Arial Narrow" w:cs="Arial"/>
      <w:snapToGrid w:val="0"/>
      <w:sz w:val="18"/>
      <w:szCs w:val="20"/>
    </w:rPr>
  </w:style>
  <w:style w:type="character" w:customStyle="1" w:styleId="ListParagraphChar">
    <w:name w:val="List Paragraph Char"/>
    <w:aliases w:val="Numbered para Char,BulletPoints Char,Footnote Char,Bullet point Char,List Paragraph1 Char,List Paragraph11 Char,Recommendation Char,Bullets Char,Bullet List Char,FooterText Char,Colorful List Accent 1 Char,numbered Char"/>
    <w:basedOn w:val="DefaultParagraphFont"/>
    <w:link w:val="ListParagraph"/>
    <w:uiPriority w:val="34"/>
    <w:rsid w:val="00A454B3"/>
    <w:rPr>
      <w:rFonts w:ascii="Franklin Gothic Book" w:hAnsi="Franklin Gothic Book"/>
    </w:rPr>
  </w:style>
  <w:style w:type="table" w:customStyle="1" w:styleId="TableGridLight1">
    <w:name w:val="Table Grid Light1"/>
    <w:basedOn w:val="TableNormal"/>
    <w:uiPriority w:val="40"/>
    <w:rsid w:val="00BA59FB"/>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Bullet">
    <w:name w:val="Bullet"/>
    <w:basedOn w:val="Normal"/>
    <w:qFormat/>
    <w:rsid w:val="00BA59FB"/>
    <w:pPr>
      <w:numPr>
        <w:numId w:val="6"/>
      </w:numPr>
      <w:spacing w:after="120" w:line="240" w:lineRule="auto"/>
    </w:pPr>
    <w:rPr>
      <w:rFonts w:asciiTheme="minorHAnsi" w:hAnsiTheme="minorHAnsi"/>
    </w:rPr>
  </w:style>
  <w:style w:type="paragraph" w:customStyle="1" w:styleId="TableFigureHeading">
    <w:name w:val="Table/Figure Heading"/>
    <w:next w:val="In-tableHeading"/>
    <w:link w:val="TableFigureHeadingChar"/>
    <w:qFormat/>
    <w:rsid w:val="00F257B5"/>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F257B5"/>
    <w:rPr>
      <w:rFonts w:ascii="Arial Narrow" w:eastAsiaTheme="majorEastAsia" w:hAnsi="Arial Narrow" w:cstheme="majorBidi"/>
      <w:b/>
      <w:bCs/>
      <w:sz w:val="20"/>
      <w:szCs w:val="24"/>
      <w:lang w:eastAsia="en-AU"/>
    </w:rPr>
  </w:style>
  <w:style w:type="paragraph" w:customStyle="1" w:styleId="Tabletext0">
    <w:name w:val="Table text"/>
    <w:basedOn w:val="Normal"/>
    <w:link w:val="TabletextChar0"/>
    <w:qFormat/>
    <w:rsid w:val="001B2CD4"/>
    <w:pPr>
      <w:spacing w:before="40" w:after="40" w:line="240" w:lineRule="auto"/>
      <w:jc w:val="both"/>
    </w:pPr>
    <w:rPr>
      <w:rFonts w:ascii="Arial Narrow" w:eastAsia="Times New Roman" w:hAnsi="Arial Narrow" w:cs="Tahoma"/>
      <w:sz w:val="20"/>
      <w:szCs w:val="20"/>
      <w:lang w:eastAsia="en-AU"/>
    </w:rPr>
  </w:style>
  <w:style w:type="character" w:customStyle="1" w:styleId="TabletextChar0">
    <w:name w:val="Table text Char"/>
    <w:link w:val="Tabletext0"/>
    <w:rsid w:val="001B2CD4"/>
    <w:rPr>
      <w:rFonts w:ascii="Arial Narrow" w:eastAsia="Times New Roman" w:hAnsi="Arial Narrow" w:cs="Tahoma"/>
      <w:sz w:val="20"/>
      <w:szCs w:val="20"/>
      <w:lang w:eastAsia="en-AU"/>
    </w:rPr>
  </w:style>
  <w:style w:type="paragraph" w:customStyle="1" w:styleId="Tablenotes0">
    <w:name w:val="Table notes"/>
    <w:basedOn w:val="Normal"/>
    <w:link w:val="TablenotesChar0"/>
    <w:qFormat/>
    <w:rsid w:val="001B2CD4"/>
    <w:pPr>
      <w:spacing w:after="240"/>
      <w:contextualSpacing/>
      <w:jc w:val="both"/>
    </w:pPr>
    <w:rPr>
      <w:rFonts w:ascii="Arial Narrow" w:hAnsi="Arial Narrow" w:cs="Arial"/>
      <w:sz w:val="18"/>
    </w:rPr>
  </w:style>
  <w:style w:type="character" w:customStyle="1" w:styleId="TablenotesChar0">
    <w:name w:val="Table notes Char"/>
    <w:basedOn w:val="DefaultParagraphFont"/>
    <w:link w:val="Tablenotes0"/>
    <w:rsid w:val="001B2CD4"/>
    <w:rPr>
      <w:rFonts w:ascii="Arial Narrow" w:hAnsi="Arial Narrow" w:cs="Arial"/>
      <w:sz w:val="18"/>
    </w:rPr>
  </w:style>
  <w:style w:type="numbering" w:customStyle="1" w:styleId="ESSectionheading-numbered">
    <w:name w:val="ES. Section heading - numbered"/>
    <w:uiPriority w:val="99"/>
    <w:rsid w:val="002A4084"/>
    <w:pPr>
      <w:numPr>
        <w:numId w:val="7"/>
      </w:numPr>
    </w:pPr>
  </w:style>
  <w:style w:type="paragraph" w:customStyle="1" w:styleId="2-SectionHeading">
    <w:name w:val="2-Section Heading"/>
    <w:qFormat/>
    <w:rsid w:val="005131D3"/>
    <w:pPr>
      <w:keepNext/>
      <w:numPr>
        <w:numId w:val="8"/>
      </w:numPr>
      <w:spacing w:before="240" w:after="120" w:line="240" w:lineRule="auto"/>
      <w:outlineLvl w:val="0"/>
    </w:pPr>
    <w:rPr>
      <w:rFonts w:eastAsia="Times New Roman" w:cs="Arial"/>
      <w:b/>
      <w:snapToGrid w:val="0"/>
      <w:sz w:val="32"/>
      <w:szCs w:val="32"/>
      <w:lang w:eastAsia="en-AU"/>
    </w:rPr>
  </w:style>
  <w:style w:type="paragraph" w:customStyle="1" w:styleId="3-BodyText">
    <w:name w:val="3-Body Text"/>
    <w:basedOn w:val="ListParagraph"/>
    <w:qFormat/>
    <w:rsid w:val="005131D3"/>
    <w:pPr>
      <w:numPr>
        <w:ilvl w:val="1"/>
        <w:numId w:val="8"/>
      </w:numPr>
      <w:spacing w:after="120" w:line="240" w:lineRule="auto"/>
      <w:contextualSpacing w:val="0"/>
      <w:jc w:val="both"/>
    </w:pPr>
    <w:rPr>
      <w:rFonts w:asciiTheme="minorHAnsi" w:eastAsia="Times New Roman" w:hAnsiTheme="minorHAnsi" w:cs="Arial"/>
      <w:snapToGrid w:val="0"/>
      <w:sz w:val="24"/>
      <w:szCs w:val="24"/>
      <w:lang w:eastAsia="en-AU"/>
    </w:rPr>
  </w:style>
  <w:style w:type="paragraph" w:customStyle="1" w:styleId="BoxName">
    <w:name w:val="Box Name"/>
    <w:basedOn w:val="Normal"/>
    <w:qFormat/>
    <w:rsid w:val="002B667C"/>
    <w:pPr>
      <w:pBdr>
        <w:top w:val="single" w:sz="4" w:space="4" w:color="auto"/>
        <w:left w:val="single" w:sz="4" w:space="4" w:color="auto"/>
        <w:bottom w:val="single" w:sz="4" w:space="4" w:color="auto"/>
        <w:right w:val="single" w:sz="4" w:space="4" w:color="auto"/>
      </w:pBdr>
      <w:spacing w:after="120" w:line="240" w:lineRule="auto"/>
    </w:pPr>
    <w:rPr>
      <w:rFonts w:ascii="Franklin Gothic Medium" w:hAnsi="Franklin Gothic Medium"/>
      <w:sz w:val="21"/>
    </w:rPr>
  </w:style>
  <w:style w:type="character" w:customStyle="1" w:styleId="InstructionBulletpointChar">
    <w:name w:val="Instruction Bullet point Char"/>
    <w:basedOn w:val="DefaultParagraphFont"/>
    <w:link w:val="InstructionBulletpoint"/>
    <w:uiPriority w:val="3"/>
    <w:locked/>
    <w:rsid w:val="00107DCD"/>
    <w:rPr>
      <w:rFonts w:ascii="Calibri" w:hAnsi="Calibri" w:cs="Calibri"/>
      <w:color w:val="0070C0"/>
      <w:sz w:val="24"/>
    </w:rPr>
  </w:style>
  <w:style w:type="paragraph" w:customStyle="1" w:styleId="InstructionBulletpoint">
    <w:name w:val="Instruction Bullet point"/>
    <w:basedOn w:val="Normal"/>
    <w:link w:val="InstructionBulletpointChar"/>
    <w:uiPriority w:val="3"/>
    <w:qFormat/>
    <w:rsid w:val="00107DCD"/>
    <w:pPr>
      <w:numPr>
        <w:numId w:val="9"/>
      </w:numPr>
      <w:spacing w:after="120" w:line="240" w:lineRule="auto"/>
      <w:ind w:left="714" w:hanging="357"/>
    </w:pPr>
    <w:rPr>
      <w:rFonts w:ascii="Calibri" w:hAnsi="Calibri" w:cs="Calibri"/>
      <w:color w:val="0070C0"/>
      <w:sz w:val="24"/>
    </w:rPr>
  </w:style>
  <w:style w:type="character" w:customStyle="1" w:styleId="TableFooterChar">
    <w:name w:val="Table Footer Char"/>
    <w:link w:val="TableFooter"/>
    <w:locked/>
    <w:rsid w:val="007B0880"/>
    <w:rPr>
      <w:rFonts w:ascii="Arial Narrow" w:eastAsia="Times New Roman" w:hAnsi="Arial Narrow" w:cs="Arial"/>
      <w:sz w:val="18"/>
      <w:szCs w:val="20"/>
    </w:rPr>
  </w:style>
  <w:style w:type="paragraph" w:customStyle="1" w:styleId="TableFooter">
    <w:name w:val="Table Footer"/>
    <w:basedOn w:val="Normal"/>
    <w:link w:val="TableFooterChar"/>
    <w:qFormat/>
    <w:rsid w:val="007B0880"/>
    <w:pPr>
      <w:widowControl w:val="0"/>
      <w:snapToGrid w:val="0"/>
      <w:spacing w:after="240" w:line="240" w:lineRule="auto"/>
      <w:contextualSpacing/>
      <w:jc w:val="both"/>
    </w:pPr>
    <w:rPr>
      <w:rFonts w:ascii="Arial Narrow" w:eastAsia="Times New Roman" w:hAnsi="Arial Narrow" w:cs="Arial"/>
      <w:sz w:val="18"/>
      <w:szCs w:val="20"/>
    </w:rPr>
  </w:style>
  <w:style w:type="table" w:customStyle="1" w:styleId="PBACTableStyle">
    <w:name w:val="PBAC Table Style"/>
    <w:basedOn w:val="TableGrid10"/>
    <w:uiPriority w:val="99"/>
    <w:rsid w:val="007B0880"/>
    <w:pPr>
      <w:widowControl w:val="0"/>
      <w:spacing w:before="120" w:after="0" w:line="240" w:lineRule="auto"/>
      <w:contextualSpacing/>
      <w:jc w:val="center"/>
    </w:pPr>
    <w:rPr>
      <w:rFonts w:ascii="Arial Narrow" w:hAnsi="Arial Narrow"/>
      <w:color w:val="000000" w:themeColor="text1"/>
      <w:sz w:val="20"/>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100" w:beforeAutospacing="1" w:afterLines="0" w:after="100" w:afterAutospacing="1" w:line="240" w:lineRule="auto"/>
        <w:ind w:leftChars="0" w:left="0" w:rightChars="0" w:right="0" w:firstLineChars="0" w:firstLine="0"/>
        <w:contextualSpacing/>
        <w:jc w:val="center"/>
      </w:pPr>
      <w:rPr>
        <w:rFonts w:ascii="Arial Narrow" w:hAnsi="Arial Narrow" w:hint="default"/>
        <w:b/>
        <w:sz w:val="20"/>
        <w:szCs w:val="20"/>
      </w:rPr>
    </w:tblStylePr>
    <w:tblStylePr w:type="lastRow">
      <w:rPr>
        <w:i/>
        <w:iCs/>
      </w:rPr>
      <w:tblPr/>
      <w:tcPr>
        <w:tcBorders>
          <w:tl2br w:val="none" w:sz="0" w:space="0" w:color="auto"/>
          <w:tr2bl w:val="none" w:sz="0" w:space="0" w:color="auto"/>
        </w:tcBorders>
      </w:tcPr>
    </w:tblStylePr>
    <w:tblStylePr w:type="firstCol">
      <w:pPr>
        <w:wordWrap/>
        <w:spacing w:beforeLines="0" w:before="100" w:beforeAutospacing="1" w:afterLines="0" w:after="100" w:afterAutospacing="1" w:line="240" w:lineRule="auto"/>
        <w:ind w:leftChars="0" w:left="0" w:rightChars="0" w:right="0"/>
        <w:contextualSpacing/>
        <w:jc w:val="left"/>
      </w:pPr>
      <w:rPr>
        <w:rFonts w:ascii="Arial Narrow" w:hAnsi="Arial Narrow" w:hint="default"/>
        <w:sz w:val="20"/>
        <w:szCs w:val="20"/>
      </w:rPr>
    </w:tblStylePr>
    <w:tblStylePr w:type="lastCol">
      <w:pPr>
        <w:wordWrap/>
        <w:spacing w:beforeLines="0" w:before="100" w:beforeAutospacing="1" w:afterLines="0" w:after="100" w:afterAutospacing="1" w:line="240" w:lineRule="auto"/>
        <w:ind w:leftChars="0" w:left="0" w:rightChars="0" w:right="0" w:firstLineChars="0" w:firstLine="0"/>
        <w:contextualSpacing/>
      </w:pPr>
      <w:rPr>
        <w:rFonts w:ascii="Arial Narrow" w:hAnsi="Arial Narrow" w:hint="default"/>
        <w:i/>
        <w:iCs/>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TableGrid10">
    <w:name w:val="Table Grid 1"/>
    <w:basedOn w:val="TableNormal"/>
    <w:uiPriority w:val="99"/>
    <w:semiHidden/>
    <w:unhideWhenUsed/>
    <w:rsid w:val="007B088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MSACESParagraphChar">
    <w:name w:val="MSAC ES Paragraph Char"/>
    <w:basedOn w:val="DefaultParagraphFont"/>
    <w:link w:val="MSACESParagraph"/>
    <w:uiPriority w:val="1"/>
    <w:locked/>
    <w:rsid w:val="000B720C"/>
    <w:rPr>
      <w:rFonts w:ascii="Times New Roman" w:hAnsi="Times New Roman" w:cs="Times New Roman"/>
      <w:sz w:val="24"/>
    </w:rPr>
  </w:style>
  <w:style w:type="paragraph" w:customStyle="1" w:styleId="MSACESParagraph">
    <w:name w:val="MSAC ES Paragraph"/>
    <w:link w:val="MSACESParagraphChar"/>
    <w:uiPriority w:val="1"/>
    <w:qFormat/>
    <w:rsid w:val="000B720C"/>
    <w:pPr>
      <w:spacing w:after="240" w:line="240" w:lineRule="auto"/>
    </w:pPr>
    <w:rPr>
      <w:rFonts w:ascii="Times New Roman" w:hAnsi="Times New Roman" w:cs="Times New Roman"/>
      <w:sz w:val="24"/>
    </w:rPr>
  </w:style>
  <w:style w:type="paragraph" w:styleId="FootnoteText">
    <w:name w:val="footnote text"/>
    <w:basedOn w:val="Normal"/>
    <w:link w:val="FootnoteTextChar"/>
    <w:uiPriority w:val="99"/>
    <w:unhideWhenUsed/>
    <w:rsid w:val="00804632"/>
    <w:pPr>
      <w:spacing w:after="0" w:line="240" w:lineRule="auto"/>
    </w:pPr>
    <w:rPr>
      <w:rFonts w:asciiTheme="minorHAnsi" w:hAnsiTheme="minorHAnsi"/>
      <w:sz w:val="18"/>
      <w:szCs w:val="20"/>
    </w:rPr>
  </w:style>
  <w:style w:type="character" w:customStyle="1" w:styleId="FootnoteTextChar">
    <w:name w:val="Footnote Text Char"/>
    <w:basedOn w:val="DefaultParagraphFont"/>
    <w:link w:val="FootnoteText"/>
    <w:uiPriority w:val="99"/>
    <w:rsid w:val="00804632"/>
    <w:rPr>
      <w:sz w:val="18"/>
      <w:szCs w:val="20"/>
    </w:rPr>
  </w:style>
  <w:style w:type="character" w:styleId="FootnoteReference">
    <w:name w:val="footnote reference"/>
    <w:basedOn w:val="DefaultParagraphFont"/>
    <w:unhideWhenUsed/>
    <w:rsid w:val="00804632"/>
    <w:rPr>
      <w:vertAlign w:val="superscript"/>
    </w:rPr>
  </w:style>
  <w:style w:type="paragraph" w:customStyle="1" w:styleId="TableFigNoteHanging">
    <w:name w:val="TableFigNoteHanging"/>
    <w:basedOn w:val="TableFigNoteHangingLast"/>
    <w:qFormat/>
    <w:rsid w:val="00804632"/>
    <w:pPr>
      <w:spacing w:after="0"/>
      <w:contextualSpacing w:val="0"/>
    </w:pPr>
    <w:rPr>
      <w:rFonts w:asciiTheme="minorHAnsi" w:hAnsiTheme="minorHAnsi"/>
    </w:rPr>
  </w:style>
  <w:style w:type="table" w:customStyle="1" w:styleId="TableGrid2">
    <w:name w:val="Table Grid2"/>
    <w:basedOn w:val="TableNormal"/>
    <w:next w:val="TableGrid"/>
    <w:uiPriority w:val="59"/>
    <w:rsid w:val="00804632"/>
    <w:pPr>
      <w:spacing w:after="240" w:line="240" w:lineRule="auto"/>
      <w:ind w:left="72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boxheading">
    <w:name w:val="Summary box heading"/>
    <w:basedOn w:val="Normal"/>
    <w:rsid w:val="00666A58"/>
    <w:pPr>
      <w:spacing w:after="100" w:afterAutospacing="1"/>
      <w:jc w:val="both"/>
    </w:pPr>
    <w:rPr>
      <w:rFonts w:ascii="Arial Narrow" w:eastAsia="Times New Roman" w:hAnsi="Arial Narrow" w:cs="Tahoma"/>
      <w:b/>
      <w:lang w:eastAsia="en-AU"/>
    </w:rPr>
  </w:style>
  <w:style w:type="paragraph" w:customStyle="1" w:styleId="TableText1">
    <w:name w:val="TableText"/>
    <w:basedOn w:val="Normal"/>
    <w:link w:val="TableTextChar1"/>
    <w:rsid w:val="001C2A48"/>
    <w:pPr>
      <w:keepNext/>
      <w:spacing w:before="40" w:after="40"/>
      <w:jc w:val="both"/>
    </w:pPr>
    <w:rPr>
      <w:rFonts w:ascii="Arial Narrow" w:eastAsia="Times New Roman" w:hAnsi="Arial Narrow" w:cs="Tahoma"/>
      <w:sz w:val="18"/>
      <w:lang w:eastAsia="en-AU"/>
    </w:rPr>
  </w:style>
  <w:style w:type="character" w:customStyle="1" w:styleId="TableTextChar1">
    <w:name w:val="TableText Char"/>
    <w:link w:val="TableText1"/>
    <w:rsid w:val="001C2A48"/>
    <w:rPr>
      <w:rFonts w:ascii="Arial Narrow" w:eastAsia="Times New Roman" w:hAnsi="Arial Narrow" w:cs="Tahoma"/>
      <w:sz w:val="18"/>
      <w:lang w:eastAsia="en-AU"/>
    </w:rPr>
  </w:style>
  <w:style w:type="paragraph" w:customStyle="1" w:styleId="References">
    <w:name w:val="References"/>
    <w:basedOn w:val="Normal"/>
    <w:rsid w:val="001C2A48"/>
    <w:pPr>
      <w:keepLines/>
      <w:spacing w:after="240" w:line="312" w:lineRule="auto"/>
      <w:ind w:left="1440" w:hanging="720"/>
    </w:pPr>
    <w:rPr>
      <w:rFonts w:ascii="Calibri" w:eastAsia="Times New Roman" w:hAnsi="Calibri" w:cs="Tahoma"/>
      <w:lang w:eastAsia="en-AU"/>
    </w:rPr>
  </w:style>
  <w:style w:type="paragraph" w:styleId="Title">
    <w:name w:val="Title"/>
    <w:basedOn w:val="Normal"/>
    <w:next w:val="Normal"/>
    <w:link w:val="TitleChar"/>
    <w:qFormat/>
    <w:rsid w:val="00772829"/>
    <w:pPr>
      <w:spacing w:before="480" w:after="240" w:line="240" w:lineRule="auto"/>
      <w:jc w:val="center"/>
    </w:pPr>
    <w:rPr>
      <w:rFonts w:ascii="Arial" w:eastAsia="Times New Roman" w:hAnsi="Arial" w:cs="Arial"/>
      <w:b/>
      <w:bCs/>
      <w:color w:val="000080"/>
      <w:sz w:val="36"/>
      <w:szCs w:val="36"/>
      <w:lang w:eastAsia="en-AU"/>
    </w:rPr>
  </w:style>
  <w:style w:type="character" w:customStyle="1" w:styleId="TitleChar">
    <w:name w:val="Title Char"/>
    <w:basedOn w:val="DefaultParagraphFont"/>
    <w:link w:val="Title"/>
    <w:rsid w:val="00772829"/>
    <w:rPr>
      <w:rFonts w:ascii="Arial" w:eastAsia="Times New Roman" w:hAnsi="Arial" w:cs="Arial"/>
      <w:b/>
      <w:bCs/>
      <w:color w:val="000080"/>
      <w:sz w:val="36"/>
      <w:szCs w:val="36"/>
      <w:lang w:eastAsia="en-AU"/>
    </w:rPr>
  </w:style>
  <w:style w:type="paragraph" w:styleId="Subtitle">
    <w:name w:val="Subtitle"/>
    <w:basedOn w:val="Normal"/>
    <w:next w:val="Normal"/>
    <w:link w:val="SubtitleChar"/>
    <w:qFormat/>
    <w:rsid w:val="00772829"/>
    <w:pPr>
      <w:spacing w:after="240" w:line="240" w:lineRule="auto"/>
      <w:jc w:val="center"/>
    </w:pPr>
    <w:rPr>
      <w:rFonts w:ascii="Arial" w:eastAsia="Times New Roman" w:hAnsi="Arial" w:cs="Arial"/>
      <w:b/>
      <w:bCs/>
      <w:i/>
      <w:color w:val="000080"/>
      <w:sz w:val="28"/>
      <w:szCs w:val="28"/>
      <w:lang w:eastAsia="en-AU"/>
    </w:rPr>
  </w:style>
  <w:style w:type="character" w:customStyle="1" w:styleId="SubtitleChar">
    <w:name w:val="Subtitle Char"/>
    <w:basedOn w:val="DefaultParagraphFont"/>
    <w:link w:val="Subtitle"/>
    <w:rsid w:val="00772829"/>
    <w:rPr>
      <w:rFonts w:ascii="Arial" w:eastAsia="Times New Roman" w:hAnsi="Arial" w:cs="Arial"/>
      <w:b/>
      <w:bCs/>
      <w:i/>
      <w:color w:val="000080"/>
      <w:sz w:val="28"/>
      <w:szCs w:val="28"/>
      <w:lang w:eastAsia="en-AU"/>
    </w:rPr>
  </w:style>
  <w:style w:type="paragraph" w:customStyle="1" w:styleId="ESHeading1">
    <w:name w:val="ES Heading1"/>
    <w:basedOn w:val="Heading2"/>
    <w:next w:val="Normal"/>
    <w:qFormat/>
    <w:rsid w:val="002C70CE"/>
    <w:pPr>
      <w:numPr>
        <w:numId w:val="10"/>
      </w:numPr>
      <w:spacing w:before="240"/>
      <w:ind w:left="2154" w:hanging="357"/>
    </w:pPr>
  </w:style>
  <w:style w:type="paragraph" w:customStyle="1" w:styleId="NormalBeforeBullet">
    <w:name w:val="Normal Before Bullet"/>
    <w:basedOn w:val="Normal"/>
    <w:qFormat/>
    <w:rsid w:val="00091C59"/>
    <w:pPr>
      <w:keepNext/>
      <w:spacing w:after="120" w:line="240" w:lineRule="auto"/>
    </w:pPr>
    <w:rPr>
      <w:rFonts w:asciiTheme="minorHAnsi" w:hAnsiTheme="minorHAnsi"/>
    </w:rPr>
  </w:style>
  <w:style w:type="paragraph" w:customStyle="1" w:styleId="Dash">
    <w:name w:val="Dash"/>
    <w:basedOn w:val="Bullet"/>
    <w:qFormat/>
    <w:rsid w:val="00091C59"/>
    <w:pPr>
      <w:numPr>
        <w:numId w:val="11"/>
      </w:numPr>
      <w:spacing w:after="40"/>
      <w:ind w:left="714" w:hanging="357"/>
    </w:pPr>
  </w:style>
  <w:style w:type="paragraph" w:customStyle="1" w:styleId="Instructionaltext">
    <w:name w:val="Instructional text"/>
    <w:basedOn w:val="Normal"/>
    <w:link w:val="InstructionaltextChar"/>
    <w:qFormat/>
    <w:rsid w:val="00E436A2"/>
    <w:rPr>
      <w:color w:val="258221"/>
    </w:rPr>
  </w:style>
  <w:style w:type="character" w:customStyle="1" w:styleId="UnresolvedMention1">
    <w:name w:val="Unresolved Mention1"/>
    <w:basedOn w:val="DefaultParagraphFont"/>
    <w:uiPriority w:val="99"/>
    <w:semiHidden/>
    <w:unhideWhenUsed/>
    <w:rsid w:val="00997BA8"/>
    <w:rPr>
      <w:color w:val="605E5C"/>
      <w:shd w:val="clear" w:color="auto" w:fill="E1DFDD"/>
    </w:rPr>
  </w:style>
  <w:style w:type="character" w:customStyle="1" w:styleId="InstructionaltextChar">
    <w:name w:val="Instructional text Char"/>
    <w:basedOn w:val="DefaultParagraphFont"/>
    <w:link w:val="Instructionaltext"/>
    <w:rsid w:val="00DF39E9"/>
    <w:rPr>
      <w:rFonts w:ascii="Franklin Gothic Book" w:hAnsi="Franklin Gothic Book"/>
      <w:color w:val="258221"/>
    </w:rPr>
  </w:style>
  <w:style w:type="paragraph" w:customStyle="1" w:styleId="Instructionaltext-bullet">
    <w:name w:val="Instructional text - bullet"/>
    <w:basedOn w:val="Instructionaltext"/>
    <w:qFormat/>
    <w:rsid w:val="002463A6"/>
    <w:pPr>
      <w:numPr>
        <w:numId w:val="12"/>
      </w:numPr>
      <w:spacing w:before="0" w:after="0"/>
    </w:pPr>
  </w:style>
  <w:style w:type="paragraph" w:customStyle="1" w:styleId="Instructionaltext-afterfiguretable">
    <w:name w:val="Instructional text - after figure/table"/>
    <w:basedOn w:val="Instructionaltext"/>
    <w:qFormat/>
    <w:rsid w:val="00B151CF"/>
    <w:pPr>
      <w:spacing w:before="360"/>
    </w:pPr>
  </w:style>
  <w:style w:type="paragraph" w:customStyle="1" w:styleId="Guidelinescross-ref">
    <w:name w:val="Guidelines cross-ref"/>
    <w:basedOn w:val="Normal"/>
    <w:qFormat/>
    <w:rsid w:val="005B7D6C"/>
    <w:pPr>
      <w:spacing w:before="240" w:after="240"/>
    </w:pPr>
    <w:rPr>
      <w:b/>
      <w:color w:val="0070C0"/>
      <w:sz w:val="24"/>
    </w:rPr>
  </w:style>
  <w:style w:type="paragraph" w:styleId="Revision">
    <w:name w:val="Revision"/>
    <w:hidden/>
    <w:uiPriority w:val="99"/>
    <w:semiHidden/>
    <w:rsid w:val="00610ABA"/>
    <w:pPr>
      <w:spacing w:after="0" w:line="240" w:lineRule="auto"/>
    </w:pPr>
    <w:rPr>
      <w:rFonts w:ascii="Franklin Gothic Book" w:hAnsi="Franklin Gothic Book"/>
    </w:rPr>
  </w:style>
  <w:style w:type="character" w:customStyle="1" w:styleId="UnresolvedMention2">
    <w:name w:val="Unresolved Mention2"/>
    <w:basedOn w:val="DefaultParagraphFont"/>
    <w:uiPriority w:val="99"/>
    <w:semiHidden/>
    <w:unhideWhenUsed/>
    <w:rsid w:val="00223664"/>
    <w:rPr>
      <w:color w:val="605E5C"/>
      <w:shd w:val="clear" w:color="auto" w:fill="E1DFDD"/>
    </w:rPr>
  </w:style>
  <w:style w:type="character" w:styleId="UnresolvedMention">
    <w:name w:val="Unresolved Mention"/>
    <w:basedOn w:val="DefaultParagraphFont"/>
    <w:uiPriority w:val="99"/>
    <w:semiHidden/>
    <w:unhideWhenUsed/>
    <w:rsid w:val="00653EC7"/>
    <w:rPr>
      <w:color w:val="605E5C"/>
      <w:shd w:val="clear" w:color="auto" w:fill="E1DFDD"/>
    </w:rPr>
  </w:style>
  <w:style w:type="paragraph" w:customStyle="1" w:styleId="Default">
    <w:name w:val="Default"/>
    <w:rsid w:val="007E05DB"/>
    <w:pPr>
      <w:autoSpaceDE w:val="0"/>
      <w:autoSpaceDN w:val="0"/>
      <w:adjustRightInd w:val="0"/>
      <w:spacing w:after="0" w:line="240" w:lineRule="auto"/>
    </w:pPr>
    <w:rPr>
      <w:rFonts w:ascii="Arial" w:hAnsi="Arial" w:cs="Arial"/>
      <w:color w:val="000000"/>
      <w:sz w:val="24"/>
      <w:szCs w:val="24"/>
      <w:lang w:eastAsia="en-AU"/>
      <w14:ligatures w14:val="standardContextual"/>
    </w:rPr>
  </w:style>
  <w:style w:type="character" w:styleId="PlaceholderText">
    <w:name w:val="Placeholder Text"/>
    <w:basedOn w:val="DefaultParagraphFont"/>
    <w:uiPriority w:val="99"/>
    <w:semiHidden/>
    <w:rsid w:val="0023721F"/>
    <w:rPr>
      <w:color w:val="666666"/>
    </w:rPr>
  </w:style>
  <w:style w:type="paragraph" w:customStyle="1" w:styleId="LastLineundertable">
    <w:name w:val="Last Line under table"/>
    <w:basedOn w:val="Normal"/>
    <w:next w:val="Normal"/>
    <w:qFormat/>
    <w:rsid w:val="003A169C"/>
    <w:pPr>
      <w:spacing w:before="60" w:after="200" w:line="276" w:lineRule="auto"/>
      <w:contextualSpacing/>
    </w:pPr>
    <w:rPr>
      <w:rFonts w:ascii="Arial" w:eastAsia="Times New Roman" w:hAnsi="Arial" w:cs="Times New Roman"/>
      <w:i/>
      <w:sz w:val="16"/>
      <w:lang w:eastAsia="en-AU"/>
    </w:rPr>
  </w:style>
  <w:style w:type="paragraph" w:customStyle="1" w:styleId="TableParagraph">
    <w:name w:val="Table Paragraph"/>
    <w:basedOn w:val="Normal"/>
    <w:uiPriority w:val="1"/>
    <w:qFormat/>
    <w:rsid w:val="006A5A7D"/>
    <w:pPr>
      <w:widowControl w:val="0"/>
      <w:spacing w:before="0" w:after="0" w:line="240" w:lineRule="auto"/>
    </w:pPr>
    <w:rPr>
      <w:rFonts w:asciiTheme="minorHAnsi" w:hAnsiTheme="minorHAnsi"/>
      <w:lang w:val="en-US"/>
    </w:rPr>
  </w:style>
  <w:style w:type="character" w:styleId="Mention">
    <w:name w:val="Mention"/>
    <w:basedOn w:val="DefaultParagraphFont"/>
    <w:uiPriority w:val="99"/>
    <w:unhideWhenUsed/>
    <w:rsid w:val="002E7DBC"/>
    <w:rPr>
      <w:color w:val="2B579A"/>
      <w:shd w:val="clear" w:color="auto" w:fill="E1DFDD"/>
    </w:rPr>
  </w:style>
  <w:style w:type="paragraph" w:customStyle="1" w:styleId="Commentary">
    <w:name w:val="Commentary"/>
    <w:basedOn w:val="Normal"/>
    <w:qFormat/>
    <w:rsid w:val="00A970C2"/>
    <w:pPr>
      <w:spacing w:after="200" w:line="276" w:lineRule="auto"/>
    </w:pPr>
    <w:rPr>
      <w:rFonts w:ascii="Calibri" w:eastAsia="Calibri" w:hAnsi="Calibri" w:cs="Times New Roman"/>
      <w:i/>
    </w:rPr>
  </w:style>
  <w:style w:type="paragraph" w:styleId="EndnoteText">
    <w:name w:val="endnote text"/>
    <w:basedOn w:val="Normal"/>
    <w:link w:val="EndnoteTextChar"/>
    <w:uiPriority w:val="99"/>
    <w:semiHidden/>
    <w:unhideWhenUsed/>
    <w:rsid w:val="00597731"/>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597731"/>
    <w:rPr>
      <w:rFonts w:ascii="Franklin Gothic Book" w:hAnsi="Franklin Gothic Book"/>
      <w:sz w:val="20"/>
      <w:szCs w:val="20"/>
    </w:rPr>
  </w:style>
  <w:style w:type="character" w:styleId="EndnoteReference">
    <w:name w:val="endnote reference"/>
    <w:basedOn w:val="DefaultParagraphFont"/>
    <w:uiPriority w:val="99"/>
    <w:semiHidden/>
    <w:unhideWhenUsed/>
    <w:rsid w:val="00597731"/>
    <w:rPr>
      <w:vertAlign w:val="superscript"/>
    </w:rPr>
  </w:style>
  <w:style w:type="paragraph" w:customStyle="1" w:styleId="Titlereverse">
    <w:name w:val="Title reverse"/>
    <w:basedOn w:val="Normal"/>
    <w:uiPriority w:val="99"/>
    <w:rsid w:val="003D0233"/>
    <w:pPr>
      <w:widowControl w:val="0"/>
      <w:suppressAutoHyphens/>
      <w:autoSpaceDE w:val="0"/>
      <w:autoSpaceDN w:val="0"/>
      <w:adjustRightInd w:val="0"/>
      <w:spacing w:before="0" w:after="0" w:line="240" w:lineRule="auto"/>
      <w:jc w:val="right"/>
      <w:textAlignment w:val="center"/>
    </w:pPr>
    <w:rPr>
      <w:rFonts w:ascii="Georgia" w:eastAsiaTheme="minorEastAsia" w:hAnsi="Georgia" w:cs="OptimaLTStd-Medium"/>
      <w:color w:val="FFFFFF"/>
      <w:sz w:val="68"/>
      <w:szCs w:val="68"/>
      <w:lang w:val="en-GB" w:eastAsia="ja-JP"/>
    </w:rPr>
  </w:style>
  <w:style w:type="table" w:customStyle="1" w:styleId="Section3-footnot1">
    <w:name w:val="Section 3- footnot1"/>
    <w:basedOn w:val="TableNormal"/>
    <w:next w:val="TableGrid"/>
    <w:uiPriority w:val="59"/>
    <w:rsid w:val="00135F99"/>
    <w:pPr>
      <w:spacing w:after="0" w:line="240" w:lineRule="auto"/>
    </w:pPr>
    <w:tblPr/>
  </w:style>
  <w:style w:type="paragraph" w:styleId="Bibliography">
    <w:name w:val="Bibliography"/>
    <w:basedOn w:val="Normal"/>
    <w:next w:val="Normal"/>
    <w:uiPriority w:val="37"/>
    <w:semiHidden/>
    <w:unhideWhenUsed/>
    <w:rsid w:val="0089752C"/>
  </w:style>
  <w:style w:type="paragraph" w:styleId="BlockText">
    <w:name w:val="Block Text"/>
    <w:basedOn w:val="Normal"/>
    <w:uiPriority w:val="99"/>
    <w:semiHidden/>
    <w:unhideWhenUsed/>
    <w:rsid w:val="0089752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BodyText">
    <w:name w:val="Body Text"/>
    <w:basedOn w:val="Normal"/>
    <w:link w:val="BodyTextChar"/>
    <w:uiPriority w:val="99"/>
    <w:semiHidden/>
    <w:unhideWhenUsed/>
    <w:rsid w:val="0089752C"/>
    <w:pPr>
      <w:spacing w:after="120"/>
    </w:pPr>
  </w:style>
  <w:style w:type="character" w:customStyle="1" w:styleId="BodyTextChar">
    <w:name w:val="Body Text Char"/>
    <w:basedOn w:val="DefaultParagraphFont"/>
    <w:link w:val="BodyText"/>
    <w:uiPriority w:val="99"/>
    <w:semiHidden/>
    <w:rsid w:val="0089752C"/>
    <w:rPr>
      <w:rFonts w:ascii="Franklin Gothic Book" w:hAnsi="Franklin Gothic Book"/>
    </w:rPr>
  </w:style>
  <w:style w:type="paragraph" w:styleId="BodyText2">
    <w:name w:val="Body Text 2"/>
    <w:basedOn w:val="Normal"/>
    <w:link w:val="BodyText2Char"/>
    <w:uiPriority w:val="99"/>
    <w:semiHidden/>
    <w:unhideWhenUsed/>
    <w:rsid w:val="0089752C"/>
    <w:pPr>
      <w:spacing w:after="120" w:line="480" w:lineRule="auto"/>
    </w:pPr>
  </w:style>
  <w:style w:type="character" w:customStyle="1" w:styleId="BodyText2Char">
    <w:name w:val="Body Text 2 Char"/>
    <w:basedOn w:val="DefaultParagraphFont"/>
    <w:link w:val="BodyText2"/>
    <w:uiPriority w:val="99"/>
    <w:semiHidden/>
    <w:rsid w:val="0089752C"/>
    <w:rPr>
      <w:rFonts w:ascii="Franklin Gothic Book" w:hAnsi="Franklin Gothic Book"/>
    </w:rPr>
  </w:style>
  <w:style w:type="paragraph" w:styleId="BodyText3">
    <w:name w:val="Body Text 3"/>
    <w:basedOn w:val="Normal"/>
    <w:link w:val="BodyText3Char"/>
    <w:uiPriority w:val="99"/>
    <w:semiHidden/>
    <w:unhideWhenUsed/>
    <w:rsid w:val="0089752C"/>
    <w:pPr>
      <w:spacing w:after="120"/>
    </w:pPr>
    <w:rPr>
      <w:sz w:val="16"/>
      <w:szCs w:val="16"/>
    </w:rPr>
  </w:style>
  <w:style w:type="character" w:customStyle="1" w:styleId="BodyText3Char">
    <w:name w:val="Body Text 3 Char"/>
    <w:basedOn w:val="DefaultParagraphFont"/>
    <w:link w:val="BodyText3"/>
    <w:uiPriority w:val="99"/>
    <w:semiHidden/>
    <w:rsid w:val="0089752C"/>
    <w:rPr>
      <w:rFonts w:ascii="Franklin Gothic Book" w:hAnsi="Franklin Gothic Book"/>
      <w:sz w:val="16"/>
      <w:szCs w:val="16"/>
    </w:rPr>
  </w:style>
  <w:style w:type="paragraph" w:styleId="BodyTextFirstIndent">
    <w:name w:val="Body Text First Indent"/>
    <w:basedOn w:val="BodyText"/>
    <w:link w:val="BodyTextFirstIndentChar"/>
    <w:uiPriority w:val="99"/>
    <w:semiHidden/>
    <w:unhideWhenUsed/>
    <w:rsid w:val="0089752C"/>
    <w:pPr>
      <w:spacing w:after="160"/>
      <w:ind w:firstLine="360"/>
    </w:pPr>
  </w:style>
  <w:style w:type="character" w:customStyle="1" w:styleId="BodyTextFirstIndentChar">
    <w:name w:val="Body Text First Indent Char"/>
    <w:basedOn w:val="BodyTextChar"/>
    <w:link w:val="BodyTextFirstIndent"/>
    <w:uiPriority w:val="99"/>
    <w:semiHidden/>
    <w:rsid w:val="0089752C"/>
    <w:rPr>
      <w:rFonts w:ascii="Franklin Gothic Book" w:hAnsi="Franklin Gothic Book"/>
    </w:rPr>
  </w:style>
  <w:style w:type="paragraph" w:styleId="BodyTextIndent">
    <w:name w:val="Body Text Indent"/>
    <w:basedOn w:val="Normal"/>
    <w:link w:val="BodyTextIndentChar"/>
    <w:uiPriority w:val="99"/>
    <w:semiHidden/>
    <w:unhideWhenUsed/>
    <w:rsid w:val="0089752C"/>
    <w:pPr>
      <w:spacing w:after="120"/>
      <w:ind w:left="283"/>
    </w:pPr>
  </w:style>
  <w:style w:type="character" w:customStyle="1" w:styleId="BodyTextIndentChar">
    <w:name w:val="Body Text Indent Char"/>
    <w:basedOn w:val="DefaultParagraphFont"/>
    <w:link w:val="BodyTextIndent"/>
    <w:uiPriority w:val="99"/>
    <w:semiHidden/>
    <w:rsid w:val="0089752C"/>
    <w:rPr>
      <w:rFonts w:ascii="Franklin Gothic Book" w:hAnsi="Franklin Gothic Book"/>
    </w:rPr>
  </w:style>
  <w:style w:type="paragraph" w:styleId="BodyTextFirstIndent2">
    <w:name w:val="Body Text First Indent 2"/>
    <w:basedOn w:val="BodyTextIndent"/>
    <w:link w:val="BodyTextFirstIndent2Char"/>
    <w:uiPriority w:val="99"/>
    <w:semiHidden/>
    <w:unhideWhenUsed/>
    <w:rsid w:val="0089752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89752C"/>
    <w:rPr>
      <w:rFonts w:ascii="Franklin Gothic Book" w:hAnsi="Franklin Gothic Book"/>
    </w:rPr>
  </w:style>
  <w:style w:type="paragraph" w:styleId="BodyTextIndent2">
    <w:name w:val="Body Text Indent 2"/>
    <w:basedOn w:val="Normal"/>
    <w:link w:val="BodyTextIndent2Char"/>
    <w:uiPriority w:val="99"/>
    <w:semiHidden/>
    <w:unhideWhenUsed/>
    <w:rsid w:val="0089752C"/>
    <w:pPr>
      <w:spacing w:after="120" w:line="480" w:lineRule="auto"/>
      <w:ind w:left="283"/>
    </w:pPr>
  </w:style>
  <w:style w:type="character" w:customStyle="1" w:styleId="BodyTextIndent2Char">
    <w:name w:val="Body Text Indent 2 Char"/>
    <w:basedOn w:val="DefaultParagraphFont"/>
    <w:link w:val="BodyTextIndent2"/>
    <w:uiPriority w:val="99"/>
    <w:semiHidden/>
    <w:rsid w:val="0089752C"/>
    <w:rPr>
      <w:rFonts w:ascii="Franklin Gothic Book" w:hAnsi="Franklin Gothic Book"/>
    </w:rPr>
  </w:style>
  <w:style w:type="paragraph" w:styleId="BodyTextIndent3">
    <w:name w:val="Body Text Indent 3"/>
    <w:basedOn w:val="Normal"/>
    <w:link w:val="BodyTextIndent3Char"/>
    <w:uiPriority w:val="99"/>
    <w:semiHidden/>
    <w:unhideWhenUsed/>
    <w:rsid w:val="0089752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9752C"/>
    <w:rPr>
      <w:rFonts w:ascii="Franklin Gothic Book" w:hAnsi="Franklin Gothic Book"/>
      <w:sz w:val="16"/>
      <w:szCs w:val="16"/>
    </w:rPr>
  </w:style>
  <w:style w:type="paragraph" w:styleId="Closing">
    <w:name w:val="Closing"/>
    <w:basedOn w:val="Normal"/>
    <w:link w:val="ClosingChar"/>
    <w:uiPriority w:val="99"/>
    <w:semiHidden/>
    <w:unhideWhenUsed/>
    <w:rsid w:val="0089752C"/>
    <w:pPr>
      <w:spacing w:before="0" w:after="0" w:line="240" w:lineRule="auto"/>
      <w:ind w:left="4252"/>
    </w:pPr>
  </w:style>
  <w:style w:type="character" w:customStyle="1" w:styleId="ClosingChar">
    <w:name w:val="Closing Char"/>
    <w:basedOn w:val="DefaultParagraphFont"/>
    <w:link w:val="Closing"/>
    <w:uiPriority w:val="99"/>
    <w:semiHidden/>
    <w:rsid w:val="0089752C"/>
    <w:rPr>
      <w:rFonts w:ascii="Franklin Gothic Book" w:hAnsi="Franklin Gothic Book"/>
    </w:rPr>
  </w:style>
  <w:style w:type="paragraph" w:styleId="DocumentMap">
    <w:name w:val="Document Map"/>
    <w:basedOn w:val="Normal"/>
    <w:link w:val="DocumentMapChar"/>
    <w:uiPriority w:val="99"/>
    <w:semiHidden/>
    <w:unhideWhenUsed/>
    <w:rsid w:val="0089752C"/>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752C"/>
    <w:rPr>
      <w:rFonts w:ascii="Segoe UI" w:hAnsi="Segoe UI" w:cs="Segoe UI"/>
      <w:sz w:val="16"/>
      <w:szCs w:val="16"/>
    </w:rPr>
  </w:style>
  <w:style w:type="paragraph" w:styleId="EmailSignature">
    <w:name w:val="E-mail Signature"/>
    <w:basedOn w:val="Normal"/>
    <w:link w:val="EmailSignatureChar"/>
    <w:uiPriority w:val="99"/>
    <w:semiHidden/>
    <w:unhideWhenUsed/>
    <w:rsid w:val="0089752C"/>
    <w:pPr>
      <w:spacing w:before="0" w:after="0" w:line="240" w:lineRule="auto"/>
    </w:pPr>
  </w:style>
  <w:style w:type="character" w:customStyle="1" w:styleId="EmailSignatureChar">
    <w:name w:val="Email Signature Char"/>
    <w:basedOn w:val="DefaultParagraphFont"/>
    <w:link w:val="EmailSignature"/>
    <w:uiPriority w:val="99"/>
    <w:semiHidden/>
    <w:rsid w:val="0089752C"/>
    <w:rPr>
      <w:rFonts w:ascii="Franklin Gothic Book" w:hAnsi="Franklin Gothic Book"/>
    </w:rPr>
  </w:style>
  <w:style w:type="paragraph" w:styleId="EnvelopeAddress">
    <w:name w:val="envelope address"/>
    <w:basedOn w:val="Normal"/>
    <w:uiPriority w:val="99"/>
    <w:semiHidden/>
    <w:unhideWhenUsed/>
    <w:rsid w:val="0089752C"/>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9752C"/>
    <w:pPr>
      <w:spacing w:before="0" w:after="0"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89752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9752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9752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9752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752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9752C"/>
    <w:pPr>
      <w:spacing w:before="0" w:after="0" w:line="240" w:lineRule="auto"/>
    </w:pPr>
    <w:rPr>
      <w:i/>
      <w:iCs/>
    </w:rPr>
  </w:style>
  <w:style w:type="character" w:customStyle="1" w:styleId="HTMLAddressChar">
    <w:name w:val="HTML Address Char"/>
    <w:basedOn w:val="DefaultParagraphFont"/>
    <w:link w:val="HTMLAddress"/>
    <w:uiPriority w:val="99"/>
    <w:semiHidden/>
    <w:rsid w:val="0089752C"/>
    <w:rPr>
      <w:rFonts w:ascii="Franklin Gothic Book" w:hAnsi="Franklin Gothic Book"/>
      <w:i/>
      <w:iCs/>
    </w:rPr>
  </w:style>
  <w:style w:type="paragraph" w:styleId="HTMLPreformatted">
    <w:name w:val="HTML Preformatted"/>
    <w:basedOn w:val="Normal"/>
    <w:link w:val="HTMLPreformattedChar"/>
    <w:uiPriority w:val="99"/>
    <w:semiHidden/>
    <w:unhideWhenUsed/>
    <w:rsid w:val="0089752C"/>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9752C"/>
    <w:rPr>
      <w:rFonts w:ascii="Consolas" w:hAnsi="Consolas"/>
      <w:sz w:val="20"/>
      <w:szCs w:val="20"/>
    </w:rPr>
  </w:style>
  <w:style w:type="paragraph" w:styleId="Index1">
    <w:name w:val="index 1"/>
    <w:basedOn w:val="Normal"/>
    <w:next w:val="Normal"/>
    <w:autoRedefine/>
    <w:uiPriority w:val="99"/>
    <w:semiHidden/>
    <w:unhideWhenUsed/>
    <w:rsid w:val="0089752C"/>
    <w:pPr>
      <w:spacing w:before="0" w:after="0" w:line="240" w:lineRule="auto"/>
      <w:ind w:left="220" w:hanging="220"/>
    </w:pPr>
  </w:style>
  <w:style w:type="paragraph" w:styleId="Index2">
    <w:name w:val="index 2"/>
    <w:basedOn w:val="Normal"/>
    <w:next w:val="Normal"/>
    <w:autoRedefine/>
    <w:uiPriority w:val="99"/>
    <w:semiHidden/>
    <w:unhideWhenUsed/>
    <w:rsid w:val="0089752C"/>
    <w:pPr>
      <w:spacing w:before="0" w:after="0" w:line="240" w:lineRule="auto"/>
      <w:ind w:left="440" w:hanging="220"/>
    </w:pPr>
  </w:style>
  <w:style w:type="paragraph" w:styleId="Index3">
    <w:name w:val="index 3"/>
    <w:basedOn w:val="Normal"/>
    <w:next w:val="Normal"/>
    <w:autoRedefine/>
    <w:uiPriority w:val="99"/>
    <w:semiHidden/>
    <w:unhideWhenUsed/>
    <w:rsid w:val="0089752C"/>
    <w:pPr>
      <w:spacing w:before="0" w:after="0" w:line="240" w:lineRule="auto"/>
      <w:ind w:left="660" w:hanging="220"/>
    </w:pPr>
  </w:style>
  <w:style w:type="paragraph" w:styleId="Index4">
    <w:name w:val="index 4"/>
    <w:basedOn w:val="Normal"/>
    <w:next w:val="Normal"/>
    <w:autoRedefine/>
    <w:uiPriority w:val="99"/>
    <w:semiHidden/>
    <w:unhideWhenUsed/>
    <w:rsid w:val="0089752C"/>
    <w:pPr>
      <w:spacing w:before="0" w:after="0" w:line="240" w:lineRule="auto"/>
      <w:ind w:left="880" w:hanging="220"/>
    </w:pPr>
  </w:style>
  <w:style w:type="paragraph" w:styleId="Index5">
    <w:name w:val="index 5"/>
    <w:basedOn w:val="Normal"/>
    <w:next w:val="Normal"/>
    <w:autoRedefine/>
    <w:uiPriority w:val="99"/>
    <w:semiHidden/>
    <w:unhideWhenUsed/>
    <w:rsid w:val="0089752C"/>
    <w:pPr>
      <w:spacing w:before="0" w:after="0" w:line="240" w:lineRule="auto"/>
      <w:ind w:left="1100" w:hanging="220"/>
    </w:pPr>
  </w:style>
  <w:style w:type="paragraph" w:styleId="Index6">
    <w:name w:val="index 6"/>
    <w:basedOn w:val="Normal"/>
    <w:next w:val="Normal"/>
    <w:autoRedefine/>
    <w:uiPriority w:val="99"/>
    <w:semiHidden/>
    <w:unhideWhenUsed/>
    <w:rsid w:val="0089752C"/>
    <w:pPr>
      <w:spacing w:before="0" w:after="0" w:line="240" w:lineRule="auto"/>
      <w:ind w:left="1320" w:hanging="220"/>
    </w:pPr>
  </w:style>
  <w:style w:type="paragraph" w:styleId="Index7">
    <w:name w:val="index 7"/>
    <w:basedOn w:val="Normal"/>
    <w:next w:val="Normal"/>
    <w:autoRedefine/>
    <w:uiPriority w:val="99"/>
    <w:semiHidden/>
    <w:unhideWhenUsed/>
    <w:rsid w:val="0089752C"/>
    <w:pPr>
      <w:spacing w:before="0" w:after="0" w:line="240" w:lineRule="auto"/>
      <w:ind w:left="1540" w:hanging="220"/>
    </w:pPr>
  </w:style>
  <w:style w:type="paragraph" w:styleId="Index8">
    <w:name w:val="index 8"/>
    <w:basedOn w:val="Normal"/>
    <w:next w:val="Normal"/>
    <w:autoRedefine/>
    <w:uiPriority w:val="99"/>
    <w:semiHidden/>
    <w:unhideWhenUsed/>
    <w:rsid w:val="0089752C"/>
    <w:pPr>
      <w:spacing w:before="0" w:after="0" w:line="240" w:lineRule="auto"/>
      <w:ind w:left="1760" w:hanging="220"/>
    </w:pPr>
  </w:style>
  <w:style w:type="paragraph" w:styleId="Index9">
    <w:name w:val="index 9"/>
    <w:basedOn w:val="Normal"/>
    <w:next w:val="Normal"/>
    <w:autoRedefine/>
    <w:uiPriority w:val="99"/>
    <w:semiHidden/>
    <w:unhideWhenUsed/>
    <w:rsid w:val="0089752C"/>
    <w:pPr>
      <w:spacing w:before="0" w:after="0" w:line="240" w:lineRule="auto"/>
      <w:ind w:left="1980" w:hanging="220"/>
    </w:pPr>
  </w:style>
  <w:style w:type="paragraph" w:styleId="IndexHeading">
    <w:name w:val="index heading"/>
    <w:basedOn w:val="Normal"/>
    <w:next w:val="Index1"/>
    <w:uiPriority w:val="99"/>
    <w:semiHidden/>
    <w:unhideWhenUsed/>
    <w:rsid w:val="008975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752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752C"/>
    <w:rPr>
      <w:rFonts w:ascii="Franklin Gothic Book" w:hAnsi="Franklin Gothic Book"/>
      <w:i/>
      <w:iCs/>
      <w:color w:val="5B9BD5" w:themeColor="accent1"/>
    </w:rPr>
  </w:style>
  <w:style w:type="paragraph" w:styleId="List">
    <w:name w:val="List"/>
    <w:basedOn w:val="Normal"/>
    <w:uiPriority w:val="99"/>
    <w:semiHidden/>
    <w:unhideWhenUsed/>
    <w:rsid w:val="0089752C"/>
    <w:pPr>
      <w:ind w:left="283" w:hanging="283"/>
      <w:contextualSpacing/>
    </w:pPr>
  </w:style>
  <w:style w:type="paragraph" w:styleId="List2">
    <w:name w:val="List 2"/>
    <w:basedOn w:val="Normal"/>
    <w:uiPriority w:val="99"/>
    <w:semiHidden/>
    <w:unhideWhenUsed/>
    <w:rsid w:val="0089752C"/>
    <w:pPr>
      <w:ind w:left="566" w:hanging="283"/>
      <w:contextualSpacing/>
    </w:pPr>
  </w:style>
  <w:style w:type="paragraph" w:styleId="List3">
    <w:name w:val="List 3"/>
    <w:basedOn w:val="Normal"/>
    <w:uiPriority w:val="99"/>
    <w:semiHidden/>
    <w:unhideWhenUsed/>
    <w:rsid w:val="0089752C"/>
    <w:pPr>
      <w:ind w:left="849" w:hanging="283"/>
      <w:contextualSpacing/>
    </w:pPr>
  </w:style>
  <w:style w:type="paragraph" w:styleId="List4">
    <w:name w:val="List 4"/>
    <w:basedOn w:val="Normal"/>
    <w:uiPriority w:val="99"/>
    <w:semiHidden/>
    <w:unhideWhenUsed/>
    <w:rsid w:val="0089752C"/>
    <w:pPr>
      <w:ind w:left="1132" w:hanging="283"/>
      <w:contextualSpacing/>
    </w:pPr>
  </w:style>
  <w:style w:type="paragraph" w:styleId="List5">
    <w:name w:val="List 5"/>
    <w:basedOn w:val="Normal"/>
    <w:uiPriority w:val="99"/>
    <w:semiHidden/>
    <w:unhideWhenUsed/>
    <w:rsid w:val="0089752C"/>
    <w:pPr>
      <w:ind w:left="1415" w:hanging="283"/>
      <w:contextualSpacing/>
    </w:pPr>
  </w:style>
  <w:style w:type="paragraph" w:styleId="ListBullet">
    <w:name w:val="List Bullet"/>
    <w:basedOn w:val="Normal"/>
    <w:uiPriority w:val="99"/>
    <w:semiHidden/>
    <w:unhideWhenUsed/>
    <w:rsid w:val="0089752C"/>
    <w:pPr>
      <w:numPr>
        <w:numId w:val="41"/>
      </w:numPr>
      <w:contextualSpacing/>
    </w:pPr>
  </w:style>
  <w:style w:type="paragraph" w:styleId="ListBullet2">
    <w:name w:val="List Bullet 2"/>
    <w:basedOn w:val="Normal"/>
    <w:uiPriority w:val="99"/>
    <w:semiHidden/>
    <w:unhideWhenUsed/>
    <w:rsid w:val="0089752C"/>
    <w:pPr>
      <w:numPr>
        <w:numId w:val="42"/>
      </w:numPr>
      <w:contextualSpacing/>
    </w:pPr>
  </w:style>
  <w:style w:type="paragraph" w:styleId="ListBullet3">
    <w:name w:val="List Bullet 3"/>
    <w:basedOn w:val="Normal"/>
    <w:uiPriority w:val="99"/>
    <w:semiHidden/>
    <w:unhideWhenUsed/>
    <w:rsid w:val="0089752C"/>
    <w:pPr>
      <w:numPr>
        <w:numId w:val="43"/>
      </w:numPr>
      <w:contextualSpacing/>
    </w:pPr>
  </w:style>
  <w:style w:type="paragraph" w:styleId="ListBullet4">
    <w:name w:val="List Bullet 4"/>
    <w:basedOn w:val="Normal"/>
    <w:uiPriority w:val="99"/>
    <w:semiHidden/>
    <w:unhideWhenUsed/>
    <w:rsid w:val="0089752C"/>
    <w:pPr>
      <w:numPr>
        <w:numId w:val="44"/>
      </w:numPr>
      <w:contextualSpacing/>
    </w:pPr>
  </w:style>
  <w:style w:type="paragraph" w:styleId="ListBullet5">
    <w:name w:val="List Bullet 5"/>
    <w:basedOn w:val="Normal"/>
    <w:uiPriority w:val="99"/>
    <w:semiHidden/>
    <w:unhideWhenUsed/>
    <w:rsid w:val="0089752C"/>
    <w:pPr>
      <w:numPr>
        <w:numId w:val="45"/>
      </w:numPr>
      <w:contextualSpacing/>
    </w:pPr>
  </w:style>
  <w:style w:type="paragraph" w:styleId="ListContinue">
    <w:name w:val="List Continue"/>
    <w:basedOn w:val="Normal"/>
    <w:uiPriority w:val="99"/>
    <w:semiHidden/>
    <w:unhideWhenUsed/>
    <w:rsid w:val="0089752C"/>
    <w:pPr>
      <w:spacing w:after="120"/>
      <w:ind w:left="283"/>
      <w:contextualSpacing/>
    </w:pPr>
  </w:style>
  <w:style w:type="paragraph" w:styleId="ListContinue2">
    <w:name w:val="List Continue 2"/>
    <w:basedOn w:val="Normal"/>
    <w:uiPriority w:val="99"/>
    <w:semiHidden/>
    <w:unhideWhenUsed/>
    <w:rsid w:val="0089752C"/>
    <w:pPr>
      <w:spacing w:after="120"/>
      <w:ind w:left="566"/>
      <w:contextualSpacing/>
    </w:pPr>
  </w:style>
  <w:style w:type="paragraph" w:styleId="ListContinue3">
    <w:name w:val="List Continue 3"/>
    <w:basedOn w:val="Normal"/>
    <w:uiPriority w:val="99"/>
    <w:semiHidden/>
    <w:unhideWhenUsed/>
    <w:rsid w:val="0089752C"/>
    <w:pPr>
      <w:spacing w:after="120"/>
      <w:ind w:left="849"/>
      <w:contextualSpacing/>
    </w:pPr>
  </w:style>
  <w:style w:type="paragraph" w:styleId="ListContinue4">
    <w:name w:val="List Continue 4"/>
    <w:basedOn w:val="Normal"/>
    <w:uiPriority w:val="99"/>
    <w:semiHidden/>
    <w:unhideWhenUsed/>
    <w:rsid w:val="0089752C"/>
    <w:pPr>
      <w:spacing w:after="120"/>
      <w:ind w:left="1132"/>
      <w:contextualSpacing/>
    </w:pPr>
  </w:style>
  <w:style w:type="paragraph" w:styleId="ListContinue5">
    <w:name w:val="List Continue 5"/>
    <w:basedOn w:val="Normal"/>
    <w:uiPriority w:val="99"/>
    <w:semiHidden/>
    <w:unhideWhenUsed/>
    <w:rsid w:val="0089752C"/>
    <w:pPr>
      <w:spacing w:after="120"/>
      <w:ind w:left="1415"/>
      <w:contextualSpacing/>
    </w:pPr>
  </w:style>
  <w:style w:type="paragraph" w:styleId="ListNumber">
    <w:name w:val="List Number"/>
    <w:basedOn w:val="Normal"/>
    <w:uiPriority w:val="99"/>
    <w:semiHidden/>
    <w:unhideWhenUsed/>
    <w:rsid w:val="0089752C"/>
    <w:pPr>
      <w:numPr>
        <w:numId w:val="46"/>
      </w:numPr>
      <w:contextualSpacing/>
    </w:pPr>
  </w:style>
  <w:style w:type="paragraph" w:styleId="ListNumber2">
    <w:name w:val="List Number 2"/>
    <w:basedOn w:val="Normal"/>
    <w:uiPriority w:val="99"/>
    <w:semiHidden/>
    <w:unhideWhenUsed/>
    <w:rsid w:val="0089752C"/>
    <w:pPr>
      <w:numPr>
        <w:numId w:val="47"/>
      </w:numPr>
      <w:contextualSpacing/>
    </w:pPr>
  </w:style>
  <w:style w:type="paragraph" w:styleId="ListNumber3">
    <w:name w:val="List Number 3"/>
    <w:basedOn w:val="Normal"/>
    <w:uiPriority w:val="99"/>
    <w:semiHidden/>
    <w:unhideWhenUsed/>
    <w:rsid w:val="0089752C"/>
    <w:pPr>
      <w:numPr>
        <w:numId w:val="48"/>
      </w:numPr>
      <w:contextualSpacing/>
    </w:pPr>
  </w:style>
  <w:style w:type="paragraph" w:styleId="ListNumber4">
    <w:name w:val="List Number 4"/>
    <w:basedOn w:val="Normal"/>
    <w:uiPriority w:val="99"/>
    <w:semiHidden/>
    <w:unhideWhenUsed/>
    <w:rsid w:val="0089752C"/>
    <w:pPr>
      <w:numPr>
        <w:numId w:val="49"/>
      </w:numPr>
      <w:contextualSpacing/>
    </w:pPr>
  </w:style>
  <w:style w:type="paragraph" w:styleId="ListNumber5">
    <w:name w:val="List Number 5"/>
    <w:basedOn w:val="Normal"/>
    <w:uiPriority w:val="99"/>
    <w:semiHidden/>
    <w:unhideWhenUsed/>
    <w:rsid w:val="0089752C"/>
    <w:pPr>
      <w:numPr>
        <w:numId w:val="50"/>
      </w:numPr>
      <w:contextualSpacing/>
    </w:pPr>
  </w:style>
  <w:style w:type="paragraph" w:styleId="MacroText">
    <w:name w:val="macro"/>
    <w:link w:val="MacroTextChar"/>
    <w:uiPriority w:val="99"/>
    <w:semiHidden/>
    <w:unhideWhenUsed/>
    <w:rsid w:val="0089752C"/>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z w:val="20"/>
      <w:szCs w:val="20"/>
    </w:rPr>
  </w:style>
  <w:style w:type="character" w:customStyle="1" w:styleId="MacroTextChar">
    <w:name w:val="Macro Text Char"/>
    <w:basedOn w:val="DefaultParagraphFont"/>
    <w:link w:val="MacroText"/>
    <w:uiPriority w:val="99"/>
    <w:semiHidden/>
    <w:rsid w:val="0089752C"/>
    <w:rPr>
      <w:rFonts w:ascii="Consolas" w:hAnsi="Consolas"/>
      <w:sz w:val="20"/>
      <w:szCs w:val="20"/>
    </w:rPr>
  </w:style>
  <w:style w:type="paragraph" w:styleId="MessageHeader">
    <w:name w:val="Message Header"/>
    <w:basedOn w:val="Normal"/>
    <w:link w:val="MessageHeaderChar"/>
    <w:uiPriority w:val="99"/>
    <w:semiHidden/>
    <w:unhideWhenUsed/>
    <w:rsid w:val="0089752C"/>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9752C"/>
    <w:rPr>
      <w:rFonts w:asciiTheme="majorHAnsi" w:eastAsiaTheme="majorEastAsia" w:hAnsiTheme="majorHAnsi" w:cstheme="majorBidi"/>
      <w:sz w:val="24"/>
      <w:szCs w:val="24"/>
      <w:shd w:val="pct20" w:color="auto" w:fill="auto"/>
    </w:rPr>
  </w:style>
  <w:style w:type="paragraph" w:styleId="NoSpacing">
    <w:name w:val="No Spacing"/>
    <w:uiPriority w:val="1"/>
    <w:qFormat/>
    <w:rsid w:val="0089752C"/>
    <w:pPr>
      <w:spacing w:after="0" w:line="240" w:lineRule="auto"/>
    </w:pPr>
    <w:rPr>
      <w:rFonts w:ascii="Franklin Gothic Book" w:hAnsi="Franklin Gothic Book"/>
    </w:rPr>
  </w:style>
  <w:style w:type="paragraph" w:styleId="NormalWeb">
    <w:name w:val="Normal (Web)"/>
    <w:basedOn w:val="Normal"/>
    <w:uiPriority w:val="99"/>
    <w:semiHidden/>
    <w:unhideWhenUsed/>
    <w:rsid w:val="0089752C"/>
    <w:rPr>
      <w:rFonts w:ascii="Times New Roman" w:hAnsi="Times New Roman" w:cs="Times New Roman"/>
      <w:sz w:val="24"/>
      <w:szCs w:val="24"/>
    </w:rPr>
  </w:style>
  <w:style w:type="paragraph" w:styleId="NormalIndent">
    <w:name w:val="Normal Indent"/>
    <w:basedOn w:val="Normal"/>
    <w:uiPriority w:val="99"/>
    <w:semiHidden/>
    <w:unhideWhenUsed/>
    <w:rsid w:val="0089752C"/>
    <w:pPr>
      <w:ind w:left="720"/>
    </w:pPr>
  </w:style>
  <w:style w:type="paragraph" w:styleId="NoteHeading">
    <w:name w:val="Note Heading"/>
    <w:basedOn w:val="Normal"/>
    <w:next w:val="Normal"/>
    <w:link w:val="NoteHeadingChar"/>
    <w:uiPriority w:val="99"/>
    <w:semiHidden/>
    <w:unhideWhenUsed/>
    <w:rsid w:val="0089752C"/>
    <w:pPr>
      <w:spacing w:before="0" w:after="0" w:line="240" w:lineRule="auto"/>
    </w:pPr>
  </w:style>
  <w:style w:type="character" w:customStyle="1" w:styleId="NoteHeadingChar">
    <w:name w:val="Note Heading Char"/>
    <w:basedOn w:val="DefaultParagraphFont"/>
    <w:link w:val="NoteHeading"/>
    <w:uiPriority w:val="99"/>
    <w:semiHidden/>
    <w:rsid w:val="0089752C"/>
    <w:rPr>
      <w:rFonts w:ascii="Franklin Gothic Book" w:hAnsi="Franklin Gothic Book"/>
    </w:rPr>
  </w:style>
  <w:style w:type="paragraph" w:styleId="PlainText">
    <w:name w:val="Plain Text"/>
    <w:basedOn w:val="Normal"/>
    <w:link w:val="PlainTextChar"/>
    <w:uiPriority w:val="99"/>
    <w:semiHidden/>
    <w:unhideWhenUsed/>
    <w:rsid w:val="0089752C"/>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9752C"/>
    <w:rPr>
      <w:rFonts w:ascii="Consolas" w:hAnsi="Consolas"/>
      <w:sz w:val="21"/>
      <w:szCs w:val="21"/>
    </w:rPr>
  </w:style>
  <w:style w:type="paragraph" w:styleId="Quote">
    <w:name w:val="Quote"/>
    <w:basedOn w:val="Normal"/>
    <w:next w:val="Normal"/>
    <w:link w:val="QuoteChar"/>
    <w:uiPriority w:val="29"/>
    <w:qFormat/>
    <w:rsid w:val="0089752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9752C"/>
    <w:rPr>
      <w:rFonts w:ascii="Franklin Gothic Book" w:hAnsi="Franklin Gothic Book"/>
      <w:i/>
      <w:iCs/>
      <w:color w:val="404040" w:themeColor="text1" w:themeTint="BF"/>
    </w:rPr>
  </w:style>
  <w:style w:type="paragraph" w:styleId="Salutation">
    <w:name w:val="Salutation"/>
    <w:basedOn w:val="Normal"/>
    <w:next w:val="Normal"/>
    <w:link w:val="SalutationChar"/>
    <w:uiPriority w:val="99"/>
    <w:semiHidden/>
    <w:unhideWhenUsed/>
    <w:rsid w:val="0089752C"/>
  </w:style>
  <w:style w:type="character" w:customStyle="1" w:styleId="SalutationChar">
    <w:name w:val="Salutation Char"/>
    <w:basedOn w:val="DefaultParagraphFont"/>
    <w:link w:val="Salutation"/>
    <w:uiPriority w:val="99"/>
    <w:semiHidden/>
    <w:rsid w:val="0089752C"/>
    <w:rPr>
      <w:rFonts w:ascii="Franklin Gothic Book" w:hAnsi="Franklin Gothic Book"/>
    </w:rPr>
  </w:style>
  <w:style w:type="paragraph" w:styleId="Signature">
    <w:name w:val="Signature"/>
    <w:basedOn w:val="Normal"/>
    <w:link w:val="SignatureChar"/>
    <w:uiPriority w:val="99"/>
    <w:semiHidden/>
    <w:unhideWhenUsed/>
    <w:rsid w:val="0089752C"/>
    <w:pPr>
      <w:spacing w:before="0" w:after="0" w:line="240" w:lineRule="auto"/>
      <w:ind w:left="4252"/>
    </w:pPr>
  </w:style>
  <w:style w:type="character" w:customStyle="1" w:styleId="SignatureChar">
    <w:name w:val="Signature Char"/>
    <w:basedOn w:val="DefaultParagraphFont"/>
    <w:link w:val="Signature"/>
    <w:uiPriority w:val="99"/>
    <w:semiHidden/>
    <w:rsid w:val="0089752C"/>
    <w:rPr>
      <w:rFonts w:ascii="Franklin Gothic Book" w:hAnsi="Franklin Gothic Book"/>
    </w:rPr>
  </w:style>
  <w:style w:type="paragraph" w:styleId="TableofAuthorities">
    <w:name w:val="table of authorities"/>
    <w:basedOn w:val="Normal"/>
    <w:next w:val="Normal"/>
    <w:uiPriority w:val="99"/>
    <w:semiHidden/>
    <w:unhideWhenUsed/>
    <w:rsid w:val="0089752C"/>
    <w:pPr>
      <w:spacing w:after="0"/>
      <w:ind w:left="220" w:hanging="220"/>
    </w:pPr>
  </w:style>
  <w:style w:type="paragraph" w:styleId="TableofFigures">
    <w:name w:val="table of figures"/>
    <w:basedOn w:val="Normal"/>
    <w:next w:val="Normal"/>
    <w:uiPriority w:val="99"/>
    <w:semiHidden/>
    <w:unhideWhenUsed/>
    <w:rsid w:val="0089752C"/>
    <w:pPr>
      <w:spacing w:after="0"/>
    </w:pPr>
  </w:style>
  <w:style w:type="paragraph" w:styleId="TOAHeading">
    <w:name w:val="toa heading"/>
    <w:basedOn w:val="Normal"/>
    <w:next w:val="Normal"/>
    <w:uiPriority w:val="99"/>
    <w:semiHidden/>
    <w:unhideWhenUsed/>
    <w:rsid w:val="0089752C"/>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5403">
      <w:bodyDiv w:val="1"/>
      <w:marLeft w:val="0"/>
      <w:marRight w:val="0"/>
      <w:marTop w:val="0"/>
      <w:marBottom w:val="0"/>
      <w:divBdr>
        <w:top w:val="none" w:sz="0" w:space="0" w:color="auto"/>
        <w:left w:val="none" w:sz="0" w:space="0" w:color="auto"/>
        <w:bottom w:val="none" w:sz="0" w:space="0" w:color="auto"/>
        <w:right w:val="none" w:sz="0" w:space="0" w:color="auto"/>
      </w:divBdr>
    </w:div>
    <w:div w:id="74130392">
      <w:bodyDiv w:val="1"/>
      <w:marLeft w:val="0"/>
      <w:marRight w:val="0"/>
      <w:marTop w:val="0"/>
      <w:marBottom w:val="0"/>
      <w:divBdr>
        <w:top w:val="none" w:sz="0" w:space="0" w:color="auto"/>
        <w:left w:val="none" w:sz="0" w:space="0" w:color="auto"/>
        <w:bottom w:val="none" w:sz="0" w:space="0" w:color="auto"/>
        <w:right w:val="none" w:sz="0" w:space="0" w:color="auto"/>
      </w:divBdr>
    </w:div>
    <w:div w:id="174998036">
      <w:bodyDiv w:val="1"/>
      <w:marLeft w:val="0"/>
      <w:marRight w:val="0"/>
      <w:marTop w:val="0"/>
      <w:marBottom w:val="0"/>
      <w:divBdr>
        <w:top w:val="none" w:sz="0" w:space="0" w:color="auto"/>
        <w:left w:val="none" w:sz="0" w:space="0" w:color="auto"/>
        <w:bottom w:val="none" w:sz="0" w:space="0" w:color="auto"/>
        <w:right w:val="none" w:sz="0" w:space="0" w:color="auto"/>
      </w:divBdr>
    </w:div>
    <w:div w:id="184029289">
      <w:bodyDiv w:val="1"/>
      <w:marLeft w:val="0"/>
      <w:marRight w:val="0"/>
      <w:marTop w:val="0"/>
      <w:marBottom w:val="0"/>
      <w:divBdr>
        <w:top w:val="none" w:sz="0" w:space="0" w:color="auto"/>
        <w:left w:val="none" w:sz="0" w:space="0" w:color="auto"/>
        <w:bottom w:val="none" w:sz="0" w:space="0" w:color="auto"/>
        <w:right w:val="none" w:sz="0" w:space="0" w:color="auto"/>
      </w:divBdr>
    </w:div>
    <w:div w:id="206991689">
      <w:bodyDiv w:val="1"/>
      <w:marLeft w:val="0"/>
      <w:marRight w:val="0"/>
      <w:marTop w:val="0"/>
      <w:marBottom w:val="0"/>
      <w:divBdr>
        <w:top w:val="none" w:sz="0" w:space="0" w:color="auto"/>
        <w:left w:val="none" w:sz="0" w:space="0" w:color="auto"/>
        <w:bottom w:val="none" w:sz="0" w:space="0" w:color="auto"/>
        <w:right w:val="none" w:sz="0" w:space="0" w:color="auto"/>
      </w:divBdr>
    </w:div>
    <w:div w:id="240987840">
      <w:bodyDiv w:val="1"/>
      <w:marLeft w:val="0"/>
      <w:marRight w:val="0"/>
      <w:marTop w:val="0"/>
      <w:marBottom w:val="0"/>
      <w:divBdr>
        <w:top w:val="none" w:sz="0" w:space="0" w:color="auto"/>
        <w:left w:val="none" w:sz="0" w:space="0" w:color="auto"/>
        <w:bottom w:val="none" w:sz="0" w:space="0" w:color="auto"/>
        <w:right w:val="none" w:sz="0" w:space="0" w:color="auto"/>
      </w:divBdr>
    </w:div>
    <w:div w:id="259148225">
      <w:bodyDiv w:val="1"/>
      <w:marLeft w:val="0"/>
      <w:marRight w:val="0"/>
      <w:marTop w:val="0"/>
      <w:marBottom w:val="0"/>
      <w:divBdr>
        <w:top w:val="none" w:sz="0" w:space="0" w:color="auto"/>
        <w:left w:val="none" w:sz="0" w:space="0" w:color="auto"/>
        <w:bottom w:val="none" w:sz="0" w:space="0" w:color="auto"/>
        <w:right w:val="none" w:sz="0" w:space="0" w:color="auto"/>
      </w:divBdr>
    </w:div>
    <w:div w:id="381249859">
      <w:bodyDiv w:val="1"/>
      <w:marLeft w:val="0"/>
      <w:marRight w:val="0"/>
      <w:marTop w:val="0"/>
      <w:marBottom w:val="0"/>
      <w:divBdr>
        <w:top w:val="none" w:sz="0" w:space="0" w:color="auto"/>
        <w:left w:val="none" w:sz="0" w:space="0" w:color="auto"/>
        <w:bottom w:val="none" w:sz="0" w:space="0" w:color="auto"/>
        <w:right w:val="none" w:sz="0" w:space="0" w:color="auto"/>
      </w:divBdr>
    </w:div>
    <w:div w:id="388959748">
      <w:bodyDiv w:val="1"/>
      <w:marLeft w:val="0"/>
      <w:marRight w:val="0"/>
      <w:marTop w:val="0"/>
      <w:marBottom w:val="0"/>
      <w:divBdr>
        <w:top w:val="none" w:sz="0" w:space="0" w:color="auto"/>
        <w:left w:val="none" w:sz="0" w:space="0" w:color="auto"/>
        <w:bottom w:val="none" w:sz="0" w:space="0" w:color="auto"/>
        <w:right w:val="none" w:sz="0" w:space="0" w:color="auto"/>
      </w:divBdr>
    </w:div>
    <w:div w:id="393283070">
      <w:bodyDiv w:val="1"/>
      <w:marLeft w:val="0"/>
      <w:marRight w:val="0"/>
      <w:marTop w:val="0"/>
      <w:marBottom w:val="0"/>
      <w:divBdr>
        <w:top w:val="none" w:sz="0" w:space="0" w:color="auto"/>
        <w:left w:val="none" w:sz="0" w:space="0" w:color="auto"/>
        <w:bottom w:val="none" w:sz="0" w:space="0" w:color="auto"/>
        <w:right w:val="none" w:sz="0" w:space="0" w:color="auto"/>
      </w:divBdr>
    </w:div>
    <w:div w:id="414280912">
      <w:bodyDiv w:val="1"/>
      <w:marLeft w:val="0"/>
      <w:marRight w:val="0"/>
      <w:marTop w:val="0"/>
      <w:marBottom w:val="0"/>
      <w:divBdr>
        <w:top w:val="none" w:sz="0" w:space="0" w:color="auto"/>
        <w:left w:val="none" w:sz="0" w:space="0" w:color="auto"/>
        <w:bottom w:val="none" w:sz="0" w:space="0" w:color="auto"/>
        <w:right w:val="none" w:sz="0" w:space="0" w:color="auto"/>
      </w:divBdr>
    </w:div>
    <w:div w:id="425276192">
      <w:bodyDiv w:val="1"/>
      <w:marLeft w:val="0"/>
      <w:marRight w:val="0"/>
      <w:marTop w:val="0"/>
      <w:marBottom w:val="0"/>
      <w:divBdr>
        <w:top w:val="none" w:sz="0" w:space="0" w:color="auto"/>
        <w:left w:val="none" w:sz="0" w:space="0" w:color="auto"/>
        <w:bottom w:val="none" w:sz="0" w:space="0" w:color="auto"/>
        <w:right w:val="none" w:sz="0" w:space="0" w:color="auto"/>
      </w:divBdr>
    </w:div>
    <w:div w:id="445393862">
      <w:bodyDiv w:val="1"/>
      <w:marLeft w:val="0"/>
      <w:marRight w:val="0"/>
      <w:marTop w:val="0"/>
      <w:marBottom w:val="0"/>
      <w:divBdr>
        <w:top w:val="none" w:sz="0" w:space="0" w:color="auto"/>
        <w:left w:val="none" w:sz="0" w:space="0" w:color="auto"/>
        <w:bottom w:val="none" w:sz="0" w:space="0" w:color="auto"/>
        <w:right w:val="none" w:sz="0" w:space="0" w:color="auto"/>
      </w:divBdr>
    </w:div>
    <w:div w:id="470749954">
      <w:bodyDiv w:val="1"/>
      <w:marLeft w:val="0"/>
      <w:marRight w:val="0"/>
      <w:marTop w:val="0"/>
      <w:marBottom w:val="0"/>
      <w:divBdr>
        <w:top w:val="none" w:sz="0" w:space="0" w:color="auto"/>
        <w:left w:val="none" w:sz="0" w:space="0" w:color="auto"/>
        <w:bottom w:val="none" w:sz="0" w:space="0" w:color="auto"/>
        <w:right w:val="none" w:sz="0" w:space="0" w:color="auto"/>
      </w:divBdr>
    </w:div>
    <w:div w:id="497383534">
      <w:bodyDiv w:val="1"/>
      <w:marLeft w:val="0"/>
      <w:marRight w:val="0"/>
      <w:marTop w:val="0"/>
      <w:marBottom w:val="0"/>
      <w:divBdr>
        <w:top w:val="none" w:sz="0" w:space="0" w:color="auto"/>
        <w:left w:val="none" w:sz="0" w:space="0" w:color="auto"/>
        <w:bottom w:val="none" w:sz="0" w:space="0" w:color="auto"/>
        <w:right w:val="none" w:sz="0" w:space="0" w:color="auto"/>
      </w:divBdr>
    </w:div>
    <w:div w:id="547684622">
      <w:bodyDiv w:val="1"/>
      <w:marLeft w:val="0"/>
      <w:marRight w:val="0"/>
      <w:marTop w:val="0"/>
      <w:marBottom w:val="0"/>
      <w:divBdr>
        <w:top w:val="none" w:sz="0" w:space="0" w:color="auto"/>
        <w:left w:val="none" w:sz="0" w:space="0" w:color="auto"/>
        <w:bottom w:val="none" w:sz="0" w:space="0" w:color="auto"/>
        <w:right w:val="none" w:sz="0" w:space="0" w:color="auto"/>
      </w:divBdr>
    </w:div>
    <w:div w:id="553857340">
      <w:bodyDiv w:val="1"/>
      <w:marLeft w:val="0"/>
      <w:marRight w:val="0"/>
      <w:marTop w:val="0"/>
      <w:marBottom w:val="0"/>
      <w:divBdr>
        <w:top w:val="none" w:sz="0" w:space="0" w:color="auto"/>
        <w:left w:val="none" w:sz="0" w:space="0" w:color="auto"/>
        <w:bottom w:val="none" w:sz="0" w:space="0" w:color="auto"/>
        <w:right w:val="none" w:sz="0" w:space="0" w:color="auto"/>
      </w:divBdr>
    </w:div>
    <w:div w:id="601455998">
      <w:bodyDiv w:val="1"/>
      <w:marLeft w:val="0"/>
      <w:marRight w:val="0"/>
      <w:marTop w:val="0"/>
      <w:marBottom w:val="0"/>
      <w:divBdr>
        <w:top w:val="none" w:sz="0" w:space="0" w:color="auto"/>
        <w:left w:val="none" w:sz="0" w:space="0" w:color="auto"/>
        <w:bottom w:val="none" w:sz="0" w:space="0" w:color="auto"/>
        <w:right w:val="none" w:sz="0" w:space="0" w:color="auto"/>
      </w:divBdr>
    </w:div>
    <w:div w:id="617611887">
      <w:bodyDiv w:val="1"/>
      <w:marLeft w:val="0"/>
      <w:marRight w:val="0"/>
      <w:marTop w:val="0"/>
      <w:marBottom w:val="0"/>
      <w:divBdr>
        <w:top w:val="none" w:sz="0" w:space="0" w:color="auto"/>
        <w:left w:val="none" w:sz="0" w:space="0" w:color="auto"/>
        <w:bottom w:val="none" w:sz="0" w:space="0" w:color="auto"/>
        <w:right w:val="none" w:sz="0" w:space="0" w:color="auto"/>
      </w:divBdr>
    </w:div>
    <w:div w:id="633798868">
      <w:bodyDiv w:val="1"/>
      <w:marLeft w:val="0"/>
      <w:marRight w:val="0"/>
      <w:marTop w:val="0"/>
      <w:marBottom w:val="0"/>
      <w:divBdr>
        <w:top w:val="none" w:sz="0" w:space="0" w:color="auto"/>
        <w:left w:val="none" w:sz="0" w:space="0" w:color="auto"/>
        <w:bottom w:val="none" w:sz="0" w:space="0" w:color="auto"/>
        <w:right w:val="none" w:sz="0" w:space="0" w:color="auto"/>
      </w:divBdr>
    </w:div>
    <w:div w:id="650017405">
      <w:bodyDiv w:val="1"/>
      <w:marLeft w:val="0"/>
      <w:marRight w:val="0"/>
      <w:marTop w:val="0"/>
      <w:marBottom w:val="0"/>
      <w:divBdr>
        <w:top w:val="none" w:sz="0" w:space="0" w:color="auto"/>
        <w:left w:val="none" w:sz="0" w:space="0" w:color="auto"/>
        <w:bottom w:val="none" w:sz="0" w:space="0" w:color="auto"/>
        <w:right w:val="none" w:sz="0" w:space="0" w:color="auto"/>
      </w:divBdr>
    </w:div>
    <w:div w:id="719669662">
      <w:bodyDiv w:val="1"/>
      <w:marLeft w:val="0"/>
      <w:marRight w:val="0"/>
      <w:marTop w:val="0"/>
      <w:marBottom w:val="0"/>
      <w:divBdr>
        <w:top w:val="none" w:sz="0" w:space="0" w:color="auto"/>
        <w:left w:val="none" w:sz="0" w:space="0" w:color="auto"/>
        <w:bottom w:val="none" w:sz="0" w:space="0" w:color="auto"/>
        <w:right w:val="none" w:sz="0" w:space="0" w:color="auto"/>
      </w:divBdr>
    </w:div>
    <w:div w:id="733554141">
      <w:bodyDiv w:val="1"/>
      <w:marLeft w:val="0"/>
      <w:marRight w:val="0"/>
      <w:marTop w:val="0"/>
      <w:marBottom w:val="0"/>
      <w:divBdr>
        <w:top w:val="none" w:sz="0" w:space="0" w:color="auto"/>
        <w:left w:val="none" w:sz="0" w:space="0" w:color="auto"/>
        <w:bottom w:val="none" w:sz="0" w:space="0" w:color="auto"/>
        <w:right w:val="none" w:sz="0" w:space="0" w:color="auto"/>
      </w:divBdr>
    </w:div>
    <w:div w:id="783233635">
      <w:bodyDiv w:val="1"/>
      <w:marLeft w:val="0"/>
      <w:marRight w:val="0"/>
      <w:marTop w:val="0"/>
      <w:marBottom w:val="0"/>
      <w:divBdr>
        <w:top w:val="none" w:sz="0" w:space="0" w:color="auto"/>
        <w:left w:val="none" w:sz="0" w:space="0" w:color="auto"/>
        <w:bottom w:val="none" w:sz="0" w:space="0" w:color="auto"/>
        <w:right w:val="none" w:sz="0" w:space="0" w:color="auto"/>
      </w:divBdr>
    </w:div>
    <w:div w:id="815755281">
      <w:bodyDiv w:val="1"/>
      <w:marLeft w:val="0"/>
      <w:marRight w:val="0"/>
      <w:marTop w:val="0"/>
      <w:marBottom w:val="0"/>
      <w:divBdr>
        <w:top w:val="none" w:sz="0" w:space="0" w:color="auto"/>
        <w:left w:val="none" w:sz="0" w:space="0" w:color="auto"/>
        <w:bottom w:val="none" w:sz="0" w:space="0" w:color="auto"/>
        <w:right w:val="none" w:sz="0" w:space="0" w:color="auto"/>
      </w:divBdr>
    </w:div>
    <w:div w:id="816606006">
      <w:bodyDiv w:val="1"/>
      <w:marLeft w:val="0"/>
      <w:marRight w:val="0"/>
      <w:marTop w:val="0"/>
      <w:marBottom w:val="0"/>
      <w:divBdr>
        <w:top w:val="none" w:sz="0" w:space="0" w:color="auto"/>
        <w:left w:val="none" w:sz="0" w:space="0" w:color="auto"/>
        <w:bottom w:val="none" w:sz="0" w:space="0" w:color="auto"/>
        <w:right w:val="none" w:sz="0" w:space="0" w:color="auto"/>
      </w:divBdr>
    </w:div>
    <w:div w:id="850949379">
      <w:bodyDiv w:val="1"/>
      <w:marLeft w:val="0"/>
      <w:marRight w:val="0"/>
      <w:marTop w:val="0"/>
      <w:marBottom w:val="0"/>
      <w:divBdr>
        <w:top w:val="none" w:sz="0" w:space="0" w:color="auto"/>
        <w:left w:val="none" w:sz="0" w:space="0" w:color="auto"/>
        <w:bottom w:val="none" w:sz="0" w:space="0" w:color="auto"/>
        <w:right w:val="none" w:sz="0" w:space="0" w:color="auto"/>
      </w:divBdr>
    </w:div>
    <w:div w:id="883716246">
      <w:bodyDiv w:val="1"/>
      <w:marLeft w:val="0"/>
      <w:marRight w:val="0"/>
      <w:marTop w:val="0"/>
      <w:marBottom w:val="0"/>
      <w:divBdr>
        <w:top w:val="none" w:sz="0" w:space="0" w:color="auto"/>
        <w:left w:val="none" w:sz="0" w:space="0" w:color="auto"/>
        <w:bottom w:val="none" w:sz="0" w:space="0" w:color="auto"/>
        <w:right w:val="none" w:sz="0" w:space="0" w:color="auto"/>
      </w:divBdr>
    </w:div>
    <w:div w:id="912742429">
      <w:bodyDiv w:val="1"/>
      <w:marLeft w:val="0"/>
      <w:marRight w:val="0"/>
      <w:marTop w:val="0"/>
      <w:marBottom w:val="0"/>
      <w:divBdr>
        <w:top w:val="none" w:sz="0" w:space="0" w:color="auto"/>
        <w:left w:val="none" w:sz="0" w:space="0" w:color="auto"/>
        <w:bottom w:val="none" w:sz="0" w:space="0" w:color="auto"/>
        <w:right w:val="none" w:sz="0" w:space="0" w:color="auto"/>
      </w:divBdr>
    </w:div>
    <w:div w:id="921065123">
      <w:bodyDiv w:val="1"/>
      <w:marLeft w:val="0"/>
      <w:marRight w:val="0"/>
      <w:marTop w:val="0"/>
      <w:marBottom w:val="0"/>
      <w:divBdr>
        <w:top w:val="none" w:sz="0" w:space="0" w:color="auto"/>
        <w:left w:val="none" w:sz="0" w:space="0" w:color="auto"/>
        <w:bottom w:val="none" w:sz="0" w:space="0" w:color="auto"/>
        <w:right w:val="none" w:sz="0" w:space="0" w:color="auto"/>
      </w:divBdr>
    </w:div>
    <w:div w:id="944847599">
      <w:bodyDiv w:val="1"/>
      <w:marLeft w:val="0"/>
      <w:marRight w:val="0"/>
      <w:marTop w:val="0"/>
      <w:marBottom w:val="0"/>
      <w:divBdr>
        <w:top w:val="none" w:sz="0" w:space="0" w:color="auto"/>
        <w:left w:val="none" w:sz="0" w:space="0" w:color="auto"/>
        <w:bottom w:val="none" w:sz="0" w:space="0" w:color="auto"/>
        <w:right w:val="none" w:sz="0" w:space="0" w:color="auto"/>
      </w:divBdr>
    </w:div>
    <w:div w:id="976447681">
      <w:bodyDiv w:val="1"/>
      <w:marLeft w:val="0"/>
      <w:marRight w:val="0"/>
      <w:marTop w:val="0"/>
      <w:marBottom w:val="0"/>
      <w:divBdr>
        <w:top w:val="none" w:sz="0" w:space="0" w:color="auto"/>
        <w:left w:val="none" w:sz="0" w:space="0" w:color="auto"/>
        <w:bottom w:val="none" w:sz="0" w:space="0" w:color="auto"/>
        <w:right w:val="none" w:sz="0" w:space="0" w:color="auto"/>
      </w:divBdr>
    </w:div>
    <w:div w:id="1019160309">
      <w:bodyDiv w:val="1"/>
      <w:marLeft w:val="0"/>
      <w:marRight w:val="0"/>
      <w:marTop w:val="0"/>
      <w:marBottom w:val="0"/>
      <w:divBdr>
        <w:top w:val="none" w:sz="0" w:space="0" w:color="auto"/>
        <w:left w:val="none" w:sz="0" w:space="0" w:color="auto"/>
        <w:bottom w:val="none" w:sz="0" w:space="0" w:color="auto"/>
        <w:right w:val="none" w:sz="0" w:space="0" w:color="auto"/>
      </w:divBdr>
    </w:div>
    <w:div w:id="1067923274">
      <w:bodyDiv w:val="1"/>
      <w:marLeft w:val="0"/>
      <w:marRight w:val="0"/>
      <w:marTop w:val="0"/>
      <w:marBottom w:val="0"/>
      <w:divBdr>
        <w:top w:val="none" w:sz="0" w:space="0" w:color="auto"/>
        <w:left w:val="none" w:sz="0" w:space="0" w:color="auto"/>
        <w:bottom w:val="none" w:sz="0" w:space="0" w:color="auto"/>
        <w:right w:val="none" w:sz="0" w:space="0" w:color="auto"/>
      </w:divBdr>
    </w:div>
    <w:div w:id="1115448293">
      <w:bodyDiv w:val="1"/>
      <w:marLeft w:val="0"/>
      <w:marRight w:val="0"/>
      <w:marTop w:val="0"/>
      <w:marBottom w:val="0"/>
      <w:divBdr>
        <w:top w:val="none" w:sz="0" w:space="0" w:color="auto"/>
        <w:left w:val="none" w:sz="0" w:space="0" w:color="auto"/>
        <w:bottom w:val="none" w:sz="0" w:space="0" w:color="auto"/>
        <w:right w:val="none" w:sz="0" w:space="0" w:color="auto"/>
      </w:divBdr>
    </w:div>
    <w:div w:id="1117408241">
      <w:bodyDiv w:val="1"/>
      <w:marLeft w:val="0"/>
      <w:marRight w:val="0"/>
      <w:marTop w:val="0"/>
      <w:marBottom w:val="0"/>
      <w:divBdr>
        <w:top w:val="none" w:sz="0" w:space="0" w:color="auto"/>
        <w:left w:val="none" w:sz="0" w:space="0" w:color="auto"/>
        <w:bottom w:val="none" w:sz="0" w:space="0" w:color="auto"/>
        <w:right w:val="none" w:sz="0" w:space="0" w:color="auto"/>
      </w:divBdr>
    </w:div>
    <w:div w:id="1140272256">
      <w:bodyDiv w:val="1"/>
      <w:marLeft w:val="0"/>
      <w:marRight w:val="0"/>
      <w:marTop w:val="0"/>
      <w:marBottom w:val="0"/>
      <w:divBdr>
        <w:top w:val="none" w:sz="0" w:space="0" w:color="auto"/>
        <w:left w:val="none" w:sz="0" w:space="0" w:color="auto"/>
        <w:bottom w:val="none" w:sz="0" w:space="0" w:color="auto"/>
        <w:right w:val="none" w:sz="0" w:space="0" w:color="auto"/>
      </w:divBdr>
    </w:div>
    <w:div w:id="1171220333">
      <w:bodyDiv w:val="1"/>
      <w:marLeft w:val="0"/>
      <w:marRight w:val="0"/>
      <w:marTop w:val="0"/>
      <w:marBottom w:val="0"/>
      <w:divBdr>
        <w:top w:val="none" w:sz="0" w:space="0" w:color="auto"/>
        <w:left w:val="none" w:sz="0" w:space="0" w:color="auto"/>
        <w:bottom w:val="none" w:sz="0" w:space="0" w:color="auto"/>
        <w:right w:val="none" w:sz="0" w:space="0" w:color="auto"/>
      </w:divBdr>
    </w:div>
    <w:div w:id="1224098787">
      <w:bodyDiv w:val="1"/>
      <w:marLeft w:val="0"/>
      <w:marRight w:val="0"/>
      <w:marTop w:val="0"/>
      <w:marBottom w:val="0"/>
      <w:divBdr>
        <w:top w:val="none" w:sz="0" w:space="0" w:color="auto"/>
        <w:left w:val="none" w:sz="0" w:space="0" w:color="auto"/>
        <w:bottom w:val="none" w:sz="0" w:space="0" w:color="auto"/>
        <w:right w:val="none" w:sz="0" w:space="0" w:color="auto"/>
      </w:divBdr>
    </w:div>
    <w:div w:id="1229151570">
      <w:bodyDiv w:val="1"/>
      <w:marLeft w:val="0"/>
      <w:marRight w:val="0"/>
      <w:marTop w:val="0"/>
      <w:marBottom w:val="0"/>
      <w:divBdr>
        <w:top w:val="none" w:sz="0" w:space="0" w:color="auto"/>
        <w:left w:val="none" w:sz="0" w:space="0" w:color="auto"/>
        <w:bottom w:val="none" w:sz="0" w:space="0" w:color="auto"/>
        <w:right w:val="none" w:sz="0" w:space="0" w:color="auto"/>
      </w:divBdr>
    </w:div>
    <w:div w:id="1244218186">
      <w:bodyDiv w:val="1"/>
      <w:marLeft w:val="0"/>
      <w:marRight w:val="0"/>
      <w:marTop w:val="0"/>
      <w:marBottom w:val="0"/>
      <w:divBdr>
        <w:top w:val="none" w:sz="0" w:space="0" w:color="auto"/>
        <w:left w:val="none" w:sz="0" w:space="0" w:color="auto"/>
        <w:bottom w:val="none" w:sz="0" w:space="0" w:color="auto"/>
        <w:right w:val="none" w:sz="0" w:space="0" w:color="auto"/>
      </w:divBdr>
    </w:div>
    <w:div w:id="1256019463">
      <w:bodyDiv w:val="1"/>
      <w:marLeft w:val="0"/>
      <w:marRight w:val="0"/>
      <w:marTop w:val="0"/>
      <w:marBottom w:val="0"/>
      <w:divBdr>
        <w:top w:val="none" w:sz="0" w:space="0" w:color="auto"/>
        <w:left w:val="none" w:sz="0" w:space="0" w:color="auto"/>
        <w:bottom w:val="none" w:sz="0" w:space="0" w:color="auto"/>
        <w:right w:val="none" w:sz="0" w:space="0" w:color="auto"/>
      </w:divBdr>
    </w:div>
    <w:div w:id="1257448350">
      <w:bodyDiv w:val="1"/>
      <w:marLeft w:val="0"/>
      <w:marRight w:val="0"/>
      <w:marTop w:val="0"/>
      <w:marBottom w:val="0"/>
      <w:divBdr>
        <w:top w:val="none" w:sz="0" w:space="0" w:color="auto"/>
        <w:left w:val="none" w:sz="0" w:space="0" w:color="auto"/>
        <w:bottom w:val="none" w:sz="0" w:space="0" w:color="auto"/>
        <w:right w:val="none" w:sz="0" w:space="0" w:color="auto"/>
      </w:divBdr>
    </w:div>
    <w:div w:id="1260408255">
      <w:bodyDiv w:val="1"/>
      <w:marLeft w:val="0"/>
      <w:marRight w:val="0"/>
      <w:marTop w:val="0"/>
      <w:marBottom w:val="0"/>
      <w:divBdr>
        <w:top w:val="none" w:sz="0" w:space="0" w:color="auto"/>
        <w:left w:val="none" w:sz="0" w:space="0" w:color="auto"/>
        <w:bottom w:val="none" w:sz="0" w:space="0" w:color="auto"/>
        <w:right w:val="none" w:sz="0" w:space="0" w:color="auto"/>
      </w:divBdr>
    </w:div>
    <w:div w:id="1261797108">
      <w:bodyDiv w:val="1"/>
      <w:marLeft w:val="0"/>
      <w:marRight w:val="0"/>
      <w:marTop w:val="0"/>
      <w:marBottom w:val="0"/>
      <w:divBdr>
        <w:top w:val="none" w:sz="0" w:space="0" w:color="auto"/>
        <w:left w:val="none" w:sz="0" w:space="0" w:color="auto"/>
        <w:bottom w:val="none" w:sz="0" w:space="0" w:color="auto"/>
        <w:right w:val="none" w:sz="0" w:space="0" w:color="auto"/>
      </w:divBdr>
    </w:div>
    <w:div w:id="1285310076">
      <w:bodyDiv w:val="1"/>
      <w:marLeft w:val="0"/>
      <w:marRight w:val="0"/>
      <w:marTop w:val="0"/>
      <w:marBottom w:val="0"/>
      <w:divBdr>
        <w:top w:val="none" w:sz="0" w:space="0" w:color="auto"/>
        <w:left w:val="none" w:sz="0" w:space="0" w:color="auto"/>
        <w:bottom w:val="none" w:sz="0" w:space="0" w:color="auto"/>
        <w:right w:val="none" w:sz="0" w:space="0" w:color="auto"/>
      </w:divBdr>
    </w:div>
    <w:div w:id="1291789928">
      <w:bodyDiv w:val="1"/>
      <w:marLeft w:val="0"/>
      <w:marRight w:val="0"/>
      <w:marTop w:val="0"/>
      <w:marBottom w:val="0"/>
      <w:divBdr>
        <w:top w:val="none" w:sz="0" w:space="0" w:color="auto"/>
        <w:left w:val="none" w:sz="0" w:space="0" w:color="auto"/>
        <w:bottom w:val="none" w:sz="0" w:space="0" w:color="auto"/>
        <w:right w:val="none" w:sz="0" w:space="0" w:color="auto"/>
      </w:divBdr>
    </w:div>
    <w:div w:id="1309745875">
      <w:bodyDiv w:val="1"/>
      <w:marLeft w:val="0"/>
      <w:marRight w:val="0"/>
      <w:marTop w:val="0"/>
      <w:marBottom w:val="0"/>
      <w:divBdr>
        <w:top w:val="none" w:sz="0" w:space="0" w:color="auto"/>
        <w:left w:val="none" w:sz="0" w:space="0" w:color="auto"/>
        <w:bottom w:val="none" w:sz="0" w:space="0" w:color="auto"/>
        <w:right w:val="none" w:sz="0" w:space="0" w:color="auto"/>
      </w:divBdr>
    </w:div>
    <w:div w:id="1320118329">
      <w:bodyDiv w:val="1"/>
      <w:marLeft w:val="0"/>
      <w:marRight w:val="0"/>
      <w:marTop w:val="0"/>
      <w:marBottom w:val="0"/>
      <w:divBdr>
        <w:top w:val="none" w:sz="0" w:space="0" w:color="auto"/>
        <w:left w:val="none" w:sz="0" w:space="0" w:color="auto"/>
        <w:bottom w:val="none" w:sz="0" w:space="0" w:color="auto"/>
        <w:right w:val="none" w:sz="0" w:space="0" w:color="auto"/>
      </w:divBdr>
    </w:div>
    <w:div w:id="1338461236">
      <w:bodyDiv w:val="1"/>
      <w:marLeft w:val="0"/>
      <w:marRight w:val="0"/>
      <w:marTop w:val="0"/>
      <w:marBottom w:val="0"/>
      <w:divBdr>
        <w:top w:val="none" w:sz="0" w:space="0" w:color="auto"/>
        <w:left w:val="none" w:sz="0" w:space="0" w:color="auto"/>
        <w:bottom w:val="none" w:sz="0" w:space="0" w:color="auto"/>
        <w:right w:val="none" w:sz="0" w:space="0" w:color="auto"/>
      </w:divBdr>
    </w:div>
    <w:div w:id="1339045467">
      <w:bodyDiv w:val="1"/>
      <w:marLeft w:val="0"/>
      <w:marRight w:val="0"/>
      <w:marTop w:val="0"/>
      <w:marBottom w:val="0"/>
      <w:divBdr>
        <w:top w:val="none" w:sz="0" w:space="0" w:color="auto"/>
        <w:left w:val="none" w:sz="0" w:space="0" w:color="auto"/>
        <w:bottom w:val="none" w:sz="0" w:space="0" w:color="auto"/>
        <w:right w:val="none" w:sz="0" w:space="0" w:color="auto"/>
      </w:divBdr>
    </w:div>
    <w:div w:id="1411778870">
      <w:bodyDiv w:val="1"/>
      <w:marLeft w:val="0"/>
      <w:marRight w:val="0"/>
      <w:marTop w:val="0"/>
      <w:marBottom w:val="0"/>
      <w:divBdr>
        <w:top w:val="none" w:sz="0" w:space="0" w:color="auto"/>
        <w:left w:val="none" w:sz="0" w:space="0" w:color="auto"/>
        <w:bottom w:val="none" w:sz="0" w:space="0" w:color="auto"/>
        <w:right w:val="none" w:sz="0" w:space="0" w:color="auto"/>
      </w:divBdr>
    </w:div>
    <w:div w:id="1438984073">
      <w:bodyDiv w:val="1"/>
      <w:marLeft w:val="0"/>
      <w:marRight w:val="0"/>
      <w:marTop w:val="0"/>
      <w:marBottom w:val="0"/>
      <w:divBdr>
        <w:top w:val="none" w:sz="0" w:space="0" w:color="auto"/>
        <w:left w:val="none" w:sz="0" w:space="0" w:color="auto"/>
        <w:bottom w:val="none" w:sz="0" w:space="0" w:color="auto"/>
        <w:right w:val="none" w:sz="0" w:space="0" w:color="auto"/>
      </w:divBdr>
    </w:div>
    <w:div w:id="1446995807">
      <w:bodyDiv w:val="1"/>
      <w:marLeft w:val="0"/>
      <w:marRight w:val="0"/>
      <w:marTop w:val="0"/>
      <w:marBottom w:val="0"/>
      <w:divBdr>
        <w:top w:val="none" w:sz="0" w:space="0" w:color="auto"/>
        <w:left w:val="none" w:sz="0" w:space="0" w:color="auto"/>
        <w:bottom w:val="none" w:sz="0" w:space="0" w:color="auto"/>
        <w:right w:val="none" w:sz="0" w:space="0" w:color="auto"/>
      </w:divBdr>
    </w:div>
    <w:div w:id="1463307564">
      <w:bodyDiv w:val="1"/>
      <w:marLeft w:val="0"/>
      <w:marRight w:val="0"/>
      <w:marTop w:val="0"/>
      <w:marBottom w:val="0"/>
      <w:divBdr>
        <w:top w:val="none" w:sz="0" w:space="0" w:color="auto"/>
        <w:left w:val="none" w:sz="0" w:space="0" w:color="auto"/>
        <w:bottom w:val="none" w:sz="0" w:space="0" w:color="auto"/>
        <w:right w:val="none" w:sz="0" w:space="0" w:color="auto"/>
      </w:divBdr>
    </w:div>
    <w:div w:id="1514104002">
      <w:bodyDiv w:val="1"/>
      <w:marLeft w:val="0"/>
      <w:marRight w:val="0"/>
      <w:marTop w:val="0"/>
      <w:marBottom w:val="0"/>
      <w:divBdr>
        <w:top w:val="none" w:sz="0" w:space="0" w:color="auto"/>
        <w:left w:val="none" w:sz="0" w:space="0" w:color="auto"/>
        <w:bottom w:val="none" w:sz="0" w:space="0" w:color="auto"/>
        <w:right w:val="none" w:sz="0" w:space="0" w:color="auto"/>
      </w:divBdr>
    </w:div>
    <w:div w:id="1590624353">
      <w:bodyDiv w:val="1"/>
      <w:marLeft w:val="0"/>
      <w:marRight w:val="0"/>
      <w:marTop w:val="0"/>
      <w:marBottom w:val="0"/>
      <w:divBdr>
        <w:top w:val="none" w:sz="0" w:space="0" w:color="auto"/>
        <w:left w:val="none" w:sz="0" w:space="0" w:color="auto"/>
        <w:bottom w:val="none" w:sz="0" w:space="0" w:color="auto"/>
        <w:right w:val="none" w:sz="0" w:space="0" w:color="auto"/>
      </w:divBdr>
    </w:div>
    <w:div w:id="1596087102">
      <w:bodyDiv w:val="1"/>
      <w:marLeft w:val="0"/>
      <w:marRight w:val="0"/>
      <w:marTop w:val="0"/>
      <w:marBottom w:val="0"/>
      <w:divBdr>
        <w:top w:val="none" w:sz="0" w:space="0" w:color="auto"/>
        <w:left w:val="none" w:sz="0" w:space="0" w:color="auto"/>
        <w:bottom w:val="none" w:sz="0" w:space="0" w:color="auto"/>
        <w:right w:val="none" w:sz="0" w:space="0" w:color="auto"/>
      </w:divBdr>
    </w:div>
    <w:div w:id="1606306867">
      <w:bodyDiv w:val="1"/>
      <w:marLeft w:val="0"/>
      <w:marRight w:val="0"/>
      <w:marTop w:val="0"/>
      <w:marBottom w:val="0"/>
      <w:divBdr>
        <w:top w:val="none" w:sz="0" w:space="0" w:color="auto"/>
        <w:left w:val="none" w:sz="0" w:space="0" w:color="auto"/>
        <w:bottom w:val="none" w:sz="0" w:space="0" w:color="auto"/>
        <w:right w:val="none" w:sz="0" w:space="0" w:color="auto"/>
      </w:divBdr>
    </w:div>
    <w:div w:id="1656181121">
      <w:bodyDiv w:val="1"/>
      <w:marLeft w:val="0"/>
      <w:marRight w:val="0"/>
      <w:marTop w:val="0"/>
      <w:marBottom w:val="0"/>
      <w:divBdr>
        <w:top w:val="none" w:sz="0" w:space="0" w:color="auto"/>
        <w:left w:val="none" w:sz="0" w:space="0" w:color="auto"/>
        <w:bottom w:val="none" w:sz="0" w:space="0" w:color="auto"/>
        <w:right w:val="none" w:sz="0" w:space="0" w:color="auto"/>
      </w:divBdr>
    </w:div>
    <w:div w:id="1762137158">
      <w:bodyDiv w:val="1"/>
      <w:marLeft w:val="0"/>
      <w:marRight w:val="0"/>
      <w:marTop w:val="0"/>
      <w:marBottom w:val="0"/>
      <w:divBdr>
        <w:top w:val="none" w:sz="0" w:space="0" w:color="auto"/>
        <w:left w:val="none" w:sz="0" w:space="0" w:color="auto"/>
        <w:bottom w:val="none" w:sz="0" w:space="0" w:color="auto"/>
        <w:right w:val="none" w:sz="0" w:space="0" w:color="auto"/>
      </w:divBdr>
    </w:div>
    <w:div w:id="1788818186">
      <w:bodyDiv w:val="1"/>
      <w:marLeft w:val="0"/>
      <w:marRight w:val="0"/>
      <w:marTop w:val="0"/>
      <w:marBottom w:val="0"/>
      <w:divBdr>
        <w:top w:val="none" w:sz="0" w:space="0" w:color="auto"/>
        <w:left w:val="none" w:sz="0" w:space="0" w:color="auto"/>
        <w:bottom w:val="none" w:sz="0" w:space="0" w:color="auto"/>
        <w:right w:val="none" w:sz="0" w:space="0" w:color="auto"/>
      </w:divBdr>
    </w:div>
    <w:div w:id="1812365276">
      <w:bodyDiv w:val="1"/>
      <w:marLeft w:val="0"/>
      <w:marRight w:val="0"/>
      <w:marTop w:val="0"/>
      <w:marBottom w:val="0"/>
      <w:divBdr>
        <w:top w:val="none" w:sz="0" w:space="0" w:color="auto"/>
        <w:left w:val="none" w:sz="0" w:space="0" w:color="auto"/>
        <w:bottom w:val="none" w:sz="0" w:space="0" w:color="auto"/>
        <w:right w:val="none" w:sz="0" w:space="0" w:color="auto"/>
      </w:divBdr>
    </w:div>
    <w:div w:id="1821579227">
      <w:bodyDiv w:val="1"/>
      <w:marLeft w:val="0"/>
      <w:marRight w:val="0"/>
      <w:marTop w:val="0"/>
      <w:marBottom w:val="0"/>
      <w:divBdr>
        <w:top w:val="none" w:sz="0" w:space="0" w:color="auto"/>
        <w:left w:val="none" w:sz="0" w:space="0" w:color="auto"/>
        <w:bottom w:val="none" w:sz="0" w:space="0" w:color="auto"/>
        <w:right w:val="none" w:sz="0" w:space="0" w:color="auto"/>
      </w:divBdr>
    </w:div>
    <w:div w:id="1825900015">
      <w:bodyDiv w:val="1"/>
      <w:marLeft w:val="0"/>
      <w:marRight w:val="0"/>
      <w:marTop w:val="0"/>
      <w:marBottom w:val="0"/>
      <w:divBdr>
        <w:top w:val="none" w:sz="0" w:space="0" w:color="auto"/>
        <w:left w:val="none" w:sz="0" w:space="0" w:color="auto"/>
        <w:bottom w:val="none" w:sz="0" w:space="0" w:color="auto"/>
        <w:right w:val="none" w:sz="0" w:space="0" w:color="auto"/>
      </w:divBdr>
    </w:div>
    <w:div w:id="1839031648">
      <w:bodyDiv w:val="1"/>
      <w:marLeft w:val="0"/>
      <w:marRight w:val="0"/>
      <w:marTop w:val="0"/>
      <w:marBottom w:val="0"/>
      <w:divBdr>
        <w:top w:val="none" w:sz="0" w:space="0" w:color="auto"/>
        <w:left w:val="none" w:sz="0" w:space="0" w:color="auto"/>
        <w:bottom w:val="none" w:sz="0" w:space="0" w:color="auto"/>
        <w:right w:val="none" w:sz="0" w:space="0" w:color="auto"/>
      </w:divBdr>
    </w:div>
    <w:div w:id="1872720001">
      <w:bodyDiv w:val="1"/>
      <w:marLeft w:val="0"/>
      <w:marRight w:val="0"/>
      <w:marTop w:val="0"/>
      <w:marBottom w:val="0"/>
      <w:divBdr>
        <w:top w:val="none" w:sz="0" w:space="0" w:color="auto"/>
        <w:left w:val="none" w:sz="0" w:space="0" w:color="auto"/>
        <w:bottom w:val="none" w:sz="0" w:space="0" w:color="auto"/>
        <w:right w:val="none" w:sz="0" w:space="0" w:color="auto"/>
      </w:divBdr>
    </w:div>
    <w:div w:id="1897084583">
      <w:bodyDiv w:val="1"/>
      <w:marLeft w:val="0"/>
      <w:marRight w:val="0"/>
      <w:marTop w:val="0"/>
      <w:marBottom w:val="0"/>
      <w:divBdr>
        <w:top w:val="none" w:sz="0" w:space="0" w:color="auto"/>
        <w:left w:val="none" w:sz="0" w:space="0" w:color="auto"/>
        <w:bottom w:val="none" w:sz="0" w:space="0" w:color="auto"/>
        <w:right w:val="none" w:sz="0" w:space="0" w:color="auto"/>
      </w:divBdr>
    </w:div>
    <w:div w:id="1966886888">
      <w:bodyDiv w:val="1"/>
      <w:marLeft w:val="0"/>
      <w:marRight w:val="0"/>
      <w:marTop w:val="0"/>
      <w:marBottom w:val="0"/>
      <w:divBdr>
        <w:top w:val="none" w:sz="0" w:space="0" w:color="auto"/>
        <w:left w:val="none" w:sz="0" w:space="0" w:color="auto"/>
        <w:bottom w:val="none" w:sz="0" w:space="0" w:color="auto"/>
        <w:right w:val="none" w:sz="0" w:space="0" w:color="auto"/>
      </w:divBdr>
    </w:div>
    <w:div w:id="2010130949">
      <w:bodyDiv w:val="1"/>
      <w:marLeft w:val="0"/>
      <w:marRight w:val="0"/>
      <w:marTop w:val="0"/>
      <w:marBottom w:val="0"/>
      <w:divBdr>
        <w:top w:val="none" w:sz="0" w:space="0" w:color="auto"/>
        <w:left w:val="none" w:sz="0" w:space="0" w:color="auto"/>
        <w:bottom w:val="none" w:sz="0" w:space="0" w:color="auto"/>
        <w:right w:val="none" w:sz="0" w:space="0" w:color="auto"/>
      </w:divBdr>
    </w:div>
    <w:div w:id="2050491545">
      <w:bodyDiv w:val="1"/>
      <w:marLeft w:val="0"/>
      <w:marRight w:val="0"/>
      <w:marTop w:val="0"/>
      <w:marBottom w:val="0"/>
      <w:divBdr>
        <w:top w:val="none" w:sz="0" w:space="0" w:color="auto"/>
        <w:left w:val="none" w:sz="0" w:space="0" w:color="auto"/>
        <w:bottom w:val="none" w:sz="0" w:space="0" w:color="auto"/>
        <w:right w:val="none" w:sz="0" w:space="0" w:color="auto"/>
      </w:divBdr>
    </w:div>
    <w:div w:id="2068530871">
      <w:bodyDiv w:val="1"/>
      <w:marLeft w:val="0"/>
      <w:marRight w:val="0"/>
      <w:marTop w:val="0"/>
      <w:marBottom w:val="0"/>
      <w:divBdr>
        <w:top w:val="none" w:sz="0" w:space="0" w:color="auto"/>
        <w:left w:val="none" w:sz="0" w:space="0" w:color="auto"/>
        <w:bottom w:val="none" w:sz="0" w:space="0" w:color="auto"/>
        <w:right w:val="none" w:sz="0" w:space="0" w:color="auto"/>
      </w:divBdr>
    </w:div>
    <w:div w:id="2104757405">
      <w:bodyDiv w:val="1"/>
      <w:marLeft w:val="0"/>
      <w:marRight w:val="0"/>
      <w:marTop w:val="0"/>
      <w:marBottom w:val="0"/>
      <w:divBdr>
        <w:top w:val="none" w:sz="0" w:space="0" w:color="auto"/>
        <w:left w:val="none" w:sz="0" w:space="0" w:color="auto"/>
        <w:bottom w:val="none" w:sz="0" w:space="0" w:color="auto"/>
        <w:right w:val="none" w:sz="0" w:space="0" w:color="auto"/>
      </w:divBdr>
    </w:div>
    <w:div w:id="213123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 TargetMode="External"/><Relationship Id="rId13" Type="http://schemas.openxmlformats.org/officeDocument/2006/relationships/hyperlink" Target="https://www.msac.gov.au/sites/default/files/documents/1511%2520-%2520Final%2520PSD.docx" TargetMode="External"/><Relationship Id="rId18" Type="http://schemas.openxmlformats.org/officeDocument/2006/relationships/hyperlink" Target="http://msac.gov.au/internet/msac/publishing.nsf/Content/Home-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linicaltrials.gov/study/NCT06703606" TargetMode="External"/><Relationship Id="rId17" Type="http://schemas.openxmlformats.org/officeDocument/2006/relationships/hyperlink" Target="https://www.msac.gov.au/applications/151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sac.gov.au/applications/1805" TargetMode="External"/><Relationship Id="rId20" Type="http://schemas.openxmlformats.org/officeDocument/2006/relationships/header" Target="header2.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ac.gov.au/sites/default/files/2025-11/1728.1_final_psd_-_july_2025_-_redacted.doc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msac.gov.au/applications/1728-1" TargetMode="External"/><Relationship Id="rId23" Type="http://schemas.openxmlformats.org/officeDocument/2006/relationships/header" Target="header3.xml"/><Relationship Id="rId28" Type="http://schemas.openxmlformats.org/officeDocument/2006/relationships/customXml" Target="../customXml/item3.xml"/><Relationship Id="rId10" Type="http://schemas.openxmlformats.org/officeDocument/2006/relationships/hyperlink" Target="https://www.msac.gov.au/sites/default/files/2024-10/guidelines-for-preparing-assessments-for-msac.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sac.gov.au/applications/1510-1" TargetMode="External"/><Relationship Id="rId14" Type="http://schemas.openxmlformats.org/officeDocument/2006/relationships/hyperlink" Target="https://www.msac.gov.au/applications/1511" TargetMode="External"/><Relationship Id="rId22" Type="http://schemas.openxmlformats.org/officeDocument/2006/relationships/footer" Target="footer2.xml"/><Relationship Id="rId27"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icer.org/wp-content/uploads/2020/10/ICER_Hemophilia-A_Final-Report_112020.pdf" TargetMode="External"/><Relationship Id="rId2" Type="http://schemas.openxmlformats.org/officeDocument/2006/relationships/hyperlink" Target="https://www.google.com/search?q=Australian+Blood+Disorders+Registry+Annual+Report+2021-22&amp;sca_esv=d95b60ce6566ebe8&amp;source=hp&amp;ei=uMdIadG1G6yvseMPj--OsQc&amp;iflsig=AOw8s4IAAAAAaUjVyMUkx6F6Xs12h8NQ3I1gzPRKYomK&amp;ved=0ahUKEwjR8fjLrNCRAxWsV2wGHY-3I3YQ4dUDCBU&amp;uact=5&amp;oq=Australian+Blood+Disorders+Registry+Annual+Report+2021-22&amp;gs_lp=Egdnd3Mtd2l6IjlBdXN0cmFsaWFuIEJsb29kIERpc29yZGVycyBSZWdpc3RyeSBBbm51YWwgUmVwb3J0IDIwMjEtMjIyCBAAGKIEGIkFMggQABiABBiiBDIFEAAY7wUyCBAAGKIEGIkFMgUQABjvBUiRBlAAWABwAHgAkAEAmAH5AaAB-QGqAQMyLTG4AQPIAQD4AQL4AQGYAgGgAoACmAMAkgcDMi0xoAedBLIHAzItMbgHgALCBwMyLTHIBwSACAA&amp;sclient=gws-wiz" TargetMode="External"/><Relationship Id="rId1" Type="http://schemas.openxmlformats.org/officeDocument/2006/relationships/hyperlink" Target="https://www.google.com/url?sa=t&amp;source=web&amp;rct=j&amp;opi=89978449&amp;url=https://www.tga.gov.au/sites/default/files/2025-10/auspar-hympavzi-251022-pi.pdf&amp;ved=2ahUKEwjdjYmB3NKRAxWUb_UHHXUYDKwQFnoECBgQAQ&amp;usg=AOvVaw0lArRs7SdSmN5OgfpIwxbu" TargetMode="External"/><Relationship Id="rId4" Type="http://schemas.openxmlformats.org/officeDocument/2006/relationships/hyperlink" Target="https://doi.org/10.1111/hae.148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Kaz241</b:Tag>
    <b:SourceType>ConferenceProceedings</b:SourceType>
    <b:Guid>{43A15116-CB75-4D71-85AD-D7C0B6FB3467}</b:Guid>
    <b:Title>Sustained efficacy of marstacimab in adults and adolescents with severe hemophilia A or B without inhibitors</b:Title>
    <b:Year>2024</b:Year>
    <b:City>Madrid</b:City>
    <b:Publisher>Abstract S320</b:Publisher>
    <b:Pages>June</b:Pages>
    <b:ConferenceName>European Hemophilia Association Congress</b:ConferenceName>
    <b:Author>
      <b:Author>
        <b:NameList>
          <b:Person>
            <b:Last>Kazani</b:Last>
            <b:First>S.</b:First>
          </b:Person>
        </b:NameList>
      </b:Author>
    </b:Author>
    <b:RefOrder>11</b:RefOrder>
  </b:Source>
  <b:Source>
    <b:Tag>Mah18</b:Tag>
    <b:SourceType>JournalArticle</b:SourceType>
    <b:Guid>{A2269806-B416-45B7-BC12-B0C41F997C1B}</b:Guid>
    <b:Title>Emicizumab Prophylaxis in Patients Who Have Hemophilia A</b:Title>
    <b:Year>2018</b:Year>
    <b:Author>
      <b:Author>
        <b:NameList>
          <b:Person>
            <b:Last>Mahlangu</b:Last>
            <b:First>J.</b:First>
          </b:Person>
          <b:Person>
            <b:Last>Oldenburg</b:Last>
            <b:First>J.</b:First>
          </b:Person>
          <b:Person>
            <b:Last>Paz-Priel</b:Last>
            <b:First>I.</b:First>
          </b:Person>
        </b:NameList>
      </b:Author>
    </b:Author>
    <b:JournalName>N Engl J Med</b:JournalName>
    <b:Pages>811-22</b:Pages>
    <b:Volume>379</b:Volume>
    <b:Issue>9</b:Issue>
    <b:RefOrder>29</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5E4A37BE997BE34FBB7D5057D341D123" ma:contentTypeVersion="14" ma:contentTypeDescription="Create a new document." ma:contentTypeScope="" ma:versionID="d0803639e3b14a1b5fe5efce3e9a7be0">
  <xsd:schema xmlns:xsd="http://www.w3.org/2001/XMLSchema" xmlns:xs="http://www.w3.org/2001/XMLSchema" xmlns:p="http://schemas.microsoft.com/office/2006/metadata/properties" xmlns:ns2="7513b557-581c-46d3-8cc7-77c65017dc6f" xmlns:ns3="e7d54a9e-4aca-451b-99db-b94fe438e987" targetNamespace="http://schemas.microsoft.com/office/2006/metadata/properties" ma:root="true" ma:fieldsID="124831d27a8e0cd56fbacb95874fe705" ns2:_="" ns3:_="">
    <xsd:import namespace="7513b557-581c-46d3-8cc7-77c65017dc6f"/>
    <xsd:import namespace="e7d54a9e-4aca-451b-99db-b94fe438e9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3b557-581c-46d3-8cc7-77c65017d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d54a9e-4aca-451b-99db-b94fe438e9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094059-5103-4cd0-8820-a17a44f45f06}" ma:internalName="TaxCatchAll" ma:showField="CatchAllData" ma:web="e7d54a9e-4aca-451b-99db-b94fe438e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13b557-581c-46d3-8cc7-77c65017dc6f">
      <Terms xmlns="http://schemas.microsoft.com/office/infopath/2007/PartnerControls"/>
    </lcf76f155ced4ddcb4097134ff3c332f>
    <TaxCatchAll xmlns="e7d54a9e-4aca-451b-99db-b94fe438e987" xsi:nil="true"/>
  </documentManagement>
</p:properties>
</file>

<file path=customXml/itemProps1.xml><?xml version="1.0" encoding="utf-8"?>
<ds:datastoreItem xmlns:ds="http://schemas.openxmlformats.org/officeDocument/2006/customXml" ds:itemID="{3BEDBE86-A899-4CCB-A039-B20C242CF36C}">
  <ds:schemaRefs>
    <ds:schemaRef ds:uri="http://schemas.openxmlformats.org/officeDocument/2006/bibliography"/>
  </ds:schemaRefs>
</ds:datastoreItem>
</file>

<file path=customXml/itemProps2.xml><?xml version="1.0" encoding="utf-8"?>
<ds:datastoreItem xmlns:ds="http://schemas.openxmlformats.org/officeDocument/2006/customXml" ds:itemID="{5205E6E6-AFA5-460D-B96B-991811884469}"/>
</file>

<file path=customXml/itemProps3.xml><?xml version="1.0" encoding="utf-8"?>
<ds:datastoreItem xmlns:ds="http://schemas.openxmlformats.org/officeDocument/2006/customXml" ds:itemID="{B4C51FE9-DCA7-4DEF-9E5F-78089B8CDC72}"/>
</file>

<file path=customXml/itemProps4.xml><?xml version="1.0" encoding="utf-8"?>
<ds:datastoreItem xmlns:ds="http://schemas.openxmlformats.org/officeDocument/2006/customXml" ds:itemID="{E9D59CE8-4CCE-4E33-B2EE-6E44B7D1210E}"/>
</file>

<file path=docProps/app.xml><?xml version="1.0" encoding="utf-8"?>
<Properties xmlns="http://schemas.openxmlformats.org/officeDocument/2006/extended-properties" xmlns:vt="http://schemas.openxmlformats.org/officeDocument/2006/docPropsVTypes">
  <Template>Normal.dotm</Template>
  <TotalTime>0</TotalTime>
  <Pages>54</Pages>
  <Words>26649</Words>
  <Characters>147375</Characters>
  <Application>Microsoft Office Word</Application>
  <DocSecurity>2</DocSecurity>
  <Lines>3684</Lines>
  <Paragraphs>2175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171849</CharactersWithSpaces>
  <SharedDoc>false</SharedDoc>
  <HyperlinkBase/>
  <HLinks>
    <vt:vector size="78" baseType="variant">
      <vt:variant>
        <vt:i4>6684716</vt:i4>
      </vt:variant>
      <vt:variant>
        <vt:i4>354</vt:i4>
      </vt:variant>
      <vt:variant>
        <vt:i4>0</vt:i4>
      </vt:variant>
      <vt:variant>
        <vt:i4>5</vt:i4>
      </vt:variant>
      <vt:variant>
        <vt:lpwstr>http://msac.gov.au/internet/msac/publishing.nsf/Content/Home-1</vt:lpwstr>
      </vt:variant>
      <vt:variant>
        <vt:lpwstr/>
      </vt:variant>
      <vt:variant>
        <vt:i4>1048658</vt:i4>
      </vt:variant>
      <vt:variant>
        <vt:i4>333</vt:i4>
      </vt:variant>
      <vt:variant>
        <vt:i4>0</vt:i4>
      </vt:variant>
      <vt:variant>
        <vt:i4>5</vt:i4>
      </vt:variant>
      <vt:variant>
        <vt:lpwstr>https://www.msac.gov.au/applications/1511</vt:lpwstr>
      </vt:variant>
      <vt:variant>
        <vt:lpwstr/>
      </vt:variant>
      <vt:variant>
        <vt:i4>1114207</vt:i4>
      </vt:variant>
      <vt:variant>
        <vt:i4>327</vt:i4>
      </vt:variant>
      <vt:variant>
        <vt:i4>0</vt:i4>
      </vt:variant>
      <vt:variant>
        <vt:i4>5</vt:i4>
      </vt:variant>
      <vt:variant>
        <vt:lpwstr>https://www.msac.gov.au/applications/1805</vt:lpwstr>
      </vt:variant>
      <vt:variant>
        <vt:lpwstr/>
      </vt:variant>
      <vt:variant>
        <vt:i4>4063336</vt:i4>
      </vt:variant>
      <vt:variant>
        <vt:i4>324</vt:i4>
      </vt:variant>
      <vt:variant>
        <vt:i4>0</vt:i4>
      </vt:variant>
      <vt:variant>
        <vt:i4>5</vt:i4>
      </vt:variant>
      <vt:variant>
        <vt:lpwstr>https://www.msac.gov.au/applications/1728-1</vt:lpwstr>
      </vt:variant>
      <vt:variant>
        <vt:lpwstr/>
      </vt:variant>
      <vt:variant>
        <vt:i4>1048658</vt:i4>
      </vt:variant>
      <vt:variant>
        <vt:i4>318</vt:i4>
      </vt:variant>
      <vt:variant>
        <vt:i4>0</vt:i4>
      </vt:variant>
      <vt:variant>
        <vt:i4>5</vt:i4>
      </vt:variant>
      <vt:variant>
        <vt:lpwstr>https://www.msac.gov.au/applications/1511</vt:lpwstr>
      </vt:variant>
      <vt:variant>
        <vt:lpwstr/>
      </vt:variant>
      <vt:variant>
        <vt:i4>3801141</vt:i4>
      </vt:variant>
      <vt:variant>
        <vt:i4>63</vt:i4>
      </vt:variant>
      <vt:variant>
        <vt:i4>0</vt:i4>
      </vt:variant>
      <vt:variant>
        <vt:i4>5</vt:i4>
      </vt:variant>
      <vt:variant>
        <vt:lpwstr>https://www.msac.gov.au/sites/default/files/documents/1511%2520-%2520Final%2520PSD.docx</vt:lpwstr>
      </vt:variant>
      <vt:variant>
        <vt:lpwstr/>
      </vt:variant>
      <vt:variant>
        <vt:i4>917509</vt:i4>
      </vt:variant>
      <vt:variant>
        <vt:i4>51</vt:i4>
      </vt:variant>
      <vt:variant>
        <vt:i4>0</vt:i4>
      </vt:variant>
      <vt:variant>
        <vt:i4>5</vt:i4>
      </vt:variant>
      <vt:variant>
        <vt:lpwstr>https://clinicaltrials.gov/study/NCT06703606</vt:lpwstr>
      </vt:variant>
      <vt:variant>
        <vt:lpwstr/>
      </vt:variant>
      <vt:variant>
        <vt:i4>6291469</vt:i4>
      </vt:variant>
      <vt:variant>
        <vt:i4>15</vt:i4>
      </vt:variant>
      <vt:variant>
        <vt:i4>0</vt:i4>
      </vt:variant>
      <vt:variant>
        <vt:i4>5</vt:i4>
      </vt:variant>
      <vt:variant>
        <vt:lpwstr>https://www.msac.gov.au/sites/default/files/2025-11/1728.1_final_psd_-_july_2025_-_redacted.docx</vt:lpwstr>
      </vt:variant>
      <vt:variant>
        <vt:lpwstr/>
      </vt:variant>
      <vt:variant>
        <vt:i4>3997744</vt:i4>
      </vt:variant>
      <vt:variant>
        <vt:i4>0</vt:i4>
      </vt:variant>
      <vt:variant>
        <vt:i4>0</vt:i4>
      </vt:variant>
      <vt:variant>
        <vt:i4>5</vt:i4>
      </vt:variant>
      <vt:variant>
        <vt:lpwstr>http://www.msac.gov.au/</vt:lpwstr>
      </vt:variant>
      <vt:variant>
        <vt:lpwstr/>
      </vt:variant>
      <vt:variant>
        <vt:i4>6094942</vt:i4>
      </vt:variant>
      <vt:variant>
        <vt:i4>9</vt:i4>
      </vt:variant>
      <vt:variant>
        <vt:i4>0</vt:i4>
      </vt:variant>
      <vt:variant>
        <vt:i4>5</vt:i4>
      </vt:variant>
      <vt:variant>
        <vt:lpwstr>https://doi.org/10.1111/hae.14842</vt:lpwstr>
      </vt:variant>
      <vt:variant>
        <vt:lpwstr/>
      </vt:variant>
      <vt:variant>
        <vt:i4>7602192</vt:i4>
      </vt:variant>
      <vt:variant>
        <vt:i4>6</vt:i4>
      </vt:variant>
      <vt:variant>
        <vt:i4>0</vt:i4>
      </vt:variant>
      <vt:variant>
        <vt:i4>5</vt:i4>
      </vt:variant>
      <vt:variant>
        <vt:lpwstr>https://icer.org/wp-content/uploads/2020/10/ICER_Hemophilia-A_Final-Report_112020.pdf</vt:lpwstr>
      </vt:variant>
      <vt:variant>
        <vt:lpwstr/>
      </vt:variant>
      <vt:variant>
        <vt:i4>4784242</vt:i4>
      </vt:variant>
      <vt:variant>
        <vt:i4>3</vt:i4>
      </vt:variant>
      <vt:variant>
        <vt:i4>0</vt:i4>
      </vt:variant>
      <vt:variant>
        <vt:i4>5</vt:i4>
      </vt:variant>
      <vt:variant>
        <vt:lpwstr>https://www.google.com/search?q=Australian+Blood+Disorders+Registry+Annual+Report+2021-22&amp;sca_esv=d95b60ce6566ebe8&amp;source=hp&amp;ei=uMdIadG1G6yvseMPj--OsQc&amp;iflsig=AOw8s4IAAAAAaUjVyMUkx6F6Xs12h8NQ3I1gzPRKYomK&amp;ved=0ahUKEwjR8fjLrNCRAxWsV2wGHY-3I3YQ4dUDCBU&amp;uact=5&amp;oq=Australian+Blood+Disorders+Registry+Annual+Report+2021-22&amp;gs_lp=Egdnd3Mtd2l6IjlBdXN0cmFsaWFuIEJsb29kIERpc29yZGVycyBSZWdpc3RyeSBBbm51YWwgUmVwb3J0IDIwMjEtMjIyCBAAGKIEGIkFMggQABiABBiiBDIFEAAY7wUyCBAAGKIEGIkFMgUQABjvBUiRBlAAWABwAHgAkAEAmAH5AaAB-QGqAQMyLTG4AQPIAQD4AQL4AQGYAgGgAoACmAMAkgcDMi0xoAedBLIHAzItMbgHgALCBwMyLTHIBwSACAA&amp;sclient=gws-wiz</vt:lpwstr>
      </vt:variant>
      <vt:variant>
        <vt:lpwstr/>
      </vt:variant>
      <vt:variant>
        <vt:i4>327805</vt:i4>
      </vt:variant>
      <vt:variant>
        <vt:i4>0</vt:i4>
      </vt:variant>
      <vt:variant>
        <vt:i4>0</vt:i4>
      </vt:variant>
      <vt:variant>
        <vt:i4>5</vt:i4>
      </vt:variant>
      <vt:variant>
        <vt:lpwstr>https://www.google.com/url?sa=t&amp;source=web&amp;rct=j&amp;opi=89978449&amp;url=https://www.tga.gov.au/sites/default/files/2025-10/auspar-hympavzi-251022-pi.pdf&amp;ved=2ahUKEwjdjYmB3NKRAxWUb_UHHXUYDKwQFnoECBgQAQ&amp;usg=AOvVaw0lArRs7SdSmN5OgfpIwxbu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2026-06-15T04:53:00Z</dcterms:created>
  <dcterms:modified xsi:type="dcterms:W3CDTF">2026-06-15T04:54:00Z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1a84a9a,1aaca1f4,51591078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5292144c,1951b872,6bfffdb9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2026-06-15T04:53:49Z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a15cd7a4-570b-4bb2-ab4f-6940a1b4d934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0x0101005E4A37BE997BE34FBB7D5057D341D123</vt:lpwstr>
  </property>
  <property fmtid="{D5CDD505-2E9C-101B-9397-08002B2CF9AE}" pid="18" name="MSIP_Label_4791b42f-c435-42ca-9531-75a3f42aae3d_Name">
    <vt:lpwstr>4791b42f-c435-42ca-9531-75a3f42aae3d</vt:lpwstr>
  </property>
  <property fmtid="{D5CDD505-2E9C-101B-9397-08002B2CF9AE}" pid="19" name="MSIP_Label_4791b42f-c435-42ca-9531-75a3f42aae3d_Tag">
    <vt:lpwstr>10, 0, 1, 1</vt:lpwstr>
  </property>
  <property fmtid="{D5CDD505-2E9C-101B-9397-08002B2CF9AE}" pid="20" name="MSIP_Label_4791b42f-c435-42ca-9531-75a3f42aae3d_Enabled">
    <vt:lpwstr>true</vt:lpwstr>
  </property>
  <property fmtid="{D5CDD505-2E9C-101B-9397-08002B2CF9AE}" pid="21" name="MSIP_Label_4791b42f-c435-42ca-9531-75a3f42aae3d_ActionId">
    <vt:lpwstr>68f8c0c5-ee1d-4bc2-8cc9-e467876b5c13</vt:lpwstr>
  </property>
  <property fmtid="{D5CDD505-2E9C-101B-9397-08002B2CF9AE}" pid="22" name="MSIP_Label_4791b42f-c435-42ca-9531-75a3f42aae3d_Method">
    <vt:lpwstr>Privileged</vt:lpwstr>
  </property>
  <property fmtid="{D5CDD505-2E9C-101B-9397-08002B2CF9AE}" pid="23" name="MSIP_Label_4791b42f-c435-42ca-9531-75a3f42aae3d_SiteId">
    <vt:lpwstr>7a916015-20ae-4ad1-9170-eefd915e9272</vt:lpwstr>
  </property>
  <property fmtid="{D5CDD505-2E9C-101B-9397-08002B2CF9AE}" pid="24" name="MSIP_Label_4791b42f-c435-42ca-9531-75a3f42aae3d_ContentBits">
    <vt:lpwstr>0</vt:lpwstr>
  </property>
  <property fmtid="{D5CDD505-2E9C-101B-9397-08002B2CF9AE}" pid="25" name="MSIP_Label_4791b42f-c435-42ca-9531-75a3f42aae3d_SetDate">
    <vt:lpwstr>2026-06-09T23:26:49Z</vt:lpwstr>
  </property>
</Properties>
</file>