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3007" w14:textId="77777777" w:rsidR="007A135E" w:rsidRDefault="007A135E" w:rsidP="007A135E">
      <w:pPr>
        <w:pStyle w:val="Heading1"/>
        <w:numPr>
          <w:ilvl w:val="0"/>
          <w:numId w:val="0"/>
        </w:numPr>
        <w:pBdr>
          <w:bottom w:val="none" w:sz="0" w:space="0" w:color="auto"/>
        </w:pBdr>
        <w:spacing w:before="0" w:after="0"/>
        <w:ind w:left="357"/>
        <w:jc w:val="center"/>
        <w:rPr>
          <w:rFonts w:ascii="Arial" w:hAnsi="Arial" w:cs="Arial"/>
          <w:b/>
          <w:color w:val="000080"/>
          <w:sz w:val="36"/>
          <w:szCs w:val="36"/>
        </w:rPr>
      </w:pPr>
      <w:r>
        <w:rPr>
          <w:rFonts w:ascii="Arial" w:hAnsi="Arial" w:cs="Arial"/>
          <w:b/>
          <w:color w:val="000080"/>
          <w:sz w:val="36"/>
          <w:szCs w:val="36"/>
        </w:rPr>
        <w:t>Medical Services Advisory Committee (MSAC)</w:t>
      </w:r>
    </w:p>
    <w:p w14:paraId="012D5ABB" w14:textId="77777777" w:rsidR="007A135E" w:rsidRPr="004F6113" w:rsidRDefault="007A135E" w:rsidP="007A135E">
      <w:pPr>
        <w:pStyle w:val="Heading1"/>
        <w:numPr>
          <w:ilvl w:val="0"/>
          <w:numId w:val="0"/>
        </w:numPr>
        <w:pBdr>
          <w:bottom w:val="none" w:sz="0" w:space="0" w:color="auto"/>
        </w:pBdr>
        <w:spacing w:before="0" w:after="360"/>
        <w:ind w:left="788"/>
        <w:jc w:val="center"/>
        <w:rPr>
          <w:rFonts w:ascii="Arial" w:hAnsi="Arial" w:cs="Arial"/>
          <w:b/>
          <w:color w:val="000080"/>
          <w:sz w:val="36"/>
          <w:szCs w:val="36"/>
        </w:rPr>
      </w:pPr>
      <w:r w:rsidRPr="005B6EFD">
        <w:rPr>
          <w:rFonts w:ascii="Arial" w:hAnsi="Arial" w:cs="Arial"/>
          <w:b/>
          <w:bCs/>
          <w:color w:val="000080"/>
          <w:sz w:val="36"/>
          <w:szCs w:val="36"/>
        </w:rPr>
        <w:t>Public Summary Document</w:t>
      </w:r>
    </w:p>
    <w:p w14:paraId="7A128FDE" w14:textId="73FE270C" w:rsidR="00772829" w:rsidRPr="00931F4C" w:rsidRDefault="00772829" w:rsidP="004413D9">
      <w:pPr>
        <w:pStyle w:val="Subtitle"/>
        <w:spacing w:line="276" w:lineRule="auto"/>
      </w:pPr>
      <w:r w:rsidRPr="00CE28E3">
        <w:t>Application No</w:t>
      </w:r>
      <w:r w:rsidRPr="00931F4C">
        <w:t xml:space="preserve">. </w:t>
      </w:r>
      <w:r w:rsidR="00D52375" w:rsidRPr="00931F4C">
        <w:t>1817</w:t>
      </w:r>
      <w:r w:rsidRPr="00931F4C">
        <w:t xml:space="preserve"> – </w:t>
      </w:r>
      <w:proofErr w:type="spellStart"/>
      <w:r w:rsidR="00694463" w:rsidRPr="00931F4C">
        <w:t>Xeomin</w:t>
      </w:r>
      <w:proofErr w:type="spellEnd"/>
      <w:r w:rsidR="00694463" w:rsidRPr="00931F4C">
        <w:t xml:space="preserve"> (incobotulinumtoxinA) for treatment of lower limb spasticity following an acute event</w:t>
      </w:r>
    </w:p>
    <w:p w14:paraId="35263561" w14:textId="5D2FFEB6" w:rsidR="00772829" w:rsidRPr="00931F4C" w:rsidRDefault="00772829" w:rsidP="00772829">
      <w:pPr>
        <w:tabs>
          <w:tab w:val="left" w:pos="3686"/>
        </w:tabs>
        <w:spacing w:after="240"/>
        <w:rPr>
          <w:rFonts w:ascii="Arial" w:hAnsi="Arial" w:cs="Arial"/>
          <w:b/>
          <w:szCs w:val="24"/>
        </w:rPr>
      </w:pPr>
      <w:r w:rsidRPr="00931F4C">
        <w:rPr>
          <w:rFonts w:ascii="Arial" w:hAnsi="Arial" w:cs="Arial"/>
          <w:b/>
          <w:szCs w:val="24"/>
        </w:rPr>
        <w:t>Applicant:</w:t>
      </w:r>
      <w:r w:rsidRPr="00931F4C">
        <w:rPr>
          <w:rFonts w:ascii="Arial" w:hAnsi="Arial" w:cs="Arial"/>
          <w:b/>
          <w:szCs w:val="24"/>
        </w:rPr>
        <w:tab/>
      </w:r>
      <w:r w:rsidR="004413D9" w:rsidRPr="00931F4C">
        <w:rPr>
          <w:rFonts w:ascii="Arial" w:hAnsi="Arial" w:cs="Arial"/>
          <w:b/>
          <w:szCs w:val="24"/>
        </w:rPr>
        <w:t>Merz Australia</w:t>
      </w:r>
    </w:p>
    <w:p w14:paraId="15DA9C4A" w14:textId="037D122A" w:rsidR="009A3778" w:rsidRDefault="00772829" w:rsidP="00772829">
      <w:pPr>
        <w:tabs>
          <w:tab w:val="left" w:pos="3686"/>
        </w:tabs>
        <w:spacing w:after="360"/>
        <w:rPr>
          <w:rFonts w:ascii="Arial" w:hAnsi="Arial" w:cs="Arial"/>
          <w:b/>
          <w:szCs w:val="24"/>
          <w:highlight w:val="cyan"/>
        </w:rPr>
      </w:pPr>
      <w:r w:rsidRPr="00931F4C">
        <w:rPr>
          <w:rFonts w:ascii="Arial" w:hAnsi="Arial" w:cs="Arial"/>
          <w:b/>
          <w:szCs w:val="24"/>
        </w:rPr>
        <w:t>Date of MSAC consideration:</w:t>
      </w:r>
      <w:r w:rsidRPr="00931F4C">
        <w:rPr>
          <w:rFonts w:ascii="Arial" w:hAnsi="Arial" w:cs="Arial"/>
          <w:b/>
          <w:szCs w:val="24"/>
        </w:rPr>
        <w:tab/>
      </w:r>
      <w:r w:rsidR="002D76A9" w:rsidRPr="00931F4C">
        <w:rPr>
          <w:rFonts w:ascii="Arial" w:hAnsi="Arial" w:cs="Arial"/>
          <w:b/>
          <w:szCs w:val="24"/>
        </w:rPr>
        <w:t xml:space="preserve">1 </w:t>
      </w:r>
      <w:r w:rsidR="00931F4C" w:rsidRPr="00931F4C">
        <w:rPr>
          <w:rFonts w:ascii="Arial" w:hAnsi="Arial" w:cs="Arial"/>
          <w:b/>
          <w:szCs w:val="24"/>
        </w:rPr>
        <w:t>April 2026</w:t>
      </w:r>
    </w:p>
    <w:p w14:paraId="7EAA7262" w14:textId="18BA8280" w:rsidR="00772829" w:rsidRPr="00CE28E3" w:rsidRDefault="00772829" w:rsidP="00EB3CE8">
      <w:pPr>
        <w:pStyle w:val="Heading2"/>
        <w:numPr>
          <w:ilvl w:val="0"/>
          <w:numId w:val="13"/>
        </w:numPr>
        <w:ind w:hanging="720"/>
      </w:pPr>
      <w:bookmarkStart w:id="0" w:name="_Toc69491415"/>
      <w:r w:rsidRPr="00CE28E3">
        <w:t xml:space="preserve">Purpose </w:t>
      </w:r>
      <w:r w:rsidRPr="00CE28E3">
        <w:rPr>
          <w:szCs w:val="32"/>
        </w:rPr>
        <w:t>of</w:t>
      </w:r>
      <w:r w:rsidRPr="00CE28E3">
        <w:t xml:space="preserve"> application</w:t>
      </w:r>
      <w:bookmarkEnd w:id="0"/>
    </w:p>
    <w:p w14:paraId="72CDA0C6" w14:textId="1EB33B6E" w:rsidR="008F3542" w:rsidRDefault="001F5277" w:rsidP="001F5277">
      <w:pPr>
        <w:spacing w:after="240" w:line="240" w:lineRule="auto"/>
        <w:rPr>
          <w:iCs/>
          <w:szCs w:val="24"/>
        </w:rPr>
      </w:pPr>
      <w:bookmarkStart w:id="1" w:name="_Hlk69734469"/>
      <w:r>
        <w:rPr>
          <w:iCs/>
          <w:szCs w:val="24"/>
        </w:rPr>
        <w:t>This streamlined, codependent submission</w:t>
      </w:r>
      <w:r w:rsidR="00E62321">
        <w:rPr>
          <w:iCs/>
          <w:szCs w:val="24"/>
        </w:rPr>
        <w:t xml:space="preserve"> </w:t>
      </w:r>
      <w:r>
        <w:rPr>
          <w:iCs/>
          <w:szCs w:val="24"/>
        </w:rPr>
        <w:t>(MSAC 1817</w:t>
      </w:r>
      <w:r w:rsidR="00D31C49">
        <w:rPr>
          <w:iCs/>
          <w:szCs w:val="24"/>
        </w:rPr>
        <w:t xml:space="preserve">) </w:t>
      </w:r>
      <w:r w:rsidR="008F3542">
        <w:rPr>
          <w:iCs/>
          <w:szCs w:val="24"/>
        </w:rPr>
        <w:t>request</w:t>
      </w:r>
      <w:r w:rsidR="00AA18F9">
        <w:rPr>
          <w:iCs/>
          <w:szCs w:val="24"/>
        </w:rPr>
        <w:t>s</w:t>
      </w:r>
      <w:r w:rsidR="008F3542">
        <w:rPr>
          <w:iCs/>
          <w:szCs w:val="24"/>
        </w:rPr>
        <w:t>:</w:t>
      </w:r>
    </w:p>
    <w:p w14:paraId="63195185" w14:textId="3BC6D56D" w:rsidR="00687D46" w:rsidRDefault="000E7D70" w:rsidP="00EB3CE8">
      <w:pPr>
        <w:pStyle w:val="ListParagraph"/>
        <w:numPr>
          <w:ilvl w:val="0"/>
          <w:numId w:val="10"/>
        </w:numPr>
        <w:spacing w:after="240" w:line="240" w:lineRule="auto"/>
        <w:rPr>
          <w:iCs/>
          <w:szCs w:val="24"/>
        </w:rPr>
      </w:pPr>
      <w:r>
        <w:rPr>
          <w:iCs/>
          <w:szCs w:val="24"/>
        </w:rPr>
        <w:t xml:space="preserve">Amendment </w:t>
      </w:r>
      <w:r w:rsidR="00260FFD">
        <w:rPr>
          <w:iCs/>
          <w:szCs w:val="24"/>
        </w:rPr>
        <w:t xml:space="preserve">to MBS item </w:t>
      </w:r>
      <w:hyperlink r:id="rId11" w:history="1">
        <w:r w:rsidR="00260FFD" w:rsidRPr="00C14BFC">
          <w:rPr>
            <w:rStyle w:val="Hyperlink"/>
            <w:iCs/>
            <w:szCs w:val="24"/>
          </w:rPr>
          <w:t>18360</w:t>
        </w:r>
      </w:hyperlink>
      <w:r w:rsidR="00260FFD">
        <w:t xml:space="preserve"> to include </w:t>
      </w:r>
      <w:r w:rsidR="00687D46">
        <w:rPr>
          <w:iCs/>
          <w:szCs w:val="24"/>
        </w:rPr>
        <w:t xml:space="preserve">incobotulinumtoxinA </w:t>
      </w:r>
      <w:r w:rsidR="00687D46" w:rsidRPr="00C14BFC">
        <w:rPr>
          <w:iCs/>
          <w:szCs w:val="24"/>
        </w:rPr>
        <w:t>(</w:t>
      </w:r>
      <w:proofErr w:type="spellStart"/>
      <w:r w:rsidR="00687D46" w:rsidRPr="00C14BFC">
        <w:rPr>
          <w:iCs/>
          <w:szCs w:val="24"/>
        </w:rPr>
        <w:t>Xeomin</w:t>
      </w:r>
      <w:proofErr w:type="spellEnd"/>
      <w:r w:rsidR="00687D46" w:rsidRPr="00C14BFC">
        <w:rPr>
          <w:iCs/>
          <w:szCs w:val="24"/>
        </w:rPr>
        <w:t>®)</w:t>
      </w:r>
      <w:r w:rsidR="00687D46">
        <w:rPr>
          <w:iCs/>
          <w:szCs w:val="24"/>
        </w:rPr>
        <w:t xml:space="preserve"> </w:t>
      </w:r>
      <w:r w:rsidR="00BF450A">
        <w:t>along</w:t>
      </w:r>
      <w:r w:rsidR="009E4723">
        <w:t>side</w:t>
      </w:r>
      <w:r w:rsidR="00BF450A">
        <w:t xml:space="preserve"> </w:t>
      </w:r>
      <w:r w:rsidR="00227D87">
        <w:rPr>
          <w:iCs/>
          <w:szCs w:val="24"/>
        </w:rPr>
        <w:t xml:space="preserve">the currently specified botulinum toxin agents: </w:t>
      </w:r>
      <w:r w:rsidR="00BF450A">
        <w:rPr>
          <w:iCs/>
          <w:szCs w:val="24"/>
        </w:rPr>
        <w:t xml:space="preserve">Botulinum Toxin Type </w:t>
      </w:r>
      <w:proofErr w:type="gramStart"/>
      <w:r w:rsidR="00BF450A">
        <w:rPr>
          <w:iCs/>
          <w:szCs w:val="24"/>
        </w:rPr>
        <w:t>A</w:t>
      </w:r>
      <w:proofErr w:type="gramEnd"/>
      <w:r w:rsidR="00BF450A">
        <w:rPr>
          <w:iCs/>
          <w:szCs w:val="24"/>
        </w:rPr>
        <w:t xml:space="preserve"> Purified Neurotoxin Complex (Botox®) </w:t>
      </w:r>
      <w:r w:rsidR="00227D87">
        <w:rPr>
          <w:iCs/>
          <w:szCs w:val="24"/>
        </w:rPr>
        <w:t>and</w:t>
      </w:r>
      <w:r w:rsidR="00BF450A">
        <w:rPr>
          <w:iCs/>
          <w:szCs w:val="24"/>
        </w:rPr>
        <w:t xml:space="preserve"> Clostridium Botulinum Type A Toxin-Haemagglutinin Complex (Dysport®)</w:t>
      </w:r>
      <w:r w:rsidR="00227D87">
        <w:rPr>
          <w:iCs/>
          <w:szCs w:val="24"/>
        </w:rPr>
        <w:t>, with no change to the fee</w:t>
      </w:r>
      <w:r w:rsidR="00BF450A">
        <w:rPr>
          <w:iCs/>
          <w:szCs w:val="24"/>
        </w:rPr>
        <w:t>; and</w:t>
      </w:r>
    </w:p>
    <w:p w14:paraId="6C4699A6" w14:textId="184F885A" w:rsidR="00457216" w:rsidRPr="00791783" w:rsidRDefault="005D1251" w:rsidP="00EB3CE8">
      <w:pPr>
        <w:pStyle w:val="ListParagraph"/>
        <w:numPr>
          <w:ilvl w:val="0"/>
          <w:numId w:val="10"/>
        </w:numPr>
        <w:spacing w:after="240" w:line="240" w:lineRule="auto"/>
        <w:rPr>
          <w:iCs/>
          <w:szCs w:val="24"/>
        </w:rPr>
      </w:pPr>
      <w:r>
        <w:rPr>
          <w:iCs/>
          <w:szCs w:val="24"/>
        </w:rPr>
        <w:t xml:space="preserve">Pharmaceutical Benefits Scheme (PBS) Authority Required listing of </w:t>
      </w:r>
      <w:r w:rsidR="00457216" w:rsidRPr="00C14BFC">
        <w:rPr>
          <w:iCs/>
          <w:szCs w:val="24"/>
        </w:rPr>
        <w:t>incobotulinumtoxinA (</w:t>
      </w:r>
      <w:proofErr w:type="spellStart"/>
      <w:r w:rsidR="00457216" w:rsidRPr="00C14BFC">
        <w:rPr>
          <w:iCs/>
          <w:szCs w:val="24"/>
        </w:rPr>
        <w:t>Xeomin</w:t>
      </w:r>
      <w:proofErr w:type="spellEnd"/>
      <w:r w:rsidR="00457216" w:rsidRPr="00C14BFC">
        <w:rPr>
          <w:iCs/>
          <w:szCs w:val="24"/>
        </w:rPr>
        <w:t>)</w:t>
      </w:r>
      <w:r w:rsidR="00457216">
        <w:rPr>
          <w:iCs/>
          <w:szCs w:val="24"/>
        </w:rPr>
        <w:t xml:space="preserve"> </w:t>
      </w:r>
      <w:r w:rsidR="00457216" w:rsidRPr="00C14BFC">
        <w:rPr>
          <w:iCs/>
          <w:szCs w:val="24"/>
        </w:rPr>
        <w:t xml:space="preserve">for treatment of adults </w:t>
      </w:r>
      <w:r w:rsidR="0005310F">
        <w:rPr>
          <w:iCs/>
          <w:szCs w:val="24"/>
        </w:rPr>
        <w:t>(</w:t>
      </w:r>
      <w:r w:rsidR="009E4723">
        <w:rPr>
          <w:iCs/>
          <w:szCs w:val="24"/>
          <w:u w:val="single"/>
        </w:rPr>
        <w:t>&gt;</w:t>
      </w:r>
      <w:r w:rsidR="0005310F">
        <w:rPr>
          <w:iCs/>
          <w:szCs w:val="24"/>
        </w:rPr>
        <w:t xml:space="preserve"> 18 years) </w:t>
      </w:r>
      <w:r w:rsidR="00457216" w:rsidRPr="00C14BFC">
        <w:rPr>
          <w:iCs/>
          <w:szCs w:val="24"/>
        </w:rPr>
        <w:t>with moderate lower-limb spasticity following an acute event</w:t>
      </w:r>
      <w:r w:rsidR="00555FB1">
        <w:rPr>
          <w:iCs/>
          <w:szCs w:val="24"/>
        </w:rPr>
        <w:t>.</w:t>
      </w:r>
    </w:p>
    <w:p w14:paraId="4612C3E9" w14:textId="3814890F" w:rsidR="007A135E" w:rsidRPr="005B6EFD" w:rsidRDefault="007A135E" w:rsidP="00305C27">
      <w:pPr>
        <w:spacing w:after="240" w:line="240" w:lineRule="auto"/>
      </w:pPr>
      <w:r w:rsidRPr="005B6EFD">
        <w:t>MSAC’s advice to the Minister</w:t>
      </w:r>
    </w:p>
    <w:p w14:paraId="62B411E4" w14:textId="17D939DC" w:rsidR="00242CDA" w:rsidRDefault="007A135E" w:rsidP="00242CDA">
      <w:pPr>
        <w:spacing w:after="240"/>
      </w:pPr>
      <w:r w:rsidRPr="002361D0">
        <w:t>After considering the strength of the available evidence in relation to comparative safety, clinical effectiveness, cost-effectiveness and total cost, MSAC</w:t>
      </w:r>
      <w:r w:rsidR="002F250A">
        <w:rPr>
          <w:color w:val="ED0000"/>
        </w:rPr>
        <w:t xml:space="preserve"> </w:t>
      </w:r>
      <w:r w:rsidR="00D15798" w:rsidRPr="00873486">
        <w:t>supported the amendment of the existing Medicare Benefits Schedule</w:t>
      </w:r>
      <w:r w:rsidR="009652D1" w:rsidRPr="00873486">
        <w:t xml:space="preserve"> (MBS) item 18360 to include the injection of incobotulinumtoxinA (</w:t>
      </w:r>
      <w:proofErr w:type="spellStart"/>
      <w:r w:rsidR="009652D1" w:rsidRPr="00873486">
        <w:t>Xeomin</w:t>
      </w:r>
      <w:proofErr w:type="spellEnd"/>
      <w:r w:rsidR="009652D1" w:rsidRPr="00873486">
        <w:t xml:space="preserve">®) for the treatment of moderate to severe lower limb spasticity in adults aged 18 years and older following acute events, including stroke, traumatic brain injury, or spinal cord injury. </w:t>
      </w:r>
      <w:r w:rsidR="00181BC8" w:rsidRPr="00873486">
        <w:t xml:space="preserve">MSAC noted that the PBAC, at its </w:t>
      </w:r>
      <w:r w:rsidR="007E5DB1" w:rsidRPr="00873486">
        <w:t xml:space="preserve">March 2026 meeting, recommended Pharmaceutical Benefits Scheme (PBS) listing of </w:t>
      </w:r>
      <w:proofErr w:type="spellStart"/>
      <w:r w:rsidR="007E5DB1" w:rsidRPr="00873486">
        <w:t>Xeomin</w:t>
      </w:r>
      <w:proofErr w:type="spellEnd"/>
      <w:r w:rsidR="007E5DB1" w:rsidRPr="00873486">
        <w:t xml:space="preserve"> for the treatment of moderate to severe spasticity of the lower limb in adults following acute events. MSAC noted PBAC was satisfied </w:t>
      </w:r>
      <w:r w:rsidR="003530BD" w:rsidRPr="00873486">
        <w:t xml:space="preserve">that </w:t>
      </w:r>
      <w:proofErr w:type="spellStart"/>
      <w:r w:rsidR="003530BD" w:rsidRPr="00873486">
        <w:t>Xeomin</w:t>
      </w:r>
      <w:proofErr w:type="spellEnd"/>
      <w:r w:rsidR="003530BD" w:rsidRPr="00873486">
        <w:t xml:space="preserve"> was non-inferior to the nominated comparator, Botox®, in terms of safety and effectiveness. MSAC also noted that PBAC considered </w:t>
      </w:r>
      <w:proofErr w:type="spellStart"/>
      <w:r w:rsidR="003530BD" w:rsidRPr="00873486">
        <w:t>Xeomin</w:t>
      </w:r>
      <w:proofErr w:type="spellEnd"/>
      <w:r w:rsidR="003530BD" w:rsidRPr="00873486">
        <w:t xml:space="preserve"> an alternative botulinum toxin product to Botox and Dysport®, which are already listed for this purpose in the existing MBS item. MSAC considered the addition of </w:t>
      </w:r>
      <w:r w:rsidR="00246340" w:rsidRPr="00873486">
        <w:t>other listed botulinum toxin products only, and the financial impact to the MBS to be cost-neutral.</w:t>
      </w:r>
      <w:r w:rsidR="00242CDA">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F7081D" w:rsidRPr="00F7081D" w14:paraId="09718E3D" w14:textId="77777777" w:rsidTr="00366C3F">
        <w:tc>
          <w:tcPr>
            <w:tcW w:w="9010" w:type="dxa"/>
            <w:tcBorders>
              <w:top w:val="single" w:sz="6" w:space="0" w:color="auto"/>
              <w:left w:val="single" w:sz="6" w:space="0" w:color="auto"/>
              <w:bottom w:val="single" w:sz="6" w:space="0" w:color="auto"/>
              <w:right w:val="single" w:sz="6" w:space="0" w:color="auto"/>
            </w:tcBorders>
            <w:hideMark/>
          </w:tcPr>
          <w:p w14:paraId="5794F8DB" w14:textId="6B98ACC1" w:rsidR="00F7081D" w:rsidRPr="00F7081D" w:rsidRDefault="00F7081D" w:rsidP="00F7081D">
            <w:pPr>
              <w:spacing w:after="240"/>
            </w:pPr>
            <w:r w:rsidRPr="00F7081D">
              <w:lastRenderedPageBreak/>
              <w:t> Category 3 – Therapeutic procedures </w:t>
            </w:r>
          </w:p>
          <w:p w14:paraId="091BC56D" w14:textId="77777777" w:rsidR="00F7081D" w:rsidRPr="00F7081D" w:rsidRDefault="00F7081D" w:rsidP="00F7081D">
            <w:pPr>
              <w:spacing w:after="240"/>
            </w:pPr>
            <w:r w:rsidRPr="00F7081D">
              <w:t>Group T11 – Botulinum toxin injections </w:t>
            </w:r>
          </w:p>
        </w:tc>
      </w:tr>
      <w:tr w:rsidR="00F7081D" w:rsidRPr="00F7081D" w14:paraId="70157687" w14:textId="77777777" w:rsidTr="00366C3F">
        <w:tc>
          <w:tcPr>
            <w:tcW w:w="9010" w:type="dxa"/>
            <w:tcBorders>
              <w:top w:val="single" w:sz="6" w:space="0" w:color="auto"/>
              <w:left w:val="single" w:sz="6" w:space="0" w:color="auto"/>
              <w:bottom w:val="single" w:sz="6" w:space="0" w:color="auto"/>
              <w:right w:val="single" w:sz="6" w:space="0" w:color="auto"/>
            </w:tcBorders>
            <w:hideMark/>
          </w:tcPr>
          <w:p w14:paraId="646A7101" w14:textId="782F09F6" w:rsidR="00F7081D" w:rsidRPr="00F7081D" w:rsidRDefault="00F7081D" w:rsidP="00F7081D">
            <w:pPr>
              <w:spacing w:after="240"/>
            </w:pPr>
            <w:r w:rsidRPr="00F7081D">
              <w:t>Botulinum Toxin Type </w:t>
            </w:r>
            <w:proofErr w:type="gramStart"/>
            <w:r w:rsidRPr="00F7081D">
              <w:t>A</w:t>
            </w:r>
            <w:proofErr w:type="gramEnd"/>
            <w:r w:rsidRPr="00F7081D">
              <w:t> Purified Neurotoxin Complex (Botox), Clostridium Botulinum Type A Toxin Haemagglutinin Complex (Dysport) or incobotulinumtoxinA (</w:t>
            </w:r>
            <w:proofErr w:type="spellStart"/>
            <w:r w:rsidRPr="00F7081D">
              <w:t>Xeomin</w:t>
            </w:r>
            <w:proofErr w:type="spellEnd"/>
            <w:r w:rsidRPr="00F7081D">
              <w:t>), injection of, for the treatment of moderate to severe focal spasticity, if: </w:t>
            </w:r>
          </w:p>
          <w:p w14:paraId="627E3211" w14:textId="77777777" w:rsidR="00F7081D" w:rsidRPr="00F7081D" w:rsidRDefault="00F7081D" w:rsidP="00F7081D">
            <w:pPr>
              <w:spacing w:after="240"/>
            </w:pPr>
            <w:r w:rsidRPr="00F7081D">
              <w:t>(a)    the patient is at least 18 years of age; and </w:t>
            </w:r>
          </w:p>
          <w:p w14:paraId="1E5395F0" w14:textId="77777777" w:rsidR="00F7081D" w:rsidRPr="00F7081D" w:rsidRDefault="00F7081D" w:rsidP="00F7081D">
            <w:pPr>
              <w:spacing w:after="240"/>
            </w:pPr>
            <w:r w:rsidRPr="00F7081D">
              <w:t>(b)    the spasticity is associated with a previously diagnosed neurological disorder; and </w:t>
            </w:r>
          </w:p>
          <w:p w14:paraId="07ABD0E9" w14:textId="77777777" w:rsidR="00F7081D" w:rsidRPr="00F7081D" w:rsidRDefault="00F7081D" w:rsidP="00F7081D">
            <w:pPr>
              <w:spacing w:after="240"/>
            </w:pPr>
            <w:r w:rsidRPr="00F7081D">
              <w:t>(c)    treatment is provided as: </w:t>
            </w:r>
          </w:p>
          <w:p w14:paraId="657A4160" w14:textId="77777777" w:rsidR="00F7081D" w:rsidRPr="00F7081D" w:rsidRDefault="00F7081D" w:rsidP="00F7081D">
            <w:pPr>
              <w:spacing w:after="240"/>
            </w:pPr>
            <w:r w:rsidRPr="00F7081D">
              <w:t>    (</w:t>
            </w:r>
            <w:proofErr w:type="spellStart"/>
            <w:r w:rsidRPr="00F7081D">
              <w:t>i</w:t>
            </w:r>
            <w:proofErr w:type="spellEnd"/>
            <w:r w:rsidRPr="00F7081D">
              <w:t>)    second line therapy when standard treatment for the conditions has failed; or </w:t>
            </w:r>
          </w:p>
          <w:p w14:paraId="1E2AEBB3" w14:textId="77777777" w:rsidR="00F7081D" w:rsidRPr="00F7081D" w:rsidRDefault="00F7081D" w:rsidP="00F7081D">
            <w:pPr>
              <w:spacing w:after="240"/>
            </w:pPr>
            <w:r w:rsidRPr="00F7081D">
              <w:t>    (ii)    an adjunct to physical therapy; and </w:t>
            </w:r>
          </w:p>
          <w:p w14:paraId="6FA0F41D" w14:textId="77777777" w:rsidR="00F7081D" w:rsidRPr="00F7081D" w:rsidRDefault="00F7081D" w:rsidP="00F7081D">
            <w:pPr>
              <w:spacing w:after="240"/>
            </w:pPr>
            <w:r w:rsidRPr="00F7081D">
              <w:t>(d)    the treatment is for all or any of the muscles subserving one functional activity and supplied by one motor nerve, with a maximum of 4 sets of injections for the patient on any one day (with a maximum of 2 sets of injections for each limb), including all injections per set; and </w:t>
            </w:r>
          </w:p>
          <w:p w14:paraId="0CC1DE52" w14:textId="77777777" w:rsidR="00F7081D" w:rsidRPr="00F7081D" w:rsidRDefault="00F7081D" w:rsidP="00F7081D">
            <w:pPr>
              <w:spacing w:after="240"/>
            </w:pPr>
            <w:r w:rsidRPr="00F7081D">
              <w:t>(e)    the treatment is not provided on the same occasion as a service mentioned in item 18365 </w:t>
            </w:r>
          </w:p>
          <w:p w14:paraId="047AA4EB" w14:textId="77777777" w:rsidR="00F7081D" w:rsidRPr="00F7081D" w:rsidRDefault="00F7081D" w:rsidP="00F7081D">
            <w:pPr>
              <w:spacing w:after="240"/>
            </w:pPr>
            <w:r w:rsidRPr="00F7081D">
              <w:t>(See </w:t>
            </w:r>
            <w:proofErr w:type="gramStart"/>
            <w:r w:rsidRPr="00F7081D">
              <w:t>para TN.</w:t>
            </w:r>
            <w:proofErr w:type="gramEnd"/>
            <w:r w:rsidRPr="00F7081D">
              <w:t>11.1 of explanatory notes to this Category) </w:t>
            </w:r>
          </w:p>
        </w:tc>
      </w:tr>
      <w:tr w:rsidR="00F7081D" w:rsidRPr="00F7081D" w14:paraId="45BA7077" w14:textId="77777777" w:rsidTr="00366C3F">
        <w:tc>
          <w:tcPr>
            <w:tcW w:w="9010" w:type="dxa"/>
            <w:tcBorders>
              <w:top w:val="single" w:sz="6" w:space="0" w:color="auto"/>
              <w:left w:val="single" w:sz="6" w:space="0" w:color="auto"/>
              <w:bottom w:val="single" w:sz="6" w:space="0" w:color="auto"/>
              <w:right w:val="single" w:sz="6" w:space="0" w:color="auto"/>
            </w:tcBorders>
            <w:hideMark/>
          </w:tcPr>
          <w:p w14:paraId="02710ADD" w14:textId="77777777" w:rsidR="00F7081D" w:rsidRPr="00F7081D" w:rsidRDefault="00F7081D" w:rsidP="00F7081D">
            <w:pPr>
              <w:spacing w:after="240"/>
            </w:pPr>
            <w:r w:rsidRPr="00F7081D">
              <w:t>Fee: $145.65 Benefit: 75% = $109.25 85% = $123.85 </w:t>
            </w:r>
          </w:p>
        </w:tc>
      </w:tr>
    </w:tbl>
    <w:p w14:paraId="66E844A0" w14:textId="445C4D99" w:rsidR="003478C5" w:rsidRDefault="00F7081D" w:rsidP="007A135E">
      <w:pPr>
        <w:spacing w:after="240"/>
      </w:pPr>
      <w:r w:rsidRPr="00F7081D">
        <w:t> </w:t>
      </w:r>
    </w:p>
    <w:tbl>
      <w:tblPr>
        <w:tblStyle w:val="Section3-footno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A135E" w:rsidRPr="005B6EFD" w14:paraId="1EB47682" w14:textId="77777777" w:rsidTr="4DBD9D46">
        <w:trPr>
          <w:tblHeader/>
        </w:trPr>
        <w:tc>
          <w:tcPr>
            <w:tcW w:w="9016" w:type="dxa"/>
          </w:tcPr>
          <w:p w14:paraId="6FFB81EE" w14:textId="77777777" w:rsidR="007A135E" w:rsidRPr="005B6EFD" w:rsidRDefault="007A135E">
            <w:pPr>
              <w:keepNext/>
              <w:keepLines/>
              <w:spacing w:before="40" w:after="40" w:line="259" w:lineRule="auto"/>
              <w:rPr>
                <w:rFonts w:eastAsia="Calibri"/>
                <w:b/>
                <w:bCs/>
              </w:rPr>
            </w:pPr>
            <w:r w:rsidRPr="005B6EFD">
              <w:rPr>
                <w:b/>
                <w:bCs/>
              </w:rPr>
              <w:lastRenderedPageBreak/>
              <w:t>Consumer summary</w:t>
            </w:r>
          </w:p>
        </w:tc>
      </w:tr>
      <w:tr w:rsidR="007A135E" w:rsidRPr="005B6EFD" w14:paraId="27446F65" w14:textId="77777777" w:rsidTr="4DBD9D46">
        <w:tc>
          <w:tcPr>
            <w:tcW w:w="9016" w:type="dxa"/>
          </w:tcPr>
          <w:p w14:paraId="6AEE4B35" w14:textId="7554FAE7" w:rsidR="0063751B" w:rsidRPr="0063751B" w:rsidRDefault="0063751B" w:rsidP="000606CD">
            <w:pPr>
              <w:keepNext/>
              <w:keepLines/>
              <w:tabs>
                <w:tab w:val="left" w:pos="851"/>
              </w:tabs>
              <w:spacing w:before="240"/>
              <w:outlineLvl w:val="2"/>
            </w:pPr>
            <w:r w:rsidRPr="0063751B">
              <w:t xml:space="preserve">This </w:t>
            </w:r>
            <w:r w:rsidR="00A20E6A">
              <w:t>co-depen</w:t>
            </w:r>
            <w:r w:rsidR="007E7469">
              <w:t>dant</w:t>
            </w:r>
            <w:r w:rsidRPr="0063751B">
              <w:t xml:space="preserve"> application from Merz Australia </w:t>
            </w:r>
            <w:r w:rsidR="00D540A8" w:rsidRPr="0063751B">
              <w:t>request</w:t>
            </w:r>
            <w:r w:rsidR="00D540A8">
              <w:t>ed</w:t>
            </w:r>
            <w:r w:rsidR="00D540A8" w:rsidRPr="0063751B">
              <w:t> </w:t>
            </w:r>
            <w:r w:rsidRPr="0063751B">
              <w:t>an amendment to Medicare Benefits Schedule </w:t>
            </w:r>
            <w:hyperlink r:id="rId12" w:tgtFrame="_blank" w:history="1">
              <w:r w:rsidRPr="0063751B">
                <w:rPr>
                  <w:rStyle w:val="Hyperlink"/>
                </w:rPr>
                <w:t>(MBS) item 18360</w:t>
              </w:r>
            </w:hyperlink>
            <w:r w:rsidRPr="0063751B">
              <w:t> to include the drug incobotulinumtoxinA (</w:t>
            </w:r>
            <w:proofErr w:type="spellStart"/>
            <w:r w:rsidRPr="0063751B">
              <w:t>Xeomin</w:t>
            </w:r>
            <w:proofErr w:type="spellEnd"/>
            <w:r w:rsidRPr="0063751B">
              <w:t>) for the treatment of moderate to severe lower limb spasticity in adults after an acute event. MBS item 18360 is for the injection of Botox and Dysport to treat the same condition. </w:t>
            </w:r>
            <w:r w:rsidR="00190DDD" w:rsidRPr="00190DDD">
              <w:t xml:space="preserve">The </w:t>
            </w:r>
            <w:r w:rsidR="008052CB" w:rsidRPr="0063751B">
              <w:t>Pharmaceutical Benefits Advisory Committee (</w:t>
            </w:r>
            <w:r w:rsidR="00190DDD" w:rsidRPr="00190DDD">
              <w:t>PBAC</w:t>
            </w:r>
            <w:r w:rsidR="00BB4AD9">
              <w:t>)</w:t>
            </w:r>
            <w:r w:rsidR="00190DDD" w:rsidRPr="00190DDD">
              <w:t xml:space="preserve"> recommended listing </w:t>
            </w:r>
            <w:proofErr w:type="spellStart"/>
            <w:r w:rsidR="00190DDD" w:rsidRPr="00190DDD">
              <w:t>Xeomin</w:t>
            </w:r>
            <w:proofErr w:type="spellEnd"/>
            <w:r w:rsidR="00190DDD" w:rsidRPr="00190DDD">
              <w:t xml:space="preserve"> on the </w:t>
            </w:r>
            <w:r w:rsidR="009608F6" w:rsidRPr="0063751B">
              <w:t>Pharmaceutical Benefits Scheme (</w:t>
            </w:r>
            <w:r w:rsidR="00190DDD" w:rsidRPr="00190DDD">
              <w:t>PBS</w:t>
            </w:r>
            <w:r w:rsidR="009608F6">
              <w:t>)</w:t>
            </w:r>
            <w:r w:rsidR="00D91625">
              <w:t xml:space="preserve"> for this </w:t>
            </w:r>
            <w:r w:rsidR="00344A82">
              <w:t>condi</w:t>
            </w:r>
            <w:r w:rsidR="00D91625">
              <w:t>tion</w:t>
            </w:r>
            <w:r w:rsidR="00190DDD" w:rsidRPr="00190DDD">
              <w:t xml:space="preserve"> at its March 2026 meeting</w:t>
            </w:r>
            <w:r w:rsidR="00F177C0">
              <w:t xml:space="preserve">, </w:t>
            </w:r>
            <w:r w:rsidR="00F177C0" w:rsidRPr="00F177C0">
              <w:t>having considered the drug to be safe and effective</w:t>
            </w:r>
            <w:r w:rsidR="00190DDD" w:rsidRPr="00190DDD">
              <w:t>.</w:t>
            </w:r>
          </w:p>
          <w:p w14:paraId="52C81CAD" w14:textId="49A96098" w:rsidR="0063751B" w:rsidRPr="0063751B" w:rsidRDefault="0063751B" w:rsidP="000606CD">
            <w:pPr>
              <w:keepNext/>
              <w:keepLines/>
              <w:tabs>
                <w:tab w:val="left" w:pos="851"/>
              </w:tabs>
              <w:spacing w:before="240"/>
              <w:outlineLvl w:val="2"/>
            </w:pPr>
            <w:r w:rsidRPr="0063751B">
              <w:t>Spasticity is abnormal muscle stiffness in which muscles </w:t>
            </w:r>
            <w:r w:rsidR="00625A5D">
              <w:t xml:space="preserve">involuntarily </w:t>
            </w:r>
            <w:r w:rsidR="0075003E">
              <w:t xml:space="preserve">can </w:t>
            </w:r>
            <w:r w:rsidR="009635B9">
              <w:t>have sudden</w:t>
            </w:r>
            <w:r w:rsidR="00885D83">
              <w:t xml:space="preserve"> contraction</w:t>
            </w:r>
            <w:r w:rsidR="00BF74A1">
              <w:t>s</w:t>
            </w:r>
            <w:r w:rsidRPr="0063751B">
              <w:t xml:space="preserve"> </w:t>
            </w:r>
            <w:r w:rsidR="00062BE3">
              <w:t>(</w:t>
            </w:r>
            <w:r w:rsidRPr="0063751B">
              <w:t>spasm</w:t>
            </w:r>
            <w:r w:rsidR="00BF74A1">
              <w:t>s</w:t>
            </w:r>
            <w:r w:rsidR="00062BE3">
              <w:t>)</w:t>
            </w:r>
            <w:r w:rsidR="00E16A0F">
              <w:t xml:space="preserve"> or </w:t>
            </w:r>
            <w:r w:rsidR="00F97997">
              <w:t>prolonged</w:t>
            </w:r>
            <w:r w:rsidR="00E16A0F">
              <w:t xml:space="preserve"> </w:t>
            </w:r>
            <w:r w:rsidR="000C3B48">
              <w:t>tightness</w:t>
            </w:r>
            <w:r w:rsidRPr="0063751B">
              <w:t xml:space="preserve">. In moderate to severe cases, daily functioning is disrupted. In lower limb spasticity, the legs and feet are affected, which can make it difficult to move, walk or balance properly. It can also be very painful. This application is for spasticity caused by damage to the brain or spinal cord from </w:t>
            </w:r>
            <w:r w:rsidR="00731458">
              <w:t xml:space="preserve">a </w:t>
            </w:r>
            <w:r w:rsidR="00615A84">
              <w:t>sudden</w:t>
            </w:r>
            <w:r w:rsidRPr="0063751B">
              <w:t xml:space="preserve"> event </w:t>
            </w:r>
            <w:r w:rsidR="00615A84">
              <w:t>such as a</w:t>
            </w:r>
            <w:r w:rsidR="00563951">
              <w:t xml:space="preserve"> </w:t>
            </w:r>
            <w:r w:rsidRPr="0063751B">
              <w:t>stroke</w:t>
            </w:r>
            <w:r w:rsidR="00AD2DDD">
              <w:t>, a traumatic brain or spinal cord injury, an infection affecting the brain or spinal cord, or a lack of oxygen to the brain</w:t>
            </w:r>
            <w:r w:rsidRPr="0063751B">
              <w:t>.  </w:t>
            </w:r>
          </w:p>
          <w:p w14:paraId="6200EC64" w14:textId="39266279" w:rsidR="0063751B" w:rsidRDefault="0063751B" w:rsidP="000606CD">
            <w:pPr>
              <w:keepNext/>
              <w:keepLines/>
              <w:tabs>
                <w:tab w:val="left" w:pos="851"/>
              </w:tabs>
              <w:spacing w:before="240"/>
              <w:outlineLvl w:val="2"/>
            </w:pPr>
            <w:proofErr w:type="spellStart"/>
            <w:r w:rsidRPr="0063751B">
              <w:t>Xeomin</w:t>
            </w:r>
            <w:proofErr w:type="spellEnd"/>
            <w:r w:rsidRPr="0063751B">
              <w:t>, Botox</w:t>
            </w:r>
            <w:r w:rsidR="00873EDC">
              <w:t>,</w:t>
            </w:r>
            <w:r w:rsidRPr="0063751B">
              <w:t xml:space="preserve"> and Dysport are all botulinum toxin products, which </w:t>
            </w:r>
            <w:r w:rsidR="001818AF">
              <w:t>are injected into muscles affected by spasticity</w:t>
            </w:r>
            <w:r w:rsidR="00A721E8">
              <w:t>, helping to</w:t>
            </w:r>
            <w:r w:rsidRPr="0063751B">
              <w:t xml:space="preserve"> relax muscles </w:t>
            </w:r>
            <w:r w:rsidR="006C6570">
              <w:t>by blocking the chemical signals that cause muscles to stiffen</w:t>
            </w:r>
            <w:r w:rsidRPr="0063751B">
              <w:t>. Botox and Dysport </w:t>
            </w:r>
            <w:r w:rsidR="009608F6">
              <w:t>were also</w:t>
            </w:r>
            <w:r w:rsidRPr="0063751B">
              <w:t xml:space="preserve"> already listed on the</w:t>
            </w:r>
            <w:r w:rsidR="009608F6" w:rsidRPr="0063751B" w:rsidDel="009608F6">
              <w:t xml:space="preserve"> </w:t>
            </w:r>
            <w:r w:rsidRPr="0063751B">
              <w:t>PBS</w:t>
            </w:r>
            <w:r w:rsidR="00A95C40">
              <w:t xml:space="preserve"> </w:t>
            </w:r>
            <w:r w:rsidR="00A95C40" w:rsidRPr="0063751B">
              <w:t>for the treatment of moderate to severe lower limb spasticity in adults after an acute event</w:t>
            </w:r>
            <w:r w:rsidRPr="0063751B">
              <w:t>, and adding </w:t>
            </w:r>
            <w:proofErr w:type="spellStart"/>
            <w:r w:rsidRPr="0063751B">
              <w:t>Xeomin</w:t>
            </w:r>
            <w:proofErr w:type="spellEnd"/>
            <w:r w:rsidRPr="0063751B">
              <w:t> provides another option for people and doctors to use. An advantage of </w:t>
            </w:r>
            <w:proofErr w:type="spellStart"/>
            <w:r w:rsidRPr="0063751B">
              <w:t>Xeomin</w:t>
            </w:r>
            <w:proofErr w:type="spellEnd"/>
            <w:r w:rsidRPr="0063751B">
              <w:t> is that it does not need to be refrigerated, which makes it easier for health clinics to store than Botox and Dysport. </w:t>
            </w:r>
          </w:p>
          <w:p w14:paraId="4566EDB9" w14:textId="5653A109" w:rsidR="0013777E" w:rsidRDefault="0013777E" w:rsidP="000606CD">
            <w:pPr>
              <w:keepNext/>
              <w:keepLines/>
              <w:tabs>
                <w:tab w:val="left" w:pos="851"/>
              </w:tabs>
              <w:spacing w:before="240"/>
              <w:outlineLvl w:val="2"/>
            </w:pPr>
            <w:r>
              <w:t xml:space="preserve">MSAC agreed with the PBAC that </w:t>
            </w:r>
            <w:proofErr w:type="spellStart"/>
            <w:r>
              <w:t>Xeomin</w:t>
            </w:r>
            <w:proofErr w:type="spellEnd"/>
            <w:r>
              <w:t xml:space="preserve"> is safe and effective. MSAC also previously considered that there are no safety issues with botulinum toxin injections themselves.</w:t>
            </w:r>
          </w:p>
          <w:p w14:paraId="6040F7E3" w14:textId="74556330" w:rsidR="0013777E" w:rsidRPr="0063751B" w:rsidRDefault="0013777E" w:rsidP="000606CD">
            <w:pPr>
              <w:keepNext/>
              <w:keepLines/>
              <w:tabs>
                <w:tab w:val="left" w:pos="851"/>
              </w:tabs>
              <w:spacing w:before="240"/>
              <w:outlineLvl w:val="2"/>
            </w:pPr>
            <w:r>
              <w:t xml:space="preserve">MSAC acknowledged that adding </w:t>
            </w:r>
            <w:proofErr w:type="spellStart"/>
            <w:r>
              <w:t>Xeomin</w:t>
            </w:r>
            <w:proofErr w:type="spellEnd"/>
            <w:r>
              <w:t xml:space="preserve"> to the PBS and MBS for this condition is not expected </w:t>
            </w:r>
            <w:r w:rsidR="00FB7693">
              <w:t>to change</w:t>
            </w:r>
            <w:r w:rsidR="6E11ABC6">
              <w:t xml:space="preserve"> the</w:t>
            </w:r>
            <w:r w:rsidR="00FB7693">
              <w:t xml:space="preserve"> number of services because it would be used instead of Botox and D</w:t>
            </w:r>
            <w:r w:rsidR="2DAE7AEE">
              <w:t>y</w:t>
            </w:r>
            <w:r w:rsidR="00FB7693">
              <w:t>sport. This means there would be no financial impact to the MBS. MSAC noted that the number of people needing botulinum toxin injections increases every year, but it considered this acceptable.</w:t>
            </w:r>
          </w:p>
          <w:p w14:paraId="1E9A9A22" w14:textId="77777777" w:rsidR="007A135E" w:rsidRDefault="007A135E" w:rsidP="00D00EB7">
            <w:pPr>
              <w:keepNext/>
              <w:keepLines/>
              <w:tabs>
                <w:tab w:val="left" w:pos="851"/>
              </w:tabs>
              <w:spacing w:before="240"/>
              <w:jc w:val="both"/>
              <w:outlineLvl w:val="2"/>
              <w:rPr>
                <w:rFonts w:ascii="Franklin Gothic Medium" w:eastAsiaTheme="majorEastAsia" w:hAnsi="Franklin Gothic Medium" w:cstheme="majorBidi"/>
              </w:rPr>
            </w:pPr>
            <w:r w:rsidRPr="005B6EFD">
              <w:rPr>
                <w:rFonts w:ascii="Franklin Gothic Medium" w:eastAsiaTheme="majorEastAsia" w:hAnsi="Franklin Gothic Medium" w:cstheme="majorBidi"/>
              </w:rPr>
              <w:t xml:space="preserve">MSAC’s advice to the </w:t>
            </w:r>
            <w:proofErr w:type="gramStart"/>
            <w:r w:rsidRPr="005B6EFD">
              <w:rPr>
                <w:rFonts w:ascii="Franklin Gothic Medium" w:eastAsiaTheme="majorEastAsia" w:hAnsi="Franklin Gothic Medium" w:cstheme="majorBidi"/>
              </w:rPr>
              <w:t>Commonwealth Minister</w:t>
            </w:r>
            <w:proofErr w:type="gramEnd"/>
            <w:r w:rsidRPr="005B6EFD">
              <w:rPr>
                <w:rFonts w:ascii="Franklin Gothic Medium" w:eastAsiaTheme="majorEastAsia" w:hAnsi="Franklin Gothic Medium" w:cstheme="majorBidi"/>
              </w:rPr>
              <w:t xml:space="preserve"> for Health, Disability and Ageing</w:t>
            </w:r>
          </w:p>
          <w:p w14:paraId="2C17C745" w14:textId="0098734D" w:rsidR="007A135E" w:rsidRPr="005B6EFD" w:rsidRDefault="00FB7E78" w:rsidP="000606CD">
            <w:r w:rsidRPr="4DBD9D46">
              <w:rPr>
                <w:rFonts w:eastAsiaTheme="majorEastAsia" w:cstheme="majorBidi"/>
              </w:rPr>
              <w:t>MSAC supported amending </w:t>
            </w:r>
            <w:hyperlink r:id="rId13">
              <w:r w:rsidRPr="4DBD9D46">
                <w:rPr>
                  <w:rStyle w:val="Hyperlink"/>
                  <w:rFonts w:eastAsiaTheme="majorEastAsia" w:cstheme="majorBidi"/>
                </w:rPr>
                <w:t>MBS item 18360</w:t>
              </w:r>
            </w:hyperlink>
            <w:r w:rsidRPr="4DBD9D46">
              <w:rPr>
                <w:rFonts w:eastAsiaTheme="majorEastAsia" w:cstheme="majorBidi"/>
              </w:rPr>
              <w:t> to include incobotulinumtoxinA (</w:t>
            </w:r>
            <w:proofErr w:type="spellStart"/>
            <w:r w:rsidRPr="4DBD9D46">
              <w:rPr>
                <w:rFonts w:eastAsiaTheme="majorEastAsia" w:cstheme="majorBidi"/>
              </w:rPr>
              <w:t>Xeomin</w:t>
            </w:r>
            <w:proofErr w:type="spellEnd"/>
            <w:r w:rsidRPr="4DBD9D46">
              <w:rPr>
                <w:rFonts w:eastAsiaTheme="majorEastAsia" w:cstheme="majorBidi"/>
              </w:rPr>
              <w:t>) – in addition to Botox and Dysport – for the treatment of moderate to severe lower limb spasticity in adults after an acute event. MSAC accepted the PBAC’s conclusion that Xeomin is safe and effective, and that including it in MBS item 18360 would </w:t>
            </w:r>
            <w:r w:rsidR="62E3525F" w:rsidRPr="4DBD9D46">
              <w:rPr>
                <w:rFonts w:eastAsiaTheme="majorEastAsia" w:cstheme="majorBidi"/>
              </w:rPr>
              <w:t>be cost neutral</w:t>
            </w:r>
            <w:r w:rsidRPr="4DBD9D46">
              <w:rPr>
                <w:rFonts w:eastAsiaTheme="majorEastAsia" w:cstheme="majorBidi"/>
              </w:rPr>
              <w:t> to the MBS</w:t>
            </w:r>
            <w:r w:rsidR="003E2DB6">
              <w:rPr>
                <w:rFonts w:eastAsiaTheme="majorEastAsia" w:cstheme="majorBidi"/>
              </w:rPr>
              <w:t xml:space="preserve">, </w:t>
            </w:r>
            <w:r w:rsidR="00301D78">
              <w:rPr>
                <w:rFonts w:eastAsiaTheme="majorEastAsia" w:cstheme="majorBidi"/>
              </w:rPr>
              <w:t>as use is expected to</w:t>
            </w:r>
            <w:r w:rsidR="019709B7" w:rsidRPr="4DBD9D46">
              <w:rPr>
                <w:rFonts w:eastAsiaTheme="majorEastAsia" w:cstheme="majorBidi"/>
              </w:rPr>
              <w:t xml:space="preserve"> shift from other</w:t>
            </w:r>
            <w:r w:rsidR="00301D78">
              <w:rPr>
                <w:rFonts w:eastAsiaTheme="majorEastAsia" w:cstheme="majorBidi"/>
              </w:rPr>
              <w:t xml:space="preserve"> listed</w:t>
            </w:r>
            <w:r w:rsidR="019709B7" w:rsidRPr="4DBD9D46">
              <w:rPr>
                <w:rFonts w:eastAsiaTheme="majorEastAsia" w:cstheme="majorBidi"/>
              </w:rPr>
              <w:t xml:space="preserve"> bot</w:t>
            </w:r>
            <w:r w:rsidR="00B35EF4">
              <w:rPr>
                <w:rFonts w:eastAsiaTheme="majorEastAsia" w:cstheme="majorBidi"/>
              </w:rPr>
              <w:t>ulinum toxin</w:t>
            </w:r>
            <w:r w:rsidR="019709B7" w:rsidRPr="4DBD9D46">
              <w:rPr>
                <w:rFonts w:eastAsiaTheme="majorEastAsia" w:cstheme="majorBidi"/>
              </w:rPr>
              <w:t xml:space="preserve"> brands</w:t>
            </w:r>
            <w:r w:rsidRPr="4DBD9D46">
              <w:rPr>
                <w:rFonts w:eastAsiaTheme="majorEastAsia" w:cstheme="majorBidi"/>
              </w:rPr>
              <w:t>. </w:t>
            </w:r>
          </w:p>
        </w:tc>
      </w:tr>
    </w:tbl>
    <w:p w14:paraId="07723A8E" w14:textId="77777777" w:rsidR="007A135E" w:rsidRPr="005B6EFD" w:rsidRDefault="007A135E" w:rsidP="00EB3CE8">
      <w:pPr>
        <w:pStyle w:val="Heading2"/>
        <w:numPr>
          <w:ilvl w:val="0"/>
          <w:numId w:val="13"/>
        </w:numPr>
        <w:ind w:hanging="720"/>
      </w:pPr>
      <w:r w:rsidRPr="005B6EFD">
        <w:t>Summary of consideration and rationale for MSAC’s advice</w:t>
      </w:r>
    </w:p>
    <w:p w14:paraId="49BB4324" w14:textId="16F172E3" w:rsidR="00FB7E78" w:rsidRPr="00FC72E7" w:rsidRDefault="00FB7E78" w:rsidP="00FC72E7">
      <w:pPr>
        <w:pStyle w:val="Instructionaltext"/>
        <w:rPr>
          <w:color w:val="auto"/>
        </w:rPr>
      </w:pPr>
      <w:bookmarkStart w:id="2" w:name="_Toc69491416"/>
      <w:bookmarkEnd w:id="1"/>
      <w:r w:rsidRPr="00FC72E7">
        <w:rPr>
          <w:color w:val="auto"/>
        </w:rPr>
        <w:t>MSAC noted that this co-dependent application from Merz Australia was to amend </w:t>
      </w:r>
      <w:hyperlink r:id="rId14" w:tgtFrame="_blank" w:history="1">
        <w:r w:rsidR="00B2506F" w:rsidRPr="00B2506F">
          <w:rPr>
            <w:rStyle w:val="Hyperlink"/>
          </w:rPr>
          <w:t>Medicare Benefits Schedule (MBS) item 18360</w:t>
        </w:r>
      </w:hyperlink>
      <w:r w:rsidR="00B2506F" w:rsidRPr="00B2506F">
        <w:rPr>
          <w:color w:val="auto"/>
        </w:rPr>
        <w:t> </w:t>
      </w:r>
      <w:r w:rsidRPr="00FC72E7">
        <w:rPr>
          <w:color w:val="auto"/>
        </w:rPr>
        <w:t>to include incobotulinumtoxinA (</w:t>
      </w:r>
      <w:proofErr w:type="spellStart"/>
      <w:r w:rsidRPr="00FC72E7">
        <w:rPr>
          <w:color w:val="auto"/>
        </w:rPr>
        <w:t>Xeomin</w:t>
      </w:r>
      <w:proofErr w:type="spellEnd"/>
      <w:r w:rsidRPr="00FC72E7">
        <w:rPr>
          <w:color w:val="auto"/>
        </w:rPr>
        <w:t xml:space="preserve">) – in addition to </w:t>
      </w:r>
      <w:r w:rsidR="00F61BBC" w:rsidRPr="00F61BBC">
        <w:rPr>
          <w:color w:val="auto"/>
        </w:rPr>
        <w:t>botulinum toxin type A purified neurotoxin complex</w:t>
      </w:r>
      <w:r w:rsidR="00F61BBC">
        <w:rPr>
          <w:color w:val="auto"/>
        </w:rPr>
        <w:t xml:space="preserve"> (</w:t>
      </w:r>
      <w:r w:rsidRPr="00FC72E7">
        <w:rPr>
          <w:color w:val="auto"/>
        </w:rPr>
        <w:t>Botox</w:t>
      </w:r>
      <w:r w:rsidR="00F61BBC">
        <w:rPr>
          <w:color w:val="auto"/>
        </w:rPr>
        <w:t>)</w:t>
      </w:r>
      <w:r w:rsidRPr="00FC72E7">
        <w:rPr>
          <w:color w:val="auto"/>
        </w:rPr>
        <w:t xml:space="preserve"> and </w:t>
      </w:r>
      <w:r w:rsidR="00C72FFA" w:rsidRPr="00C72FFA">
        <w:rPr>
          <w:color w:val="auto"/>
        </w:rPr>
        <w:t>clostridium botulinum type A toxin-haemagglutinin complex (</w:t>
      </w:r>
      <w:r w:rsidRPr="00FC72E7">
        <w:rPr>
          <w:color w:val="auto"/>
        </w:rPr>
        <w:t>Dysport</w:t>
      </w:r>
      <w:r w:rsidR="00C72FFA">
        <w:rPr>
          <w:color w:val="auto"/>
        </w:rPr>
        <w:t>)</w:t>
      </w:r>
      <w:r w:rsidRPr="00FC72E7">
        <w:rPr>
          <w:color w:val="auto"/>
        </w:rPr>
        <w:t xml:space="preserve"> – for the treatment of moderate to severe lower limb spasticity in adults after an acute event.  </w:t>
      </w:r>
    </w:p>
    <w:p w14:paraId="0C81C328" w14:textId="53BF0663" w:rsidR="00C07BE9" w:rsidRPr="00FC72E7" w:rsidRDefault="00C07BE9" w:rsidP="00C07BE9">
      <w:pPr>
        <w:pStyle w:val="Instructionaltext"/>
        <w:rPr>
          <w:color w:val="auto"/>
        </w:rPr>
      </w:pPr>
      <w:r w:rsidRPr="00FC72E7">
        <w:rPr>
          <w:color w:val="auto"/>
        </w:rPr>
        <w:t xml:space="preserve">MSAC noted </w:t>
      </w:r>
      <w:r w:rsidR="0092711F">
        <w:rPr>
          <w:color w:val="auto"/>
        </w:rPr>
        <w:t xml:space="preserve">the </w:t>
      </w:r>
      <w:r w:rsidRPr="00FC72E7">
        <w:rPr>
          <w:color w:val="auto"/>
        </w:rPr>
        <w:t>existing </w:t>
      </w:r>
      <w:hyperlink r:id="rId15" w:tgtFrame="_blank" w:history="1">
        <w:r w:rsidRPr="00FB7E78">
          <w:rPr>
            <w:rStyle w:val="Hyperlink"/>
            <w:rFonts w:eastAsiaTheme="majorEastAsia" w:cstheme="majorBidi"/>
          </w:rPr>
          <w:t>MBS item 18360</w:t>
        </w:r>
      </w:hyperlink>
      <w:r w:rsidRPr="00FC72E7">
        <w:rPr>
          <w:color w:val="auto"/>
        </w:rPr>
        <w:t> for the injection of Botox and Dysport to treat moderate to severe spasticity in adults</w:t>
      </w:r>
      <w:r w:rsidR="00BD6BE3">
        <w:rPr>
          <w:color w:val="auto"/>
        </w:rPr>
        <w:t xml:space="preserve"> and that</w:t>
      </w:r>
      <w:r w:rsidRPr="00FC72E7">
        <w:rPr>
          <w:color w:val="auto"/>
        </w:rPr>
        <w:t xml:space="preserve"> </w:t>
      </w:r>
      <w:r w:rsidR="00BD6BE3">
        <w:rPr>
          <w:color w:val="auto"/>
        </w:rPr>
        <w:t>t</w:t>
      </w:r>
      <w:r w:rsidRPr="00FC72E7">
        <w:rPr>
          <w:color w:val="auto"/>
        </w:rPr>
        <w:t>he current application did not request a fee modification.  </w:t>
      </w:r>
    </w:p>
    <w:p w14:paraId="300B892E" w14:textId="26A3D089" w:rsidR="00FB7E78" w:rsidRPr="00FC72E7" w:rsidRDefault="00FB7E78" w:rsidP="00FC72E7">
      <w:pPr>
        <w:pStyle w:val="Instructionaltext"/>
        <w:rPr>
          <w:color w:val="auto"/>
        </w:rPr>
      </w:pPr>
      <w:r w:rsidRPr="00FC72E7">
        <w:rPr>
          <w:color w:val="auto"/>
        </w:rPr>
        <w:lastRenderedPageBreak/>
        <w:t>MSAC noted that, although Botox, Dysport and </w:t>
      </w:r>
      <w:proofErr w:type="spellStart"/>
      <w:r w:rsidRPr="00FC72E7">
        <w:rPr>
          <w:color w:val="auto"/>
        </w:rPr>
        <w:t>Xeomin</w:t>
      </w:r>
      <w:proofErr w:type="spellEnd"/>
      <w:r w:rsidRPr="00FC72E7">
        <w:rPr>
          <w:color w:val="auto"/>
        </w:rPr>
        <w:t xml:space="preserve"> are all registered botulinum toxins, they are not bioequivalent and are not considered biosimilar medicines. As such, Pharmaceutical Benefits Scheme (PBS) biosimilar substitution arrangements do not apply to botulinum toxin products. Each product must be assessed for the PBS and MBS separately. </w:t>
      </w:r>
    </w:p>
    <w:p w14:paraId="5C57EBD5" w14:textId="71F50D1C" w:rsidR="00F47C4D" w:rsidRPr="00FC72E7" w:rsidRDefault="00F47C4D" w:rsidP="00FC72E7">
      <w:pPr>
        <w:pStyle w:val="Instructionaltext"/>
        <w:rPr>
          <w:color w:val="auto"/>
        </w:rPr>
      </w:pPr>
      <w:r w:rsidRPr="00FC72E7">
        <w:rPr>
          <w:color w:val="auto"/>
        </w:rPr>
        <w:t xml:space="preserve">MSAC noted </w:t>
      </w:r>
      <w:r w:rsidR="00434E4B">
        <w:rPr>
          <w:color w:val="auto"/>
        </w:rPr>
        <w:t>and welcome</w:t>
      </w:r>
      <w:r w:rsidR="00825805">
        <w:rPr>
          <w:color w:val="auto"/>
        </w:rPr>
        <w:t>d</w:t>
      </w:r>
      <w:r w:rsidR="00434E4B">
        <w:rPr>
          <w:color w:val="auto"/>
        </w:rPr>
        <w:t xml:space="preserve"> </w:t>
      </w:r>
      <w:r w:rsidRPr="00FC72E7">
        <w:rPr>
          <w:color w:val="auto"/>
        </w:rPr>
        <w:t>the </w:t>
      </w:r>
      <w:r w:rsidR="00434E4B">
        <w:rPr>
          <w:color w:val="auto"/>
        </w:rPr>
        <w:t>public</w:t>
      </w:r>
      <w:r w:rsidRPr="00FC72E7">
        <w:rPr>
          <w:color w:val="auto"/>
        </w:rPr>
        <w:t xml:space="preserve"> consultation </w:t>
      </w:r>
      <w:r w:rsidR="00434E4B">
        <w:rPr>
          <w:color w:val="auto"/>
        </w:rPr>
        <w:t>inpu</w:t>
      </w:r>
      <w:r w:rsidR="00A37229">
        <w:rPr>
          <w:color w:val="auto"/>
        </w:rPr>
        <w:t>t</w:t>
      </w:r>
      <w:r w:rsidR="00ED35B4" w:rsidRPr="00FC72E7" w:rsidDel="00ED35B4">
        <w:rPr>
          <w:color w:val="auto"/>
        </w:rPr>
        <w:t xml:space="preserve"> </w:t>
      </w:r>
      <w:r w:rsidRPr="00FC72E7">
        <w:rPr>
          <w:color w:val="auto"/>
        </w:rPr>
        <w:t>from a health professional and 2</w:t>
      </w:r>
      <w:r w:rsidRPr="00FC72E7">
        <w:rPr>
          <w:rFonts w:ascii="Arial" w:hAnsi="Arial" w:cs="Arial"/>
          <w:color w:val="auto"/>
        </w:rPr>
        <w:t> </w:t>
      </w:r>
      <w:r w:rsidRPr="00FC72E7">
        <w:rPr>
          <w:color w:val="auto"/>
        </w:rPr>
        <w:t>organisations</w:t>
      </w:r>
      <w:r w:rsidR="0039724F">
        <w:rPr>
          <w:color w:val="auto"/>
        </w:rPr>
        <w:t xml:space="preserve">, which were supportive of </w:t>
      </w:r>
      <w:proofErr w:type="spellStart"/>
      <w:r w:rsidR="0039724F">
        <w:rPr>
          <w:color w:val="auto"/>
        </w:rPr>
        <w:t>Xeomin</w:t>
      </w:r>
      <w:proofErr w:type="spellEnd"/>
      <w:r w:rsidR="0039724F">
        <w:rPr>
          <w:color w:val="auto"/>
        </w:rPr>
        <w:t xml:space="preserve"> being listed</w:t>
      </w:r>
      <w:r w:rsidRPr="00FC72E7">
        <w:rPr>
          <w:color w:val="auto"/>
        </w:rPr>
        <w:t>. Input highlighted that </w:t>
      </w:r>
      <w:proofErr w:type="spellStart"/>
      <w:r w:rsidRPr="00FC72E7">
        <w:rPr>
          <w:color w:val="auto"/>
        </w:rPr>
        <w:t>Xeomin</w:t>
      </w:r>
      <w:proofErr w:type="spellEnd"/>
      <w:r w:rsidRPr="00FC72E7">
        <w:rPr>
          <w:color w:val="auto"/>
        </w:rPr>
        <w:t xml:space="preserve"> does</w:t>
      </w:r>
      <w:r w:rsidR="002505C7">
        <w:rPr>
          <w:color w:val="auto"/>
        </w:rPr>
        <w:t xml:space="preserve"> </w:t>
      </w:r>
      <w:r w:rsidRPr="00FC72E7">
        <w:rPr>
          <w:color w:val="auto"/>
        </w:rPr>
        <w:t>not require refrigeration, which makes storage easier than for Botox and Dysport. Input did not</w:t>
      </w:r>
      <w:r w:rsidR="002505C7">
        <w:rPr>
          <w:color w:val="auto"/>
        </w:rPr>
        <w:t xml:space="preserve"> </w:t>
      </w:r>
      <w:r w:rsidRPr="00FC72E7">
        <w:rPr>
          <w:color w:val="auto"/>
        </w:rPr>
        <w:t>raise any implementation issues. </w:t>
      </w:r>
    </w:p>
    <w:p w14:paraId="532E6FF9" w14:textId="381AB5D4" w:rsidR="00FB7E78" w:rsidRPr="00FC72E7" w:rsidRDefault="00FB7E78" w:rsidP="00FC72E7">
      <w:pPr>
        <w:pStyle w:val="Instructionaltext"/>
        <w:rPr>
          <w:color w:val="auto"/>
        </w:rPr>
      </w:pPr>
      <w:r w:rsidRPr="00FC72E7">
        <w:rPr>
          <w:color w:val="auto"/>
        </w:rPr>
        <w:t>At its March 2026 meeting, the Pharmaceutical Benefits Advisory Committee (PBAC) recommended</w:t>
      </w:r>
      <w:r w:rsidR="00DA1E4B">
        <w:rPr>
          <w:color w:val="auto"/>
        </w:rPr>
        <w:t xml:space="preserve"> </w:t>
      </w:r>
      <w:r w:rsidRPr="00FC72E7">
        <w:rPr>
          <w:color w:val="auto"/>
        </w:rPr>
        <w:t>listing</w:t>
      </w:r>
      <w:r w:rsidR="00DA1E4B">
        <w:rPr>
          <w:color w:val="auto"/>
        </w:rPr>
        <w:t xml:space="preserve"> </w:t>
      </w:r>
      <w:proofErr w:type="spellStart"/>
      <w:r w:rsidRPr="00FC72E7">
        <w:rPr>
          <w:color w:val="auto"/>
        </w:rPr>
        <w:t>Xeomin</w:t>
      </w:r>
      <w:proofErr w:type="spellEnd"/>
      <w:r w:rsidRPr="00FC72E7">
        <w:rPr>
          <w:color w:val="auto"/>
        </w:rPr>
        <w:t> on the PBS for the treatment of moderate to severe lower limb spasticity in adults after stroke, traumatic brain injury or spinal cord injury. The PBAC</w:t>
      </w:r>
      <w:r w:rsidR="00DA1E4B">
        <w:rPr>
          <w:color w:val="auto"/>
        </w:rPr>
        <w:t xml:space="preserve"> </w:t>
      </w:r>
      <w:r w:rsidRPr="00FC72E7">
        <w:rPr>
          <w:color w:val="auto"/>
        </w:rPr>
        <w:t>accepted</w:t>
      </w:r>
      <w:r w:rsidR="00DA1E4B">
        <w:rPr>
          <w:color w:val="auto"/>
        </w:rPr>
        <w:t xml:space="preserve"> </w:t>
      </w:r>
      <w:proofErr w:type="spellStart"/>
      <w:r w:rsidRPr="00FC72E7">
        <w:rPr>
          <w:color w:val="auto"/>
        </w:rPr>
        <w:t>Xeomin</w:t>
      </w:r>
      <w:proofErr w:type="spellEnd"/>
      <w:r w:rsidR="00DA1E4B">
        <w:rPr>
          <w:color w:val="auto"/>
        </w:rPr>
        <w:t xml:space="preserve"> </w:t>
      </w:r>
      <w:r w:rsidRPr="00FC72E7">
        <w:rPr>
          <w:color w:val="auto"/>
        </w:rPr>
        <w:t xml:space="preserve">to be an effective alternative </w:t>
      </w:r>
      <w:r w:rsidR="00325778">
        <w:rPr>
          <w:color w:val="auto"/>
        </w:rPr>
        <w:t xml:space="preserve">and equivalent </w:t>
      </w:r>
      <w:r w:rsidRPr="00FC72E7">
        <w:rPr>
          <w:color w:val="auto"/>
        </w:rPr>
        <w:t>therapy to Botox and</w:t>
      </w:r>
      <w:r w:rsidR="00DA1E4B">
        <w:rPr>
          <w:color w:val="auto"/>
        </w:rPr>
        <w:t xml:space="preserve"> </w:t>
      </w:r>
      <w:proofErr w:type="gramStart"/>
      <w:r w:rsidRPr="00FC72E7">
        <w:rPr>
          <w:color w:val="auto"/>
        </w:rPr>
        <w:t>Dysport</w:t>
      </w:r>
      <w:r w:rsidR="00DA1E4B">
        <w:rPr>
          <w:color w:val="auto"/>
        </w:rPr>
        <w:t xml:space="preserve">, </w:t>
      </w:r>
      <w:r w:rsidRPr="00FC72E7">
        <w:rPr>
          <w:color w:val="auto"/>
        </w:rPr>
        <w:t>and</w:t>
      </w:r>
      <w:proofErr w:type="gramEnd"/>
      <w:r w:rsidR="00DA1E4B">
        <w:rPr>
          <w:color w:val="auto"/>
        </w:rPr>
        <w:t xml:space="preserve"> </w:t>
      </w:r>
      <w:r w:rsidRPr="00FC72E7">
        <w:rPr>
          <w:color w:val="auto"/>
        </w:rPr>
        <w:t>considered it to be cost-effective if listed at the same or a lower price than Botox and Dysport. </w:t>
      </w:r>
    </w:p>
    <w:p w14:paraId="572C3BD3" w14:textId="7D8908CF" w:rsidR="00FB7E78" w:rsidRPr="00FC72E7" w:rsidRDefault="00FB7E78" w:rsidP="00FC72E7">
      <w:pPr>
        <w:pStyle w:val="Instructionaltext"/>
        <w:rPr>
          <w:color w:val="auto"/>
        </w:rPr>
      </w:pPr>
      <w:r w:rsidRPr="23C09455">
        <w:rPr>
          <w:color w:val="auto"/>
        </w:rPr>
        <w:t xml:space="preserve">MSAC </w:t>
      </w:r>
      <w:r w:rsidR="00864F6E" w:rsidRPr="23C09455">
        <w:rPr>
          <w:color w:val="auto"/>
        </w:rPr>
        <w:t xml:space="preserve">considered </w:t>
      </w:r>
      <w:r w:rsidR="00F2087A" w:rsidRPr="23C09455">
        <w:rPr>
          <w:color w:val="auto"/>
        </w:rPr>
        <w:t xml:space="preserve">there </w:t>
      </w:r>
      <w:r w:rsidR="00384CAA" w:rsidRPr="23C09455">
        <w:rPr>
          <w:color w:val="auto"/>
        </w:rPr>
        <w:t xml:space="preserve">may be </w:t>
      </w:r>
      <w:r w:rsidR="00462133" w:rsidRPr="23C09455">
        <w:rPr>
          <w:color w:val="auto"/>
        </w:rPr>
        <w:t xml:space="preserve">a clinical need </w:t>
      </w:r>
      <w:r w:rsidR="72E92DAD" w:rsidRPr="23C09455">
        <w:rPr>
          <w:color w:val="auto"/>
        </w:rPr>
        <w:t>for</w:t>
      </w:r>
      <w:r w:rsidR="00462133" w:rsidRPr="23C09455">
        <w:rPr>
          <w:color w:val="auto"/>
        </w:rPr>
        <w:t xml:space="preserve"> the service in patients</w:t>
      </w:r>
      <w:r w:rsidR="00E93BB1" w:rsidRPr="23C09455">
        <w:rPr>
          <w:color w:val="auto"/>
        </w:rPr>
        <w:t xml:space="preserve"> younger than 18 years</w:t>
      </w:r>
      <w:r w:rsidR="00714BEC" w:rsidRPr="23C09455">
        <w:rPr>
          <w:color w:val="auto"/>
        </w:rPr>
        <w:t>.</w:t>
      </w:r>
      <w:r w:rsidR="00293F50" w:rsidRPr="23C09455">
        <w:rPr>
          <w:color w:val="auto"/>
        </w:rPr>
        <w:t xml:space="preserve"> </w:t>
      </w:r>
      <w:r w:rsidR="005F4536" w:rsidRPr="23C09455">
        <w:rPr>
          <w:color w:val="auto"/>
        </w:rPr>
        <w:t xml:space="preserve">MSAC </w:t>
      </w:r>
      <w:r w:rsidR="00714BEC" w:rsidRPr="23C09455">
        <w:rPr>
          <w:color w:val="auto"/>
        </w:rPr>
        <w:t xml:space="preserve">noted </w:t>
      </w:r>
      <w:r w:rsidRPr="23C09455">
        <w:rPr>
          <w:color w:val="auto"/>
        </w:rPr>
        <w:t xml:space="preserve">that the application was to amend an existing MBS item, which was for adults only and aligns with the PBS listing. MSAC considered it appropriate to write to the PBAC to raise this potential </w:t>
      </w:r>
      <w:r w:rsidR="00E3214B" w:rsidRPr="23C09455">
        <w:rPr>
          <w:color w:val="auto"/>
        </w:rPr>
        <w:t xml:space="preserve">age-restriction </w:t>
      </w:r>
      <w:r w:rsidRPr="23C09455">
        <w:rPr>
          <w:color w:val="auto"/>
        </w:rPr>
        <w:t>inequity</w:t>
      </w:r>
      <w:r w:rsidR="00A53BE8" w:rsidRPr="23C09455">
        <w:rPr>
          <w:color w:val="auto"/>
        </w:rPr>
        <w:t xml:space="preserve"> issue</w:t>
      </w:r>
      <w:r w:rsidR="004930BB" w:rsidRPr="23C09455">
        <w:rPr>
          <w:color w:val="auto"/>
        </w:rPr>
        <w:t>, noting there are several</w:t>
      </w:r>
      <w:r w:rsidR="00026D86" w:rsidRPr="23C09455">
        <w:rPr>
          <w:color w:val="auto"/>
        </w:rPr>
        <w:t xml:space="preserve"> MBS and PBS items</w:t>
      </w:r>
      <w:r w:rsidR="00740863" w:rsidRPr="23C09455">
        <w:rPr>
          <w:color w:val="auto"/>
        </w:rPr>
        <w:t xml:space="preserve"> </w:t>
      </w:r>
      <w:r w:rsidR="005171C7" w:rsidRPr="23C09455">
        <w:rPr>
          <w:color w:val="auto"/>
        </w:rPr>
        <w:t>for</w:t>
      </w:r>
      <w:r w:rsidR="004930BB" w:rsidRPr="23C09455">
        <w:rPr>
          <w:color w:val="auto"/>
        </w:rPr>
        <w:t xml:space="preserve"> </w:t>
      </w:r>
      <w:r w:rsidR="005145BA" w:rsidRPr="23C09455">
        <w:rPr>
          <w:color w:val="auto"/>
        </w:rPr>
        <w:t xml:space="preserve">botulinum toxin </w:t>
      </w:r>
      <w:r w:rsidR="005171C7" w:rsidRPr="23C09455">
        <w:rPr>
          <w:color w:val="auto"/>
        </w:rPr>
        <w:t xml:space="preserve">therapy for </w:t>
      </w:r>
      <w:r w:rsidR="00EF5D49" w:rsidRPr="23C09455">
        <w:rPr>
          <w:color w:val="auto"/>
        </w:rPr>
        <w:t>different types of muscle spasticity</w:t>
      </w:r>
      <w:r w:rsidR="006F4B7C" w:rsidRPr="23C09455">
        <w:rPr>
          <w:color w:val="auto"/>
        </w:rPr>
        <w:t xml:space="preserve"> for children</w:t>
      </w:r>
      <w:r w:rsidRPr="23C09455">
        <w:rPr>
          <w:color w:val="auto"/>
        </w:rPr>
        <w:t>. </w:t>
      </w:r>
    </w:p>
    <w:p w14:paraId="1DE3B3AF" w14:textId="15A9A97C" w:rsidR="00A02834" w:rsidRPr="00FC72E7" w:rsidRDefault="00A02834" w:rsidP="00FC72E7">
      <w:pPr>
        <w:pStyle w:val="Instructionaltext"/>
        <w:rPr>
          <w:color w:val="auto"/>
        </w:rPr>
      </w:pPr>
      <w:r w:rsidRPr="00FC72E7">
        <w:rPr>
          <w:color w:val="auto"/>
        </w:rPr>
        <w:t>MSAC accepted the PICO and the clinical management algorithm. MSAC agreed with the PBAC ESC that there were no safety concerns for </w:t>
      </w:r>
      <w:r w:rsidR="004458B3">
        <w:rPr>
          <w:color w:val="auto"/>
        </w:rPr>
        <w:t xml:space="preserve">administering </w:t>
      </w:r>
      <w:proofErr w:type="spellStart"/>
      <w:r w:rsidRPr="00FC72E7">
        <w:rPr>
          <w:color w:val="auto"/>
        </w:rPr>
        <w:t>Xeomin</w:t>
      </w:r>
      <w:proofErr w:type="spellEnd"/>
      <w:r w:rsidRPr="00FC72E7">
        <w:rPr>
          <w:color w:val="auto"/>
        </w:rPr>
        <w:t xml:space="preserve">, and the injection has already been accepted as safe. MSAC </w:t>
      </w:r>
      <w:r>
        <w:rPr>
          <w:color w:val="auto"/>
        </w:rPr>
        <w:t>not</w:t>
      </w:r>
      <w:r w:rsidRPr="00FC72E7">
        <w:rPr>
          <w:color w:val="auto"/>
        </w:rPr>
        <w:t>ed that the clinical evidence demonstrates that </w:t>
      </w:r>
      <w:proofErr w:type="spellStart"/>
      <w:r w:rsidRPr="00FC72E7">
        <w:rPr>
          <w:color w:val="auto"/>
        </w:rPr>
        <w:t>Xeomin</w:t>
      </w:r>
      <w:proofErr w:type="spellEnd"/>
      <w:r w:rsidRPr="00FC72E7">
        <w:rPr>
          <w:color w:val="auto"/>
        </w:rPr>
        <w:t xml:space="preserve"> results in</w:t>
      </w:r>
      <w:r w:rsidR="002505C7">
        <w:rPr>
          <w:color w:val="auto"/>
        </w:rPr>
        <w:t xml:space="preserve"> </w:t>
      </w:r>
      <w:r w:rsidRPr="00FC72E7">
        <w:rPr>
          <w:color w:val="auto"/>
        </w:rPr>
        <w:t>small, short-term reductions in lower limb spasticity compared with placebo, and that </w:t>
      </w:r>
      <w:r w:rsidR="008934D8">
        <w:rPr>
          <w:color w:val="auto"/>
        </w:rPr>
        <w:t>its</w:t>
      </w:r>
      <w:r w:rsidRPr="00FC72E7">
        <w:rPr>
          <w:color w:val="auto"/>
        </w:rPr>
        <w:t xml:space="preserve"> effectiveness</w:t>
      </w:r>
      <w:r w:rsidR="008934D8">
        <w:rPr>
          <w:color w:val="auto"/>
        </w:rPr>
        <w:t xml:space="preserve"> is </w:t>
      </w:r>
      <w:proofErr w:type="gramStart"/>
      <w:r w:rsidR="008934D8">
        <w:rPr>
          <w:color w:val="auto"/>
        </w:rPr>
        <w:t>similar</w:t>
      </w:r>
      <w:r w:rsidRPr="00FC72E7">
        <w:rPr>
          <w:color w:val="auto"/>
        </w:rPr>
        <w:t> to</w:t>
      </w:r>
      <w:proofErr w:type="gramEnd"/>
      <w:r w:rsidRPr="00FC72E7">
        <w:rPr>
          <w:color w:val="auto"/>
        </w:rPr>
        <w:t> Botox. </w:t>
      </w:r>
    </w:p>
    <w:p w14:paraId="321301F0" w14:textId="41407C74" w:rsidR="00FB7E78" w:rsidRPr="00FC72E7" w:rsidRDefault="00FB7E78" w:rsidP="00FC72E7">
      <w:pPr>
        <w:pStyle w:val="Instructionaltext"/>
        <w:rPr>
          <w:color w:val="auto"/>
        </w:rPr>
      </w:pPr>
      <w:r w:rsidRPr="00FC72E7">
        <w:rPr>
          <w:color w:val="auto"/>
        </w:rPr>
        <w:t>MSAC considered that adding </w:t>
      </w:r>
      <w:proofErr w:type="spellStart"/>
      <w:r w:rsidRPr="00FC72E7">
        <w:rPr>
          <w:color w:val="auto"/>
        </w:rPr>
        <w:t>Xeomin</w:t>
      </w:r>
      <w:proofErr w:type="spellEnd"/>
      <w:r w:rsidRPr="00FC72E7">
        <w:rPr>
          <w:color w:val="auto"/>
        </w:rPr>
        <w:t xml:space="preserve"> to the MBS item </w:t>
      </w:r>
      <w:r w:rsidR="00A44636">
        <w:rPr>
          <w:color w:val="auto"/>
        </w:rPr>
        <w:t xml:space="preserve">18360 </w:t>
      </w:r>
      <w:r w:rsidRPr="00FC72E7">
        <w:rPr>
          <w:color w:val="auto"/>
        </w:rPr>
        <w:t>would not result in</w:t>
      </w:r>
      <w:r w:rsidR="002505C7">
        <w:rPr>
          <w:color w:val="auto"/>
        </w:rPr>
        <w:t xml:space="preserve"> </w:t>
      </w:r>
      <w:r w:rsidRPr="00FC72E7">
        <w:rPr>
          <w:color w:val="auto"/>
        </w:rPr>
        <w:t>additional</w:t>
      </w:r>
      <w:r w:rsidR="002505C7">
        <w:rPr>
          <w:color w:val="auto"/>
        </w:rPr>
        <w:t xml:space="preserve"> </w:t>
      </w:r>
      <w:r w:rsidRPr="00FC72E7">
        <w:rPr>
          <w:color w:val="auto"/>
        </w:rPr>
        <w:t>services because</w:t>
      </w:r>
      <w:r w:rsidR="002505C7">
        <w:rPr>
          <w:color w:val="auto"/>
        </w:rPr>
        <w:t xml:space="preserve"> </w:t>
      </w:r>
      <w:proofErr w:type="spellStart"/>
      <w:r w:rsidRPr="00FC72E7">
        <w:rPr>
          <w:color w:val="auto"/>
        </w:rPr>
        <w:t>Xeomin</w:t>
      </w:r>
      <w:proofErr w:type="spellEnd"/>
      <w:r w:rsidRPr="00FC72E7">
        <w:rPr>
          <w:color w:val="auto"/>
        </w:rPr>
        <w:t xml:space="preserve"> would be substitut</w:t>
      </w:r>
      <w:r w:rsidR="004C09B3">
        <w:rPr>
          <w:color w:val="auto"/>
        </w:rPr>
        <w:t>ing</w:t>
      </w:r>
      <w:r w:rsidRPr="00FC72E7">
        <w:rPr>
          <w:color w:val="auto"/>
        </w:rPr>
        <w:t xml:space="preserve"> </w:t>
      </w:r>
      <w:r w:rsidR="00232BC7">
        <w:rPr>
          <w:color w:val="auto"/>
        </w:rPr>
        <w:t xml:space="preserve">for </w:t>
      </w:r>
      <w:r w:rsidRPr="00FC72E7">
        <w:rPr>
          <w:color w:val="auto"/>
        </w:rPr>
        <w:t>Botox </w:t>
      </w:r>
      <w:r w:rsidR="004C5AF9">
        <w:rPr>
          <w:color w:val="auto"/>
        </w:rPr>
        <w:t>or</w:t>
      </w:r>
      <w:r w:rsidRPr="00FC72E7">
        <w:rPr>
          <w:color w:val="auto"/>
        </w:rPr>
        <w:t> Dysport</w:t>
      </w:r>
      <w:r w:rsidR="008A5818">
        <w:rPr>
          <w:color w:val="auto"/>
        </w:rPr>
        <w:t xml:space="preserve"> use</w:t>
      </w:r>
      <w:r w:rsidRPr="00FC72E7">
        <w:rPr>
          <w:color w:val="auto"/>
        </w:rPr>
        <w:t>, </w:t>
      </w:r>
      <w:r w:rsidR="000939AB">
        <w:rPr>
          <w:color w:val="auto"/>
        </w:rPr>
        <w:t xml:space="preserve">solely </w:t>
      </w:r>
      <w:r w:rsidR="00232BC7">
        <w:rPr>
          <w:color w:val="auto"/>
        </w:rPr>
        <w:t>providing another option for patients and clinicians</w:t>
      </w:r>
      <w:r w:rsidR="00FA78B0">
        <w:rPr>
          <w:color w:val="auto"/>
        </w:rPr>
        <w:t xml:space="preserve">. </w:t>
      </w:r>
      <w:r w:rsidRPr="00FC72E7">
        <w:rPr>
          <w:color w:val="auto"/>
        </w:rPr>
        <w:t>MSAC</w:t>
      </w:r>
      <w:r w:rsidR="00FA78B0">
        <w:rPr>
          <w:color w:val="auto"/>
        </w:rPr>
        <w:t>, therefore,</w:t>
      </w:r>
      <w:r w:rsidRPr="00FC72E7">
        <w:rPr>
          <w:color w:val="auto"/>
        </w:rPr>
        <w:t xml:space="preserve"> expected service utilisation</w:t>
      </w:r>
      <w:r w:rsidR="002505C7">
        <w:rPr>
          <w:color w:val="auto"/>
        </w:rPr>
        <w:t xml:space="preserve"> </w:t>
      </w:r>
      <w:r w:rsidRPr="00FC72E7">
        <w:rPr>
          <w:color w:val="auto"/>
        </w:rPr>
        <w:t>to remain stable if</w:t>
      </w:r>
      <w:r w:rsidR="00F63BD9">
        <w:rPr>
          <w:color w:val="auto"/>
        </w:rPr>
        <w:t xml:space="preserve"> </w:t>
      </w:r>
      <w:proofErr w:type="spellStart"/>
      <w:r w:rsidRPr="00FC72E7">
        <w:rPr>
          <w:color w:val="auto"/>
        </w:rPr>
        <w:t>Xeomin</w:t>
      </w:r>
      <w:proofErr w:type="spellEnd"/>
      <w:r w:rsidRPr="00FC72E7">
        <w:rPr>
          <w:color w:val="auto"/>
        </w:rPr>
        <w:t xml:space="preserve"> is listed</w:t>
      </w:r>
      <w:r w:rsidR="00FA78B0">
        <w:rPr>
          <w:color w:val="auto"/>
        </w:rPr>
        <w:t>, and</w:t>
      </w:r>
      <w:r w:rsidR="00654585">
        <w:rPr>
          <w:color w:val="auto"/>
        </w:rPr>
        <w:t xml:space="preserve"> </w:t>
      </w:r>
      <w:r w:rsidR="00FA78B0">
        <w:rPr>
          <w:color w:val="auto"/>
        </w:rPr>
        <w:t>t</w:t>
      </w:r>
      <w:r w:rsidRPr="00FC72E7">
        <w:rPr>
          <w:color w:val="auto"/>
        </w:rPr>
        <w:t>he financial impact </w:t>
      </w:r>
      <w:r w:rsidR="00FA78B0">
        <w:rPr>
          <w:color w:val="auto"/>
        </w:rPr>
        <w:t>to</w:t>
      </w:r>
      <w:r w:rsidR="00FA78B0" w:rsidRPr="00FC72E7">
        <w:rPr>
          <w:color w:val="auto"/>
        </w:rPr>
        <w:t xml:space="preserve"> </w:t>
      </w:r>
      <w:r w:rsidRPr="00FC72E7">
        <w:rPr>
          <w:color w:val="auto"/>
        </w:rPr>
        <w:t xml:space="preserve">be cost neutral, </w:t>
      </w:r>
      <w:r w:rsidR="00FA78B0">
        <w:rPr>
          <w:color w:val="auto"/>
        </w:rPr>
        <w:t>noting that</w:t>
      </w:r>
      <w:r w:rsidR="00FA78B0" w:rsidRPr="00FC72E7">
        <w:rPr>
          <w:color w:val="auto"/>
        </w:rPr>
        <w:t xml:space="preserve"> </w:t>
      </w:r>
      <w:r w:rsidRPr="00FC72E7">
        <w:rPr>
          <w:color w:val="auto"/>
        </w:rPr>
        <w:t>the estimates incorporated a</w:t>
      </w:r>
      <w:r w:rsidR="0017347A">
        <w:rPr>
          <w:color w:val="auto"/>
        </w:rPr>
        <w:t>n annual</w:t>
      </w:r>
      <w:r w:rsidRPr="00FC72E7">
        <w:rPr>
          <w:color w:val="auto"/>
        </w:rPr>
        <w:t xml:space="preserve"> market growth rate of 20.7% </w:t>
      </w:r>
      <w:r w:rsidR="0017347A">
        <w:rPr>
          <w:color w:val="auto"/>
        </w:rPr>
        <w:t>for botulinum toxin product</w:t>
      </w:r>
      <w:r w:rsidR="001207C5">
        <w:rPr>
          <w:color w:val="auto"/>
        </w:rPr>
        <w:t>s</w:t>
      </w:r>
      <w:r w:rsidRPr="00FC72E7">
        <w:rPr>
          <w:color w:val="auto"/>
        </w:rPr>
        <w:t>, which MSAC considered acceptable. </w:t>
      </w:r>
    </w:p>
    <w:p w14:paraId="6710B69D" w14:textId="6F2D61C6" w:rsidR="00772829" w:rsidRPr="00CE28E3" w:rsidRDefault="00772829" w:rsidP="00EB3CE8">
      <w:pPr>
        <w:pStyle w:val="Heading2"/>
        <w:numPr>
          <w:ilvl w:val="0"/>
          <w:numId w:val="13"/>
        </w:numPr>
        <w:ind w:hanging="720"/>
      </w:pPr>
      <w:r w:rsidRPr="00CE28E3">
        <w:t>Background</w:t>
      </w:r>
      <w:bookmarkEnd w:id="2"/>
    </w:p>
    <w:p w14:paraId="19DD2096" w14:textId="3643907A" w:rsidR="00E96158" w:rsidRDefault="005C2E79" w:rsidP="000F5A89">
      <w:pPr>
        <w:pStyle w:val="Instructionaltext"/>
        <w:rPr>
          <w:iCs/>
          <w:color w:val="auto"/>
          <w:szCs w:val="24"/>
        </w:rPr>
      </w:pPr>
      <w:bookmarkStart w:id="3" w:name="_Hlk69734494"/>
      <w:r>
        <w:rPr>
          <w:color w:val="auto"/>
        </w:rPr>
        <w:t xml:space="preserve">MSAC has not previously considered </w:t>
      </w:r>
      <w:r w:rsidRPr="005C2E79">
        <w:rPr>
          <w:color w:val="auto"/>
        </w:rPr>
        <w:t xml:space="preserve">incobotulinumtoxinA </w:t>
      </w:r>
      <w:r w:rsidRPr="005C2E79">
        <w:rPr>
          <w:iCs/>
          <w:color w:val="auto"/>
          <w:szCs w:val="24"/>
        </w:rPr>
        <w:t>(</w:t>
      </w:r>
      <w:proofErr w:type="spellStart"/>
      <w:r w:rsidRPr="005C2E79">
        <w:rPr>
          <w:iCs/>
          <w:color w:val="auto"/>
          <w:szCs w:val="24"/>
        </w:rPr>
        <w:t>Xeomin</w:t>
      </w:r>
      <w:proofErr w:type="spellEnd"/>
      <w:r w:rsidRPr="005C2E79">
        <w:rPr>
          <w:iCs/>
          <w:color w:val="auto"/>
          <w:szCs w:val="24"/>
        </w:rPr>
        <w:t>)</w:t>
      </w:r>
      <w:r>
        <w:rPr>
          <w:iCs/>
          <w:color w:val="auto"/>
          <w:szCs w:val="24"/>
        </w:rPr>
        <w:t xml:space="preserve"> for the treatment of lower-limb spasticity in adults following an acute event</w:t>
      </w:r>
      <w:r w:rsidR="002A01E6">
        <w:rPr>
          <w:iCs/>
          <w:color w:val="auto"/>
          <w:szCs w:val="24"/>
        </w:rPr>
        <w:t xml:space="preserve"> (</w:t>
      </w:r>
      <w:r w:rsidR="00732743">
        <w:rPr>
          <w:iCs/>
          <w:color w:val="auto"/>
          <w:szCs w:val="24"/>
        </w:rPr>
        <w:t>including stroke</w:t>
      </w:r>
      <w:r w:rsidR="00732743" w:rsidRPr="00732743">
        <w:rPr>
          <w:iCs/>
          <w:color w:val="auto"/>
          <w:szCs w:val="24"/>
        </w:rPr>
        <w:t xml:space="preserve">, </w:t>
      </w:r>
      <w:r w:rsidR="00732743" w:rsidRPr="00732743">
        <w:rPr>
          <w:color w:val="auto"/>
          <w:szCs w:val="20"/>
        </w:rPr>
        <w:t>traumatic brain injury, spinal cord injury, infection, or hypoxia</w:t>
      </w:r>
      <w:r w:rsidR="002A01E6">
        <w:rPr>
          <w:color w:val="auto"/>
          <w:szCs w:val="20"/>
        </w:rPr>
        <w:t>)</w:t>
      </w:r>
      <w:r>
        <w:rPr>
          <w:iCs/>
          <w:color w:val="auto"/>
          <w:szCs w:val="24"/>
        </w:rPr>
        <w:t xml:space="preserve">. </w:t>
      </w:r>
      <w:r w:rsidR="00D05059">
        <w:rPr>
          <w:iCs/>
          <w:color w:val="auto"/>
          <w:szCs w:val="24"/>
        </w:rPr>
        <w:t>MSAC ha</w:t>
      </w:r>
      <w:r w:rsidR="007118EE">
        <w:rPr>
          <w:iCs/>
          <w:color w:val="auto"/>
          <w:szCs w:val="24"/>
        </w:rPr>
        <w:t>s</w:t>
      </w:r>
      <w:r w:rsidR="007E53AA">
        <w:rPr>
          <w:iCs/>
          <w:color w:val="auto"/>
          <w:szCs w:val="24"/>
        </w:rPr>
        <w:t>, however,</w:t>
      </w:r>
      <w:r w:rsidR="00D05059">
        <w:rPr>
          <w:iCs/>
          <w:color w:val="auto"/>
          <w:szCs w:val="24"/>
        </w:rPr>
        <w:t xml:space="preserve"> </w:t>
      </w:r>
      <w:r w:rsidR="00FF02E7">
        <w:rPr>
          <w:iCs/>
          <w:color w:val="auto"/>
          <w:szCs w:val="24"/>
        </w:rPr>
        <w:t xml:space="preserve">previously </w:t>
      </w:r>
      <w:r w:rsidR="00A61632">
        <w:rPr>
          <w:iCs/>
          <w:color w:val="auto"/>
          <w:szCs w:val="24"/>
        </w:rPr>
        <w:t>supported incobotulinumtoxinA</w:t>
      </w:r>
      <w:r w:rsidR="007118EE">
        <w:rPr>
          <w:iCs/>
          <w:color w:val="auto"/>
          <w:szCs w:val="24"/>
        </w:rPr>
        <w:t xml:space="preserve"> injection services </w:t>
      </w:r>
      <w:r w:rsidR="00FF02E7">
        <w:rPr>
          <w:iCs/>
          <w:color w:val="auto"/>
          <w:szCs w:val="24"/>
        </w:rPr>
        <w:t xml:space="preserve">for blepharospasm, cervical dystonia (spasmodic torticollis) and post-stroke upper-limb spasticity (Application </w:t>
      </w:r>
      <w:hyperlink r:id="rId16" w:history="1">
        <w:r w:rsidR="00FF02E7" w:rsidRPr="004218A8">
          <w:rPr>
            <w:rStyle w:val="Hyperlink"/>
            <w:iCs/>
            <w:szCs w:val="24"/>
          </w:rPr>
          <w:t>1379</w:t>
        </w:r>
      </w:hyperlink>
      <w:r w:rsidR="00FF02E7">
        <w:rPr>
          <w:iCs/>
          <w:color w:val="auto"/>
          <w:szCs w:val="24"/>
        </w:rPr>
        <w:t>) in its October 2014 mee</w:t>
      </w:r>
      <w:r w:rsidR="00E96158">
        <w:rPr>
          <w:iCs/>
          <w:color w:val="auto"/>
          <w:szCs w:val="24"/>
        </w:rPr>
        <w:t>t</w:t>
      </w:r>
      <w:r w:rsidR="006C4A81">
        <w:rPr>
          <w:iCs/>
          <w:color w:val="auto"/>
          <w:szCs w:val="24"/>
        </w:rPr>
        <w:t>i</w:t>
      </w:r>
      <w:r w:rsidR="00FF02E7">
        <w:rPr>
          <w:iCs/>
          <w:color w:val="auto"/>
          <w:szCs w:val="24"/>
        </w:rPr>
        <w:t>ng.</w:t>
      </w:r>
      <w:r w:rsidR="006C4A81">
        <w:rPr>
          <w:iCs/>
          <w:color w:val="auto"/>
          <w:szCs w:val="24"/>
        </w:rPr>
        <w:t xml:space="preserve"> </w:t>
      </w:r>
      <w:r w:rsidR="007118EE">
        <w:rPr>
          <w:iCs/>
          <w:color w:val="auto"/>
          <w:szCs w:val="24"/>
        </w:rPr>
        <w:t>And more recently</w:t>
      </w:r>
      <w:r w:rsidR="000F5A89">
        <w:rPr>
          <w:iCs/>
          <w:color w:val="auto"/>
          <w:szCs w:val="24"/>
        </w:rPr>
        <w:t xml:space="preserve">, </w:t>
      </w:r>
      <w:r>
        <w:rPr>
          <w:iCs/>
          <w:color w:val="auto"/>
          <w:szCs w:val="24"/>
        </w:rPr>
        <w:t xml:space="preserve">MSAC </w:t>
      </w:r>
      <w:r w:rsidR="00547153">
        <w:rPr>
          <w:iCs/>
          <w:color w:val="auto"/>
          <w:szCs w:val="24"/>
        </w:rPr>
        <w:t>supported</w:t>
      </w:r>
      <w:r>
        <w:rPr>
          <w:iCs/>
          <w:color w:val="auto"/>
          <w:szCs w:val="24"/>
        </w:rPr>
        <w:t xml:space="preserve"> incobotulinumtoxinA injection </w:t>
      </w:r>
      <w:r w:rsidR="00A2147D">
        <w:rPr>
          <w:iCs/>
          <w:color w:val="auto"/>
          <w:szCs w:val="24"/>
        </w:rPr>
        <w:t xml:space="preserve">services for </w:t>
      </w:r>
      <w:r w:rsidR="00D937B1">
        <w:rPr>
          <w:color w:val="auto"/>
        </w:rPr>
        <w:t xml:space="preserve">chronic sialorrhea (Application </w:t>
      </w:r>
      <w:hyperlink r:id="rId17" w:history="1">
        <w:r w:rsidR="00D937B1" w:rsidRPr="00BE6B84">
          <w:rPr>
            <w:rStyle w:val="Hyperlink"/>
          </w:rPr>
          <w:t>1800</w:t>
        </w:r>
      </w:hyperlink>
      <w:r w:rsidR="00D91C00">
        <w:rPr>
          <w:color w:val="auto"/>
        </w:rPr>
        <w:t>; in its April 2025 meeting</w:t>
      </w:r>
      <w:r w:rsidR="00D937B1">
        <w:rPr>
          <w:color w:val="auto"/>
        </w:rPr>
        <w:t xml:space="preserve">) and for upper- and lower-limb spasticity associated with cerebral palsy (Application </w:t>
      </w:r>
      <w:hyperlink r:id="rId18" w:history="1">
        <w:r w:rsidR="00D937B1" w:rsidRPr="00935970">
          <w:rPr>
            <w:rStyle w:val="Hyperlink"/>
          </w:rPr>
          <w:t>1808</w:t>
        </w:r>
      </w:hyperlink>
      <w:r w:rsidR="00F01CD6">
        <w:rPr>
          <w:color w:val="auto"/>
        </w:rPr>
        <w:t>; in its July 2025</w:t>
      </w:r>
      <w:r w:rsidR="00D937B1">
        <w:rPr>
          <w:color w:val="auto"/>
        </w:rPr>
        <w:t>) through streamlined codependent submission</w:t>
      </w:r>
      <w:r w:rsidR="00BE0B4F">
        <w:rPr>
          <w:color w:val="auto"/>
        </w:rPr>
        <w:t>s</w:t>
      </w:r>
      <w:r w:rsidR="00D937B1">
        <w:rPr>
          <w:color w:val="auto"/>
        </w:rPr>
        <w:t>.</w:t>
      </w:r>
    </w:p>
    <w:p w14:paraId="7AD177E7" w14:textId="444959C0" w:rsidR="00E94C11" w:rsidRDefault="001057E3" w:rsidP="0053370C">
      <w:pPr>
        <w:pStyle w:val="Instructionaltext"/>
        <w:rPr>
          <w:color w:val="auto"/>
        </w:rPr>
      </w:pPr>
      <w:r w:rsidRPr="4DBD9D46">
        <w:rPr>
          <w:color w:val="auto"/>
        </w:rPr>
        <w:t>IncobotulinumtoxinA injection services are currently</w:t>
      </w:r>
      <w:r w:rsidR="00201167" w:rsidRPr="4DBD9D46">
        <w:rPr>
          <w:color w:val="auto"/>
        </w:rPr>
        <w:t xml:space="preserve"> listed on </w:t>
      </w:r>
      <w:r w:rsidR="001B0B2A" w:rsidRPr="4DBD9D46">
        <w:rPr>
          <w:color w:val="auto"/>
        </w:rPr>
        <w:t xml:space="preserve">the </w:t>
      </w:r>
      <w:r w:rsidR="007C5554" w:rsidRPr="00D72693">
        <w:rPr>
          <w:color w:val="auto"/>
        </w:rPr>
        <w:t xml:space="preserve">MBS </w:t>
      </w:r>
      <w:r w:rsidR="008C6FC5">
        <w:rPr>
          <w:color w:val="auto"/>
        </w:rPr>
        <w:t xml:space="preserve">under </w:t>
      </w:r>
      <w:r w:rsidR="007C5554" w:rsidRPr="00D72693">
        <w:rPr>
          <w:color w:val="auto"/>
        </w:rPr>
        <w:t xml:space="preserve">Items </w:t>
      </w:r>
      <w:hyperlink r:id="rId19">
        <w:r w:rsidR="007C5554" w:rsidRPr="4DBD9D46">
          <w:rPr>
            <w:rStyle w:val="Hyperlink"/>
          </w:rPr>
          <w:t>18353</w:t>
        </w:r>
      </w:hyperlink>
      <w:r w:rsidR="007C5554">
        <w:t xml:space="preserve">, </w:t>
      </w:r>
      <w:hyperlink r:id="rId20">
        <w:r w:rsidR="007C5554" w:rsidRPr="4DBD9D46">
          <w:rPr>
            <w:rStyle w:val="Hyperlink"/>
          </w:rPr>
          <w:t>18365</w:t>
        </w:r>
      </w:hyperlink>
      <w:r w:rsidR="007C5554">
        <w:t xml:space="preserve">, </w:t>
      </w:r>
      <w:hyperlink r:id="rId21">
        <w:r w:rsidR="007C5554" w:rsidRPr="4DBD9D46">
          <w:rPr>
            <w:rStyle w:val="Hyperlink"/>
          </w:rPr>
          <w:t>18369</w:t>
        </w:r>
      </w:hyperlink>
      <w:r w:rsidR="007C5554" w:rsidRPr="00D72693">
        <w:rPr>
          <w:color w:val="auto"/>
        </w:rPr>
        <w:t xml:space="preserve">, and </w:t>
      </w:r>
      <w:hyperlink r:id="rId22">
        <w:r w:rsidR="007C5554" w:rsidRPr="4DBD9D46">
          <w:rPr>
            <w:rStyle w:val="Hyperlink"/>
          </w:rPr>
          <w:t>18374</w:t>
        </w:r>
      </w:hyperlink>
      <w:r w:rsidR="007C5554">
        <w:t xml:space="preserve"> </w:t>
      </w:r>
      <w:r w:rsidR="001B0B2A" w:rsidRPr="4DBD9D46">
        <w:rPr>
          <w:color w:val="auto"/>
        </w:rPr>
        <w:t>alongside Botox and Dysport</w:t>
      </w:r>
      <w:r w:rsidR="001D433F" w:rsidRPr="4DBD9D46">
        <w:rPr>
          <w:color w:val="auto"/>
        </w:rPr>
        <w:t xml:space="preserve"> for </w:t>
      </w:r>
      <w:r w:rsidR="0066732C">
        <w:rPr>
          <w:color w:val="auto"/>
        </w:rPr>
        <w:t>treatment of cervical dystonia</w:t>
      </w:r>
      <w:r w:rsidR="00434AFE">
        <w:rPr>
          <w:color w:val="auto"/>
        </w:rPr>
        <w:t>,</w:t>
      </w:r>
      <w:r w:rsidR="0066732C">
        <w:rPr>
          <w:color w:val="auto"/>
        </w:rPr>
        <w:t xml:space="preserve"> upper limb spas</w:t>
      </w:r>
      <w:r w:rsidR="00F44FAA">
        <w:rPr>
          <w:color w:val="auto"/>
        </w:rPr>
        <w:t>ticity,</w:t>
      </w:r>
      <w:r w:rsidR="00DC2D95">
        <w:rPr>
          <w:color w:val="auto"/>
        </w:rPr>
        <w:t xml:space="preserve"> and</w:t>
      </w:r>
      <w:r w:rsidR="00F44FAA">
        <w:rPr>
          <w:color w:val="auto"/>
        </w:rPr>
        <w:t xml:space="preserve"> unilateral </w:t>
      </w:r>
      <w:r w:rsidR="00DC2D95">
        <w:rPr>
          <w:color w:val="auto"/>
        </w:rPr>
        <w:t xml:space="preserve">and bilateral </w:t>
      </w:r>
      <w:r w:rsidR="00F44FAA">
        <w:rPr>
          <w:color w:val="auto"/>
        </w:rPr>
        <w:t>blepharospasm</w:t>
      </w:r>
      <w:r w:rsidR="00DC2D95">
        <w:rPr>
          <w:color w:val="auto"/>
        </w:rPr>
        <w:t xml:space="preserve">. </w:t>
      </w:r>
      <w:r w:rsidR="00C774C9" w:rsidRPr="4DBD9D46">
        <w:rPr>
          <w:color w:val="auto"/>
        </w:rPr>
        <w:t xml:space="preserve">On </w:t>
      </w:r>
      <w:r w:rsidR="008F32CA">
        <w:rPr>
          <w:color w:val="auto"/>
        </w:rPr>
        <w:t>1 March 2026</w:t>
      </w:r>
      <w:r w:rsidR="001A041E">
        <w:rPr>
          <w:color w:val="auto"/>
        </w:rPr>
        <w:t xml:space="preserve">, </w:t>
      </w:r>
      <w:r w:rsidR="00651339">
        <w:rPr>
          <w:color w:val="auto"/>
        </w:rPr>
        <w:t xml:space="preserve">as noted above </w:t>
      </w:r>
      <w:r w:rsidR="000128DF">
        <w:rPr>
          <w:color w:val="auto"/>
        </w:rPr>
        <w:t xml:space="preserve">per the support of MSAC </w:t>
      </w:r>
      <w:r w:rsidR="00FE53FD">
        <w:rPr>
          <w:color w:val="auto"/>
        </w:rPr>
        <w:t>Application</w:t>
      </w:r>
      <w:r w:rsidR="002047EC">
        <w:rPr>
          <w:color w:val="auto"/>
        </w:rPr>
        <w:t>s</w:t>
      </w:r>
      <w:r w:rsidR="00FE53FD">
        <w:rPr>
          <w:color w:val="auto"/>
        </w:rPr>
        <w:t xml:space="preserve"> 1800</w:t>
      </w:r>
      <w:r w:rsidR="00090A18">
        <w:rPr>
          <w:color w:val="auto"/>
        </w:rPr>
        <w:t xml:space="preserve"> &amp; 1808,</w:t>
      </w:r>
      <w:r w:rsidR="00695FE1">
        <w:rPr>
          <w:color w:val="auto"/>
        </w:rPr>
        <w:t xml:space="preserve"> </w:t>
      </w:r>
      <w:r w:rsidR="008F32CA">
        <w:rPr>
          <w:color w:val="auto"/>
        </w:rPr>
        <w:t xml:space="preserve">a new MBS item </w:t>
      </w:r>
      <w:hyperlink r:id="rId23" w:history="1">
        <w:r w:rsidR="007854DF" w:rsidRPr="008A0BF4">
          <w:rPr>
            <w:rStyle w:val="Hyperlink"/>
          </w:rPr>
          <w:t>18355</w:t>
        </w:r>
      </w:hyperlink>
      <w:r w:rsidR="007854DF">
        <w:rPr>
          <w:color w:val="auto"/>
        </w:rPr>
        <w:t xml:space="preserve"> </w:t>
      </w:r>
      <w:r w:rsidR="00C774C9" w:rsidRPr="4DBD9D46">
        <w:rPr>
          <w:color w:val="auto"/>
        </w:rPr>
        <w:t>was</w:t>
      </w:r>
      <w:r w:rsidR="007854DF">
        <w:rPr>
          <w:color w:val="auto"/>
        </w:rPr>
        <w:t xml:space="preserve"> introduced for</w:t>
      </w:r>
      <w:r w:rsidR="19089F3E">
        <w:rPr>
          <w:color w:val="auto"/>
        </w:rPr>
        <w:t xml:space="preserve"> the</w:t>
      </w:r>
      <w:r w:rsidR="007854DF">
        <w:rPr>
          <w:color w:val="auto"/>
        </w:rPr>
        <w:t xml:space="preserve"> </w:t>
      </w:r>
      <w:r w:rsidR="001A041E">
        <w:rPr>
          <w:color w:val="auto"/>
        </w:rPr>
        <w:t>injection of</w:t>
      </w:r>
      <w:r w:rsidR="007854DF">
        <w:rPr>
          <w:color w:val="auto"/>
        </w:rPr>
        <w:t xml:space="preserve"> </w:t>
      </w:r>
      <w:r w:rsidR="00DE41EA">
        <w:rPr>
          <w:color w:val="auto"/>
        </w:rPr>
        <w:t xml:space="preserve">IncobotulinumtoxinA </w:t>
      </w:r>
      <w:r w:rsidR="00695FE1">
        <w:rPr>
          <w:color w:val="auto"/>
        </w:rPr>
        <w:t xml:space="preserve">only </w:t>
      </w:r>
      <w:r w:rsidR="00DE41EA">
        <w:rPr>
          <w:color w:val="auto"/>
        </w:rPr>
        <w:t>for chronic sialorrhea</w:t>
      </w:r>
      <w:r w:rsidR="00CB08AA">
        <w:rPr>
          <w:color w:val="auto"/>
        </w:rPr>
        <w:t xml:space="preserve"> due to neurological </w:t>
      </w:r>
      <w:r w:rsidR="00CB08AA">
        <w:rPr>
          <w:color w:val="auto"/>
        </w:rPr>
        <w:lastRenderedPageBreak/>
        <w:t xml:space="preserve">or neurodevelopmental </w:t>
      </w:r>
      <w:r w:rsidR="008F4597">
        <w:rPr>
          <w:color w:val="auto"/>
        </w:rPr>
        <w:t>disorders</w:t>
      </w:r>
      <w:r w:rsidR="008F4597">
        <w:rPr>
          <w:rStyle w:val="FootnoteReference"/>
          <w:color w:val="auto"/>
        </w:rPr>
        <w:footnoteReference w:id="1"/>
      </w:r>
      <w:r w:rsidR="00751F62">
        <w:rPr>
          <w:color w:val="auto"/>
        </w:rPr>
        <w:t xml:space="preserve"> and </w:t>
      </w:r>
      <w:r w:rsidR="00E94C11" w:rsidRPr="4DBD9D46">
        <w:rPr>
          <w:color w:val="auto"/>
        </w:rPr>
        <w:t>existing MBS item</w:t>
      </w:r>
      <w:r w:rsidR="00FF66F0">
        <w:rPr>
          <w:color w:val="auto"/>
        </w:rPr>
        <w:t>s</w:t>
      </w:r>
      <w:r w:rsidR="00E94C11" w:rsidRPr="4DBD9D46">
        <w:rPr>
          <w:color w:val="auto"/>
        </w:rPr>
        <w:t xml:space="preserve"> </w:t>
      </w:r>
      <w:hyperlink r:id="rId24">
        <w:r w:rsidR="00E94C11" w:rsidRPr="4DBD9D46">
          <w:rPr>
            <w:rStyle w:val="Hyperlink"/>
          </w:rPr>
          <w:t>18354</w:t>
        </w:r>
      </w:hyperlink>
      <w:r w:rsidR="00912086">
        <w:t xml:space="preserve"> </w:t>
      </w:r>
      <w:r w:rsidR="00912086" w:rsidRPr="00C26254">
        <w:rPr>
          <w:color w:val="auto"/>
        </w:rPr>
        <w:t>&amp;</w:t>
      </w:r>
      <w:r w:rsidR="00912086">
        <w:t xml:space="preserve"> </w:t>
      </w:r>
      <w:hyperlink r:id="rId25" w:history="1">
        <w:r w:rsidR="00252A1C" w:rsidRPr="0086410A">
          <w:rPr>
            <w:rStyle w:val="Hyperlink"/>
          </w:rPr>
          <w:t>18361</w:t>
        </w:r>
      </w:hyperlink>
      <w:r w:rsidR="00E94C11" w:rsidRPr="4DBD9D46">
        <w:rPr>
          <w:color w:val="auto"/>
        </w:rPr>
        <w:t xml:space="preserve"> </w:t>
      </w:r>
      <w:r w:rsidR="00E03B49">
        <w:rPr>
          <w:color w:val="auto"/>
        </w:rPr>
        <w:t xml:space="preserve">were amended </w:t>
      </w:r>
      <w:r w:rsidR="00905850">
        <w:rPr>
          <w:color w:val="auto"/>
        </w:rPr>
        <w:t xml:space="preserve">to include </w:t>
      </w:r>
      <w:r w:rsidR="008B3D91">
        <w:rPr>
          <w:color w:val="auto"/>
        </w:rPr>
        <w:t xml:space="preserve">IncobotulinumtoxinA </w:t>
      </w:r>
      <w:r w:rsidR="00557AF0">
        <w:rPr>
          <w:color w:val="auto"/>
        </w:rPr>
        <w:t xml:space="preserve">alongside Botox and Dysport </w:t>
      </w:r>
      <w:r w:rsidR="00E94C11" w:rsidRPr="4DBD9D46">
        <w:rPr>
          <w:color w:val="auto"/>
        </w:rPr>
        <w:t xml:space="preserve">for </w:t>
      </w:r>
      <w:r w:rsidR="00A27FB6">
        <w:rPr>
          <w:color w:val="auto"/>
        </w:rPr>
        <w:t>treatment of</w:t>
      </w:r>
      <w:r w:rsidR="00E94C11" w:rsidRPr="4DBD9D46">
        <w:rPr>
          <w:color w:val="auto"/>
        </w:rPr>
        <w:t xml:space="preserve"> </w:t>
      </w:r>
      <w:r w:rsidR="000235C2">
        <w:rPr>
          <w:color w:val="auto"/>
        </w:rPr>
        <w:t xml:space="preserve">lower and upper limb spasticity </w:t>
      </w:r>
      <w:r w:rsidR="00E94C11" w:rsidRPr="4DBD9D46">
        <w:rPr>
          <w:color w:val="auto"/>
        </w:rPr>
        <w:t>due to cerebral palsy</w:t>
      </w:r>
      <w:r w:rsidR="002A7B60">
        <w:rPr>
          <w:rStyle w:val="FootnoteReference"/>
          <w:color w:val="auto"/>
        </w:rPr>
        <w:footnoteReference w:id="2"/>
      </w:r>
      <w:r w:rsidR="00E94C11" w:rsidRPr="4DBD9D46">
        <w:rPr>
          <w:color w:val="auto"/>
        </w:rPr>
        <w:t xml:space="preserve">.  </w:t>
      </w:r>
    </w:p>
    <w:p w14:paraId="3C232534" w14:textId="26A63725" w:rsidR="00ED6A69" w:rsidRDefault="00C43791" w:rsidP="0053370C">
      <w:pPr>
        <w:pStyle w:val="Instructionaltext"/>
        <w:rPr>
          <w:color w:val="auto"/>
        </w:rPr>
      </w:pPr>
      <w:r w:rsidRPr="03F5D9AC">
        <w:rPr>
          <w:color w:val="auto"/>
        </w:rPr>
        <w:t xml:space="preserve">In the </w:t>
      </w:r>
      <w:r w:rsidR="005D7763" w:rsidRPr="03F5D9AC">
        <w:rPr>
          <w:color w:val="auto"/>
        </w:rPr>
        <w:t xml:space="preserve">current </w:t>
      </w:r>
      <w:r w:rsidRPr="03F5D9AC">
        <w:rPr>
          <w:color w:val="auto"/>
        </w:rPr>
        <w:t xml:space="preserve">application, the proposed change is to amend the </w:t>
      </w:r>
      <w:r w:rsidR="005D7763" w:rsidRPr="03F5D9AC">
        <w:rPr>
          <w:color w:val="auto"/>
        </w:rPr>
        <w:t xml:space="preserve">MBS </w:t>
      </w:r>
      <w:r w:rsidR="008538B5" w:rsidRPr="03F5D9AC">
        <w:rPr>
          <w:color w:val="auto"/>
        </w:rPr>
        <w:t xml:space="preserve">item </w:t>
      </w:r>
      <w:hyperlink r:id="rId26">
        <w:r w:rsidR="008538B5" w:rsidRPr="03F5D9AC">
          <w:rPr>
            <w:rStyle w:val="Hyperlink"/>
          </w:rPr>
          <w:t>18360</w:t>
        </w:r>
      </w:hyperlink>
      <w:r w:rsidR="00902C84">
        <w:t xml:space="preserve"> </w:t>
      </w:r>
      <w:r w:rsidR="00902C84">
        <w:rPr>
          <w:color w:val="auto"/>
        </w:rPr>
        <w:t xml:space="preserve">for </w:t>
      </w:r>
      <w:r w:rsidR="007A3BB2" w:rsidRPr="03F5D9AC">
        <w:rPr>
          <w:color w:val="auto"/>
        </w:rPr>
        <w:t>moderate to severe focal spasticity in adult</w:t>
      </w:r>
      <w:r w:rsidR="00716293" w:rsidRPr="03F5D9AC">
        <w:rPr>
          <w:color w:val="auto"/>
        </w:rPr>
        <w:t xml:space="preserve">s, which currently </w:t>
      </w:r>
      <w:r w:rsidR="004E31A3" w:rsidRPr="03F5D9AC">
        <w:rPr>
          <w:color w:val="auto"/>
        </w:rPr>
        <w:t>specifies</w:t>
      </w:r>
      <w:r w:rsidR="007A3BB2" w:rsidRPr="03F5D9AC">
        <w:rPr>
          <w:color w:val="auto"/>
        </w:rPr>
        <w:t xml:space="preserve"> only </w:t>
      </w:r>
      <w:r w:rsidR="002E5E35" w:rsidRPr="03F5D9AC">
        <w:rPr>
          <w:color w:val="auto"/>
        </w:rPr>
        <w:t>Botox and Dysport</w:t>
      </w:r>
      <w:r w:rsidR="00902C84" w:rsidRPr="03F5D9AC">
        <w:rPr>
          <w:color w:val="auto"/>
        </w:rPr>
        <w:t xml:space="preserve"> </w:t>
      </w:r>
      <w:r w:rsidR="002E5E35" w:rsidRPr="03F5D9AC">
        <w:rPr>
          <w:color w:val="auto"/>
        </w:rPr>
        <w:t xml:space="preserve">in the descriptor. </w:t>
      </w:r>
      <w:r w:rsidR="00716293" w:rsidRPr="03F5D9AC">
        <w:rPr>
          <w:color w:val="auto"/>
        </w:rPr>
        <w:t xml:space="preserve">The </w:t>
      </w:r>
      <w:r w:rsidR="002D3BC0" w:rsidRPr="03F5D9AC">
        <w:rPr>
          <w:color w:val="auto"/>
        </w:rPr>
        <w:t>e</w:t>
      </w:r>
      <w:r w:rsidR="00DB5996" w:rsidRPr="03F5D9AC">
        <w:rPr>
          <w:color w:val="auto"/>
        </w:rPr>
        <w:t>xplanatory note</w:t>
      </w:r>
      <w:r w:rsidR="000948A9" w:rsidRPr="03F5D9AC">
        <w:rPr>
          <w:color w:val="auto"/>
        </w:rPr>
        <w:t>s</w:t>
      </w:r>
      <w:r w:rsidR="00FB4CC0" w:rsidRPr="03F5D9AC">
        <w:rPr>
          <w:color w:val="auto"/>
        </w:rPr>
        <w:t xml:space="preserve"> (</w:t>
      </w:r>
      <w:hyperlink r:id="rId27">
        <w:r w:rsidR="00FB4CC0" w:rsidRPr="03F5D9AC">
          <w:rPr>
            <w:rStyle w:val="Hyperlink"/>
          </w:rPr>
          <w:t>TN.11.1</w:t>
        </w:r>
      </w:hyperlink>
      <w:r w:rsidR="00CF5BAC" w:rsidRPr="03F5D9AC">
        <w:rPr>
          <w:color w:val="auto"/>
        </w:rPr>
        <w:t>)</w:t>
      </w:r>
      <w:r w:rsidR="009771E3" w:rsidRPr="03F5D9AC">
        <w:rPr>
          <w:color w:val="auto"/>
        </w:rPr>
        <w:t xml:space="preserve">, applied </w:t>
      </w:r>
      <w:r w:rsidR="002D3BC0" w:rsidRPr="03F5D9AC">
        <w:rPr>
          <w:color w:val="auto"/>
        </w:rPr>
        <w:t>to</w:t>
      </w:r>
      <w:r w:rsidR="004B1D8D" w:rsidRPr="03F5D9AC">
        <w:rPr>
          <w:color w:val="auto"/>
        </w:rPr>
        <w:t xml:space="preserve"> MBS items 18350 to 18379, </w:t>
      </w:r>
      <w:r w:rsidR="00D239A7" w:rsidRPr="03F5D9AC">
        <w:rPr>
          <w:color w:val="auto"/>
        </w:rPr>
        <w:t>recognis</w:t>
      </w:r>
      <w:r w:rsidR="004B1D8D" w:rsidRPr="03F5D9AC">
        <w:rPr>
          <w:color w:val="auto"/>
        </w:rPr>
        <w:t>e</w:t>
      </w:r>
      <w:r w:rsidR="00D239A7" w:rsidRPr="03F5D9AC">
        <w:rPr>
          <w:color w:val="auto"/>
        </w:rPr>
        <w:t xml:space="preserve"> Botox, Dysport, and </w:t>
      </w:r>
      <w:proofErr w:type="spellStart"/>
      <w:r w:rsidR="00316085" w:rsidRPr="03F5D9AC">
        <w:rPr>
          <w:color w:val="auto"/>
        </w:rPr>
        <w:t>Xeomin</w:t>
      </w:r>
      <w:proofErr w:type="spellEnd"/>
      <w:r w:rsidR="000E52E3" w:rsidRPr="03F5D9AC">
        <w:rPr>
          <w:color w:val="auto"/>
        </w:rPr>
        <w:t xml:space="preserve"> as botulinum toxin agents with TGA registration</w:t>
      </w:r>
      <w:r w:rsidR="002D3BC0" w:rsidRPr="03F5D9AC">
        <w:rPr>
          <w:color w:val="auto"/>
        </w:rPr>
        <w:t xml:space="preserve"> and specify that </w:t>
      </w:r>
      <w:r w:rsidR="00D52103" w:rsidRPr="03F5D9AC">
        <w:rPr>
          <w:color w:val="auto"/>
        </w:rPr>
        <w:t xml:space="preserve">Medicare benefits are only payable where the agent administered is the agent specified in the relevant MBS item descriptor. </w:t>
      </w:r>
    </w:p>
    <w:p w14:paraId="3B94346C" w14:textId="4C12C9A2" w:rsidR="03F5D9AC" w:rsidRDefault="6019C7D9" w:rsidP="03F5D9AC">
      <w:pPr>
        <w:pStyle w:val="Instructionaltext"/>
        <w:rPr>
          <w:color w:val="auto"/>
        </w:rPr>
      </w:pPr>
      <w:r w:rsidRPr="045E1FCF">
        <w:rPr>
          <w:color w:val="auto"/>
        </w:rPr>
        <w:t xml:space="preserve">Although </w:t>
      </w:r>
      <w:r w:rsidRPr="0519F152">
        <w:rPr>
          <w:color w:val="auto"/>
        </w:rPr>
        <w:t xml:space="preserve">all three </w:t>
      </w:r>
      <w:r w:rsidRPr="78603803">
        <w:rPr>
          <w:color w:val="auto"/>
        </w:rPr>
        <w:t>agents</w:t>
      </w:r>
      <w:r w:rsidRPr="63814909">
        <w:rPr>
          <w:color w:val="auto"/>
        </w:rPr>
        <w:t xml:space="preserve"> are </w:t>
      </w:r>
      <w:r w:rsidRPr="29B58508">
        <w:rPr>
          <w:color w:val="auto"/>
        </w:rPr>
        <w:t>registered</w:t>
      </w:r>
      <w:r w:rsidRPr="63814909">
        <w:rPr>
          <w:color w:val="auto"/>
        </w:rPr>
        <w:t xml:space="preserve"> botulinum</w:t>
      </w:r>
      <w:r w:rsidRPr="5BA595D7">
        <w:rPr>
          <w:color w:val="auto"/>
        </w:rPr>
        <w:t xml:space="preserve"> toxins,</w:t>
      </w:r>
      <w:r w:rsidRPr="69D9D927">
        <w:rPr>
          <w:color w:val="auto"/>
        </w:rPr>
        <w:t xml:space="preserve"> they are not </w:t>
      </w:r>
      <w:r w:rsidRPr="23DE3B9D">
        <w:rPr>
          <w:color w:val="auto"/>
        </w:rPr>
        <w:t xml:space="preserve">bioequivalent and are not considered biosimilar </w:t>
      </w:r>
      <w:r w:rsidRPr="29B58508">
        <w:rPr>
          <w:color w:val="auto"/>
        </w:rPr>
        <w:t xml:space="preserve">medicines. </w:t>
      </w:r>
      <w:r w:rsidRPr="215C9E79">
        <w:rPr>
          <w:color w:val="auto"/>
        </w:rPr>
        <w:t xml:space="preserve">As such, PBS </w:t>
      </w:r>
      <w:r w:rsidR="003F1BD6">
        <w:rPr>
          <w:color w:val="auto"/>
        </w:rPr>
        <w:t xml:space="preserve">biosimilar substitution arrangements do not apply to botulinum toxin products and access to each product is determined by </w:t>
      </w:r>
      <w:r w:rsidR="00C65478">
        <w:rPr>
          <w:color w:val="auto"/>
        </w:rPr>
        <w:t xml:space="preserve">the </w:t>
      </w:r>
      <w:r w:rsidR="003F1BD6">
        <w:rPr>
          <w:color w:val="auto"/>
        </w:rPr>
        <w:t>specific PBS and MBS listing in place</w:t>
      </w:r>
      <w:r w:rsidR="009D0AC7">
        <w:rPr>
          <w:rStyle w:val="FootnoteReference"/>
          <w:color w:val="auto"/>
        </w:rPr>
        <w:footnoteReference w:id="3"/>
      </w:r>
      <w:r w:rsidR="003F1BD6">
        <w:rPr>
          <w:color w:val="auto"/>
        </w:rPr>
        <w:t xml:space="preserve">. </w:t>
      </w:r>
      <w:r w:rsidR="6A588AFB" w:rsidRPr="2167B4E5">
        <w:rPr>
          <w:color w:val="auto"/>
        </w:rPr>
        <w:t xml:space="preserve"> </w:t>
      </w:r>
    </w:p>
    <w:p w14:paraId="6F52500A" w14:textId="21B8DECF" w:rsidR="00772829" w:rsidRPr="00CE28E3" w:rsidRDefault="00772829" w:rsidP="00EB3CE8">
      <w:pPr>
        <w:pStyle w:val="Heading2"/>
        <w:numPr>
          <w:ilvl w:val="0"/>
          <w:numId w:val="13"/>
        </w:numPr>
        <w:ind w:hanging="720"/>
      </w:pPr>
      <w:bookmarkStart w:id="4" w:name="_Toc69491417"/>
      <w:bookmarkStart w:id="5" w:name="_Ref221289239"/>
      <w:bookmarkStart w:id="6" w:name="_Ref221289293"/>
      <w:bookmarkStart w:id="7" w:name="_Ref221289314"/>
      <w:bookmarkStart w:id="8" w:name="_Ref221289331"/>
      <w:bookmarkEnd w:id="3"/>
      <w:r w:rsidRPr="00CE28E3">
        <w:t>Prerequisites to implementation of any funding advice</w:t>
      </w:r>
      <w:bookmarkEnd w:id="4"/>
      <w:bookmarkEnd w:id="5"/>
      <w:bookmarkEnd w:id="6"/>
      <w:bookmarkEnd w:id="7"/>
      <w:bookmarkEnd w:id="8"/>
    </w:p>
    <w:p w14:paraId="52AC3D9A" w14:textId="5391B45C" w:rsidR="00310C3F" w:rsidRPr="00004515" w:rsidRDefault="00180A1F" w:rsidP="00E76AE0">
      <w:pPr>
        <w:pStyle w:val="Instructionaltext"/>
        <w:rPr>
          <w:color w:val="auto"/>
        </w:rPr>
      </w:pPr>
      <w:r>
        <w:rPr>
          <w:color w:val="auto"/>
        </w:rPr>
        <w:t>IncobotulinumtoxinA</w:t>
      </w:r>
      <w:r w:rsidR="00487390">
        <w:rPr>
          <w:color w:val="auto"/>
        </w:rPr>
        <w:t xml:space="preserve"> was first</w:t>
      </w:r>
      <w:r w:rsidR="0045070C">
        <w:rPr>
          <w:color w:val="auto"/>
        </w:rPr>
        <w:t xml:space="preserve"> registered on the Australian Register of Therapeutic Goods (ARTG: ID 205508)</w:t>
      </w:r>
      <w:r w:rsidR="00723B9E">
        <w:rPr>
          <w:color w:val="auto"/>
        </w:rPr>
        <w:t xml:space="preserve"> on 21 March 2014. The registered indications include symptomatic treatment of lower- and/or upper-limb spasticity in children and adolescents </w:t>
      </w:r>
      <w:r w:rsidR="00663358">
        <w:rPr>
          <w:color w:val="auto"/>
        </w:rPr>
        <w:t xml:space="preserve">aged 2-17 years, and upper-limb spasticity in adults. The product information was updated </w:t>
      </w:r>
      <w:r w:rsidR="00FB06F9">
        <w:rPr>
          <w:color w:val="auto"/>
        </w:rPr>
        <w:t>on</w:t>
      </w:r>
      <w:r w:rsidR="00663358">
        <w:rPr>
          <w:color w:val="auto"/>
        </w:rPr>
        <w:t xml:space="preserve"> </w:t>
      </w:r>
      <w:r w:rsidR="008B3C78">
        <w:rPr>
          <w:color w:val="auto"/>
        </w:rPr>
        <w:t xml:space="preserve">8 </w:t>
      </w:r>
      <w:r w:rsidR="00663358">
        <w:rPr>
          <w:color w:val="auto"/>
        </w:rPr>
        <w:t xml:space="preserve">May 2025 to also include treatment </w:t>
      </w:r>
      <w:r w:rsidR="008B3C78">
        <w:rPr>
          <w:color w:val="auto"/>
        </w:rPr>
        <w:t>in</w:t>
      </w:r>
      <w:r w:rsidR="00663358">
        <w:rPr>
          <w:color w:val="auto"/>
        </w:rPr>
        <w:t xml:space="preserve"> adult</w:t>
      </w:r>
      <w:r w:rsidR="008B3C78">
        <w:rPr>
          <w:color w:val="auto"/>
        </w:rPr>
        <w:t>s with</w:t>
      </w:r>
      <w:r w:rsidR="00663358">
        <w:rPr>
          <w:color w:val="auto"/>
        </w:rPr>
        <w:t xml:space="preserve"> lower-limb spasticity affecting the ankle joint. </w:t>
      </w:r>
    </w:p>
    <w:p w14:paraId="44C3B242" w14:textId="256AB3A7" w:rsidR="00772829" w:rsidRPr="00CE28E3" w:rsidRDefault="00772829" w:rsidP="00EB3CE8">
      <w:pPr>
        <w:pStyle w:val="Heading2"/>
        <w:numPr>
          <w:ilvl w:val="0"/>
          <w:numId w:val="13"/>
        </w:numPr>
        <w:ind w:hanging="720"/>
      </w:pPr>
      <w:bookmarkStart w:id="9" w:name="_Toc69491418"/>
      <w:r w:rsidRPr="00CE28E3">
        <w:t>Proposal for public funding</w:t>
      </w:r>
      <w:bookmarkEnd w:id="9"/>
    </w:p>
    <w:p w14:paraId="0D9F37F8" w14:textId="47509E9A" w:rsidR="00B26622" w:rsidRPr="006B1282" w:rsidRDefault="00AF7462" w:rsidP="00E76AE0">
      <w:pPr>
        <w:pStyle w:val="Instructionaltext"/>
        <w:rPr>
          <w:color w:val="auto"/>
        </w:rPr>
      </w:pPr>
      <w:r>
        <w:rPr>
          <w:color w:val="auto"/>
        </w:rPr>
        <w:t xml:space="preserve">The </w:t>
      </w:r>
      <w:r w:rsidR="00831DD2">
        <w:rPr>
          <w:color w:val="auto"/>
        </w:rPr>
        <w:t xml:space="preserve">proposed </w:t>
      </w:r>
      <w:r>
        <w:rPr>
          <w:color w:val="auto"/>
        </w:rPr>
        <w:t xml:space="preserve">amendment </w:t>
      </w:r>
      <w:r w:rsidR="00831DD2">
        <w:rPr>
          <w:color w:val="auto"/>
        </w:rPr>
        <w:t xml:space="preserve">to </w:t>
      </w:r>
      <w:r>
        <w:rPr>
          <w:color w:val="auto"/>
        </w:rPr>
        <w:t xml:space="preserve">the existing MBS </w:t>
      </w:r>
      <w:r w:rsidR="00214631">
        <w:rPr>
          <w:color w:val="auto"/>
        </w:rPr>
        <w:t xml:space="preserve">item </w:t>
      </w:r>
      <w:hyperlink r:id="rId28" w:history="1">
        <w:r w:rsidR="006F0D06" w:rsidRPr="00C14BFC">
          <w:rPr>
            <w:rStyle w:val="Hyperlink"/>
            <w:iCs/>
            <w:szCs w:val="24"/>
          </w:rPr>
          <w:t>18360</w:t>
        </w:r>
      </w:hyperlink>
      <w:r w:rsidR="006F0D06">
        <w:rPr>
          <w:color w:val="auto"/>
        </w:rPr>
        <w:t xml:space="preserve"> </w:t>
      </w:r>
      <w:r w:rsidR="00214631">
        <w:rPr>
          <w:color w:val="auto"/>
        </w:rPr>
        <w:t xml:space="preserve">to add </w:t>
      </w:r>
      <w:proofErr w:type="spellStart"/>
      <w:r w:rsidR="00214631">
        <w:rPr>
          <w:color w:val="auto"/>
        </w:rPr>
        <w:t>Xeomin</w:t>
      </w:r>
      <w:proofErr w:type="spellEnd"/>
      <w:r>
        <w:rPr>
          <w:color w:val="auto"/>
        </w:rPr>
        <w:t xml:space="preserve"> </w:t>
      </w:r>
      <w:r w:rsidR="006F0D06">
        <w:rPr>
          <w:color w:val="auto"/>
        </w:rPr>
        <w:t xml:space="preserve">as an eligible </w:t>
      </w:r>
      <w:proofErr w:type="spellStart"/>
      <w:r w:rsidR="006F0D06">
        <w:rPr>
          <w:color w:val="auto"/>
        </w:rPr>
        <w:t>botulinumtoxin</w:t>
      </w:r>
      <w:proofErr w:type="spellEnd"/>
      <w:r w:rsidR="006F0D06">
        <w:rPr>
          <w:color w:val="auto"/>
        </w:rPr>
        <w:t xml:space="preserve"> agent for the currently </w:t>
      </w:r>
      <w:r w:rsidR="00BB261A">
        <w:rPr>
          <w:color w:val="auto"/>
        </w:rPr>
        <w:t xml:space="preserve">funded injection service for adult </w:t>
      </w:r>
      <w:r w:rsidR="00CF669C">
        <w:rPr>
          <w:color w:val="auto"/>
        </w:rPr>
        <w:t>lower-limb</w:t>
      </w:r>
      <w:r w:rsidR="00BB261A">
        <w:rPr>
          <w:color w:val="auto"/>
        </w:rPr>
        <w:t xml:space="preserve"> spasticity. </w:t>
      </w:r>
      <w:r w:rsidR="00CF669C">
        <w:rPr>
          <w:color w:val="auto"/>
        </w:rPr>
        <w:t xml:space="preserve">This is a descriptor-only </w:t>
      </w:r>
      <w:r w:rsidR="009231DA">
        <w:rPr>
          <w:color w:val="auto"/>
        </w:rPr>
        <w:t xml:space="preserve">amendment, with all other details of the services (including </w:t>
      </w:r>
      <w:r w:rsidR="0023586A">
        <w:rPr>
          <w:color w:val="auto"/>
        </w:rPr>
        <w:t>eligibility requirements, claiming arrangements, or the current fee) remaining unchanged</w:t>
      </w:r>
      <w:r w:rsidR="00EB3D77">
        <w:rPr>
          <w:color w:val="auto"/>
        </w:rPr>
        <w:t xml:space="preserve"> (see </w:t>
      </w:r>
      <w:r w:rsidR="00754444" w:rsidRPr="00754444">
        <w:rPr>
          <w:color w:val="auto"/>
        </w:rPr>
        <w:fldChar w:fldCharType="begin"/>
      </w:r>
      <w:r w:rsidR="00754444" w:rsidRPr="00754444">
        <w:rPr>
          <w:color w:val="auto"/>
        </w:rPr>
        <w:instrText xml:space="preserve"> REF _Ref221703048 \h </w:instrText>
      </w:r>
      <w:r w:rsidR="00754444" w:rsidRPr="00754444">
        <w:rPr>
          <w:color w:val="auto"/>
        </w:rPr>
      </w:r>
      <w:r w:rsidR="00754444" w:rsidRPr="00754444">
        <w:rPr>
          <w:color w:val="auto"/>
        </w:rPr>
        <w:fldChar w:fldCharType="separate"/>
      </w:r>
      <w:r w:rsidR="00754444" w:rsidRPr="00754444">
        <w:rPr>
          <w:color w:val="auto"/>
        </w:rPr>
        <w:t xml:space="preserve">Table </w:t>
      </w:r>
      <w:r w:rsidR="00754444" w:rsidRPr="00754444">
        <w:rPr>
          <w:noProof/>
          <w:color w:val="auto"/>
        </w:rPr>
        <w:t>1</w:t>
      </w:r>
      <w:r w:rsidR="00754444" w:rsidRPr="00754444">
        <w:rPr>
          <w:color w:val="auto"/>
        </w:rPr>
        <w:fldChar w:fldCharType="end"/>
      </w:r>
      <w:r w:rsidR="00A8049D" w:rsidRPr="00754444">
        <w:rPr>
          <w:color w:val="auto"/>
        </w:rPr>
        <w:t>)</w:t>
      </w:r>
      <w:r w:rsidR="009368C1">
        <w:rPr>
          <w:color w:val="auto"/>
        </w:rPr>
        <w:t xml:space="preserve">. </w:t>
      </w:r>
    </w:p>
    <w:p w14:paraId="39392CFD" w14:textId="2C758317" w:rsidR="003328A9" w:rsidRPr="00CE28E3" w:rsidRDefault="00977498" w:rsidP="00242CDA">
      <w:pPr>
        <w:pStyle w:val="Caption"/>
        <w:keepLines/>
        <w:rPr>
          <w:rFonts w:cs="Arial"/>
        </w:rPr>
      </w:pPr>
      <w:bookmarkStart w:id="10" w:name="_Ref221703048"/>
      <w:bookmarkStart w:id="11" w:name="_Ref69481033"/>
      <w:r>
        <w:lastRenderedPageBreak/>
        <w:t xml:space="preserve">Table </w:t>
      </w:r>
      <w:r>
        <w:fldChar w:fldCharType="begin"/>
      </w:r>
      <w:r>
        <w:instrText>SEQ Table \* ARABIC</w:instrText>
      </w:r>
      <w:r>
        <w:fldChar w:fldCharType="separate"/>
      </w:r>
      <w:r w:rsidR="00C511A7">
        <w:rPr>
          <w:noProof/>
        </w:rPr>
        <w:t>1</w:t>
      </w:r>
      <w:r>
        <w:fldChar w:fldCharType="end"/>
      </w:r>
      <w:bookmarkEnd w:id="10"/>
      <w:r>
        <w:t xml:space="preserve"> </w:t>
      </w:r>
      <w:r w:rsidR="0063266A">
        <w:t xml:space="preserve">Proposed </w:t>
      </w:r>
      <w:r w:rsidR="00195DFB">
        <w:t>a</w:t>
      </w:r>
      <w:r w:rsidR="00AF49A6">
        <w:t>mendment of MBS item 18360 to include incobotulinumtoxinA (</w:t>
      </w:r>
      <w:proofErr w:type="spellStart"/>
      <w:r w:rsidR="00AF49A6">
        <w:t>Xeomin</w:t>
      </w:r>
      <w:proofErr w:type="spellEnd"/>
      <w:r w:rsidR="00AF49A6">
        <w:t>) for treatment of lower-limb spasticity after an acute event</w:t>
      </w:r>
      <w:r>
        <w:t xml:space="preserve"> </w:t>
      </w:r>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328A9" w:rsidRPr="00CE28E3" w14:paraId="7A70B700" w14:textId="77777777" w:rsidTr="00170D5B">
        <w:trPr>
          <w:trHeight w:val="351"/>
          <w:tblHeader/>
        </w:trPr>
        <w:tc>
          <w:tcPr>
            <w:tcW w:w="5000" w:type="pct"/>
            <w:tcBorders>
              <w:top w:val="single" w:sz="4" w:space="0" w:color="000000"/>
              <w:left w:val="single" w:sz="4" w:space="0" w:color="000000"/>
              <w:bottom w:val="single" w:sz="4" w:space="0" w:color="000000"/>
              <w:right w:val="single" w:sz="4" w:space="0" w:color="000000"/>
            </w:tcBorders>
            <w:hideMark/>
          </w:tcPr>
          <w:p w14:paraId="617FAF30" w14:textId="26FEBA2B" w:rsidR="003328A9" w:rsidRPr="00CE28E3" w:rsidRDefault="003328A9" w:rsidP="00242CDA">
            <w:pPr>
              <w:pStyle w:val="TableText"/>
              <w:keepNext/>
              <w:keepLines/>
              <w:rPr>
                <w:sz w:val="24"/>
              </w:rPr>
            </w:pPr>
            <w:r w:rsidRPr="00CE28E3">
              <w:t xml:space="preserve">Category </w:t>
            </w:r>
            <w:r w:rsidR="00C545EC">
              <w:t>3</w:t>
            </w:r>
            <w:r w:rsidRPr="00CE28E3">
              <w:t xml:space="preserve"> – </w:t>
            </w:r>
            <w:r w:rsidR="0023569B">
              <w:t>THERAPEUTIC PROCEDURES</w:t>
            </w:r>
          </w:p>
        </w:tc>
      </w:tr>
      <w:tr w:rsidR="003328A9" w:rsidRPr="00CE28E3" w14:paraId="05A9B76F" w14:textId="77777777" w:rsidTr="00824458">
        <w:tc>
          <w:tcPr>
            <w:tcW w:w="5000" w:type="pct"/>
            <w:tcBorders>
              <w:top w:val="single" w:sz="4" w:space="0" w:color="000000"/>
              <w:left w:val="single" w:sz="4" w:space="0" w:color="000000"/>
              <w:bottom w:val="single" w:sz="4" w:space="0" w:color="000000"/>
              <w:right w:val="single" w:sz="4" w:space="0" w:color="000000"/>
            </w:tcBorders>
            <w:hideMark/>
          </w:tcPr>
          <w:p w14:paraId="562DD428" w14:textId="41D7A33F" w:rsidR="00E3330E" w:rsidRPr="00170D5B" w:rsidRDefault="00E3330E" w:rsidP="00242CDA">
            <w:pPr>
              <w:keepNext/>
              <w:keepLines/>
              <w:spacing w:after="120" w:line="240" w:lineRule="auto"/>
              <w:rPr>
                <w:rFonts w:ascii="Arial Narrow" w:hAnsi="Arial Narrow"/>
                <w:sz w:val="20"/>
                <w:szCs w:val="20"/>
                <w:lang w:val="en-US" w:eastAsia="ja-JP"/>
              </w:rPr>
            </w:pPr>
            <w:r w:rsidRPr="00170D5B">
              <w:rPr>
                <w:rFonts w:ascii="Arial Narrow" w:hAnsi="Arial Narrow"/>
                <w:sz w:val="20"/>
                <w:szCs w:val="20"/>
                <w:lang w:val="en-US" w:eastAsia="ja-JP"/>
              </w:rPr>
              <w:t xml:space="preserve">MBS item </w:t>
            </w:r>
            <w:r w:rsidR="0023569B">
              <w:rPr>
                <w:rFonts w:ascii="Arial Narrow" w:hAnsi="Arial Narrow"/>
                <w:sz w:val="20"/>
                <w:szCs w:val="20"/>
                <w:lang w:val="en-US" w:eastAsia="ja-JP"/>
              </w:rPr>
              <w:t>18360</w:t>
            </w:r>
          </w:p>
          <w:p w14:paraId="512970C9" w14:textId="6C14F41C" w:rsidR="003328A9" w:rsidRPr="00170D5B" w:rsidRDefault="00CF33BB" w:rsidP="00242CDA">
            <w:pPr>
              <w:keepNext/>
              <w:keepLines/>
              <w:spacing w:after="120" w:line="240" w:lineRule="auto"/>
              <w:rPr>
                <w:rFonts w:ascii="Arial Narrow" w:hAnsi="Arial Narrow"/>
                <w:sz w:val="20"/>
                <w:szCs w:val="20"/>
                <w:lang w:val="en-US" w:eastAsia="ja-JP"/>
              </w:rPr>
            </w:pPr>
            <w:r>
              <w:rPr>
                <w:rFonts w:ascii="Arial Narrow" w:hAnsi="Arial Narrow"/>
                <w:sz w:val="20"/>
                <w:szCs w:val="20"/>
                <w:lang w:val="en-US" w:eastAsia="ja-JP"/>
              </w:rPr>
              <w:t xml:space="preserve">Botulinum Toxin Type </w:t>
            </w:r>
            <w:proofErr w:type="gramStart"/>
            <w:r>
              <w:rPr>
                <w:rFonts w:ascii="Arial Narrow" w:hAnsi="Arial Narrow"/>
                <w:sz w:val="20"/>
                <w:szCs w:val="20"/>
                <w:lang w:val="en-US" w:eastAsia="ja-JP"/>
              </w:rPr>
              <w:t>A</w:t>
            </w:r>
            <w:proofErr w:type="gramEnd"/>
            <w:r>
              <w:rPr>
                <w:rFonts w:ascii="Arial Narrow" w:hAnsi="Arial Narrow"/>
                <w:sz w:val="20"/>
                <w:szCs w:val="20"/>
                <w:lang w:val="en-US" w:eastAsia="ja-JP"/>
              </w:rPr>
              <w:t xml:space="preserve"> Purified Neurotoxin Complex (Botox) or Clostridium Botulinum Type A Toxin Haemagglutinin Complex (Dysport), </w:t>
            </w:r>
            <w:r w:rsidR="00AF49A6">
              <w:rPr>
                <w:rFonts w:ascii="Arial Narrow" w:hAnsi="Arial Narrow"/>
                <w:b/>
                <w:bCs/>
                <w:sz w:val="20"/>
                <w:szCs w:val="20"/>
                <w:lang w:val="en-US" w:eastAsia="ja-JP"/>
              </w:rPr>
              <w:t>or incobotulinumtoxinA (</w:t>
            </w:r>
            <w:proofErr w:type="spellStart"/>
            <w:r w:rsidR="00AF49A6">
              <w:rPr>
                <w:rFonts w:ascii="Arial Narrow" w:hAnsi="Arial Narrow"/>
                <w:b/>
                <w:bCs/>
                <w:sz w:val="20"/>
                <w:szCs w:val="20"/>
                <w:lang w:val="en-US" w:eastAsia="ja-JP"/>
              </w:rPr>
              <w:t>Xeomin</w:t>
            </w:r>
            <w:proofErr w:type="spellEnd"/>
            <w:r w:rsidR="00AF49A6">
              <w:rPr>
                <w:rFonts w:ascii="Arial Narrow" w:hAnsi="Arial Narrow"/>
                <w:b/>
                <w:bCs/>
                <w:sz w:val="20"/>
                <w:szCs w:val="20"/>
                <w:lang w:val="en-US" w:eastAsia="ja-JP"/>
              </w:rPr>
              <w:t xml:space="preserve">), </w:t>
            </w:r>
            <w:r>
              <w:rPr>
                <w:rFonts w:ascii="Arial Narrow" w:hAnsi="Arial Narrow"/>
                <w:sz w:val="20"/>
                <w:szCs w:val="20"/>
                <w:lang w:val="en-US" w:eastAsia="ja-JP"/>
              </w:rPr>
              <w:t>injection of, for the treatment of moderate to severe focal spasticity, if:</w:t>
            </w:r>
          </w:p>
          <w:p w14:paraId="3DD8BD8A" w14:textId="1FC8ECCD" w:rsidR="003328A9" w:rsidRDefault="004D5A26" w:rsidP="00242CDA">
            <w:pPr>
              <w:pStyle w:val="ListParagraph"/>
              <w:keepNext/>
              <w:keepLines/>
              <w:numPr>
                <w:ilvl w:val="0"/>
                <w:numId w:val="11"/>
              </w:numPr>
              <w:spacing w:after="120" w:line="360" w:lineRule="auto"/>
              <w:ind w:left="306" w:hanging="306"/>
              <w:rPr>
                <w:rFonts w:ascii="Arial Narrow" w:hAnsi="Arial Narrow"/>
                <w:sz w:val="20"/>
                <w:szCs w:val="20"/>
                <w:lang w:val="en-US" w:eastAsia="ja-JP"/>
              </w:rPr>
            </w:pPr>
            <w:r>
              <w:rPr>
                <w:rFonts w:ascii="Arial Narrow" w:hAnsi="Arial Narrow"/>
                <w:sz w:val="20"/>
                <w:szCs w:val="20"/>
                <w:lang w:val="en-US" w:eastAsia="ja-JP"/>
              </w:rPr>
              <w:t>t</w:t>
            </w:r>
            <w:r w:rsidR="00CF33BB">
              <w:rPr>
                <w:rFonts w:ascii="Arial Narrow" w:hAnsi="Arial Narrow"/>
                <w:sz w:val="20"/>
                <w:szCs w:val="20"/>
                <w:lang w:val="en-US" w:eastAsia="ja-JP"/>
              </w:rPr>
              <w:t xml:space="preserve">he patient </w:t>
            </w:r>
            <w:r>
              <w:rPr>
                <w:rFonts w:ascii="Arial Narrow" w:hAnsi="Arial Narrow"/>
                <w:sz w:val="20"/>
                <w:szCs w:val="20"/>
                <w:lang w:val="en-US" w:eastAsia="ja-JP"/>
              </w:rPr>
              <w:t>is at least 18 years of age; and</w:t>
            </w:r>
          </w:p>
          <w:p w14:paraId="1377EE72" w14:textId="7D6743B1" w:rsidR="004D5A26" w:rsidRDefault="004D5A26" w:rsidP="00242CDA">
            <w:pPr>
              <w:pStyle w:val="ListParagraph"/>
              <w:keepNext/>
              <w:keepLines/>
              <w:numPr>
                <w:ilvl w:val="0"/>
                <w:numId w:val="11"/>
              </w:numPr>
              <w:spacing w:after="120" w:line="360" w:lineRule="auto"/>
              <w:ind w:left="306" w:hanging="306"/>
              <w:rPr>
                <w:rFonts w:ascii="Arial Narrow" w:hAnsi="Arial Narrow"/>
                <w:sz w:val="20"/>
                <w:szCs w:val="20"/>
                <w:lang w:val="en-US" w:eastAsia="ja-JP"/>
              </w:rPr>
            </w:pPr>
            <w:proofErr w:type="gramStart"/>
            <w:r>
              <w:rPr>
                <w:rFonts w:ascii="Arial Narrow" w:hAnsi="Arial Narrow"/>
                <w:sz w:val="20"/>
                <w:szCs w:val="20"/>
                <w:lang w:val="en-US" w:eastAsia="ja-JP"/>
              </w:rPr>
              <w:t>the</w:t>
            </w:r>
            <w:proofErr w:type="gramEnd"/>
            <w:r>
              <w:rPr>
                <w:rFonts w:ascii="Arial Narrow" w:hAnsi="Arial Narrow"/>
                <w:sz w:val="20"/>
                <w:szCs w:val="20"/>
                <w:lang w:val="en-US" w:eastAsia="ja-JP"/>
              </w:rPr>
              <w:t xml:space="preserve"> spasticity </w:t>
            </w:r>
            <w:r w:rsidR="00194787">
              <w:rPr>
                <w:rFonts w:ascii="Arial Narrow" w:hAnsi="Arial Narrow"/>
                <w:sz w:val="20"/>
                <w:szCs w:val="20"/>
                <w:lang w:val="en-US" w:eastAsia="ja-JP"/>
              </w:rPr>
              <w:t>is associated with a previously diagnosed neurological disorder; and</w:t>
            </w:r>
          </w:p>
          <w:p w14:paraId="07A23BC1" w14:textId="09A49055" w:rsidR="00194787" w:rsidRDefault="00194787" w:rsidP="00242CDA">
            <w:pPr>
              <w:pStyle w:val="ListParagraph"/>
              <w:keepNext/>
              <w:keepLines/>
              <w:numPr>
                <w:ilvl w:val="0"/>
                <w:numId w:val="11"/>
              </w:numPr>
              <w:spacing w:after="120" w:line="360" w:lineRule="auto"/>
              <w:ind w:left="306" w:hanging="306"/>
              <w:rPr>
                <w:rFonts w:ascii="Arial Narrow" w:hAnsi="Arial Narrow"/>
                <w:sz w:val="20"/>
                <w:szCs w:val="20"/>
                <w:lang w:val="en-US" w:eastAsia="ja-JP"/>
              </w:rPr>
            </w:pPr>
            <w:r>
              <w:rPr>
                <w:rFonts w:ascii="Arial Narrow" w:hAnsi="Arial Narrow"/>
                <w:sz w:val="20"/>
                <w:szCs w:val="20"/>
                <w:lang w:val="en-US" w:eastAsia="ja-JP"/>
              </w:rPr>
              <w:t>treatment is provided as:</w:t>
            </w:r>
          </w:p>
          <w:p w14:paraId="39973F14" w14:textId="2AA8EA6B" w:rsidR="00194787" w:rsidRDefault="00E33890" w:rsidP="00242CDA">
            <w:pPr>
              <w:pStyle w:val="ListParagraph"/>
              <w:keepNext/>
              <w:keepLines/>
              <w:numPr>
                <w:ilvl w:val="0"/>
                <w:numId w:val="12"/>
              </w:numPr>
              <w:spacing w:after="120" w:line="360" w:lineRule="auto"/>
              <w:ind w:left="589" w:hanging="283"/>
              <w:rPr>
                <w:rFonts w:ascii="Arial Narrow" w:hAnsi="Arial Narrow"/>
                <w:sz w:val="20"/>
                <w:szCs w:val="20"/>
                <w:lang w:val="en-US" w:eastAsia="ja-JP"/>
              </w:rPr>
            </w:pPr>
            <w:r>
              <w:rPr>
                <w:rFonts w:ascii="Arial Narrow" w:hAnsi="Arial Narrow"/>
                <w:sz w:val="20"/>
                <w:szCs w:val="20"/>
                <w:lang w:val="en-US" w:eastAsia="ja-JP"/>
              </w:rPr>
              <w:t>second line therapy when standard treatment for the conditions has failed; or</w:t>
            </w:r>
          </w:p>
          <w:p w14:paraId="05356715" w14:textId="51D46041" w:rsidR="00E33890" w:rsidRDefault="00E33890" w:rsidP="00242CDA">
            <w:pPr>
              <w:pStyle w:val="ListParagraph"/>
              <w:keepNext/>
              <w:keepLines/>
              <w:numPr>
                <w:ilvl w:val="0"/>
                <w:numId w:val="12"/>
              </w:numPr>
              <w:spacing w:after="120" w:line="360" w:lineRule="auto"/>
              <w:ind w:left="589" w:hanging="283"/>
              <w:rPr>
                <w:rFonts w:ascii="Arial Narrow" w:hAnsi="Arial Narrow"/>
                <w:sz w:val="20"/>
                <w:szCs w:val="20"/>
                <w:lang w:val="en-US" w:eastAsia="ja-JP"/>
              </w:rPr>
            </w:pPr>
            <w:r>
              <w:rPr>
                <w:rFonts w:ascii="Arial Narrow" w:hAnsi="Arial Narrow"/>
                <w:sz w:val="20"/>
                <w:szCs w:val="20"/>
                <w:lang w:val="en-US" w:eastAsia="ja-JP"/>
              </w:rPr>
              <w:t>an adjunct to physical therapy</w:t>
            </w:r>
            <w:r w:rsidR="00F872A1">
              <w:rPr>
                <w:rFonts w:ascii="Arial Narrow" w:hAnsi="Arial Narrow"/>
                <w:sz w:val="20"/>
                <w:szCs w:val="20"/>
                <w:lang w:val="en-US" w:eastAsia="ja-JP"/>
              </w:rPr>
              <w:t>; and</w:t>
            </w:r>
          </w:p>
          <w:p w14:paraId="7B366273" w14:textId="18F0F299" w:rsidR="00F872A1" w:rsidRDefault="00F872A1" w:rsidP="00242CDA">
            <w:pPr>
              <w:pStyle w:val="ListParagraph"/>
              <w:keepNext/>
              <w:keepLines/>
              <w:numPr>
                <w:ilvl w:val="0"/>
                <w:numId w:val="11"/>
              </w:numPr>
              <w:spacing w:after="120" w:line="240" w:lineRule="auto"/>
              <w:ind w:left="306" w:hanging="284"/>
              <w:rPr>
                <w:rFonts w:ascii="Arial Narrow" w:hAnsi="Arial Narrow"/>
                <w:sz w:val="20"/>
                <w:szCs w:val="20"/>
                <w:lang w:val="en-US" w:eastAsia="ja-JP"/>
              </w:rPr>
            </w:pPr>
            <w:proofErr w:type="gramStart"/>
            <w:r>
              <w:rPr>
                <w:rFonts w:ascii="Arial Narrow" w:hAnsi="Arial Narrow"/>
                <w:sz w:val="20"/>
                <w:szCs w:val="20"/>
                <w:lang w:val="en-US" w:eastAsia="ja-JP"/>
              </w:rPr>
              <w:t>the</w:t>
            </w:r>
            <w:proofErr w:type="gramEnd"/>
            <w:r>
              <w:rPr>
                <w:rFonts w:ascii="Arial Narrow" w:hAnsi="Arial Narrow"/>
                <w:sz w:val="20"/>
                <w:szCs w:val="20"/>
                <w:lang w:val="en-US" w:eastAsia="ja-JP"/>
              </w:rPr>
              <w:t xml:space="preserve"> treatment is for all or any of the muscles subserving one functional activity and supplied by one motor nerve, with a maximum of 4 sets of injections for the patient on any one day (with a maximum of 2 sets of injections for each limb), including </w:t>
            </w:r>
            <w:r w:rsidR="005E6BD7">
              <w:rPr>
                <w:rFonts w:ascii="Arial Narrow" w:hAnsi="Arial Narrow"/>
                <w:sz w:val="20"/>
                <w:szCs w:val="20"/>
                <w:lang w:val="en-US" w:eastAsia="ja-JP"/>
              </w:rPr>
              <w:t>all injections per set; and</w:t>
            </w:r>
          </w:p>
          <w:p w14:paraId="48C118F9" w14:textId="6F8EA34F" w:rsidR="005E6BD7" w:rsidRPr="00F872A1" w:rsidRDefault="005E6BD7" w:rsidP="00242CDA">
            <w:pPr>
              <w:pStyle w:val="ListParagraph"/>
              <w:keepNext/>
              <w:keepLines/>
              <w:numPr>
                <w:ilvl w:val="0"/>
                <w:numId w:val="11"/>
              </w:numPr>
              <w:spacing w:after="120" w:line="360" w:lineRule="auto"/>
              <w:ind w:left="306" w:hanging="284"/>
              <w:rPr>
                <w:rFonts w:ascii="Arial Narrow" w:hAnsi="Arial Narrow"/>
                <w:sz w:val="20"/>
                <w:szCs w:val="20"/>
                <w:lang w:val="en-US" w:eastAsia="ja-JP"/>
              </w:rPr>
            </w:pPr>
            <w:proofErr w:type="gramStart"/>
            <w:r>
              <w:rPr>
                <w:rFonts w:ascii="Arial Narrow" w:hAnsi="Arial Narrow"/>
                <w:sz w:val="20"/>
                <w:szCs w:val="20"/>
                <w:lang w:val="en-US" w:eastAsia="ja-JP"/>
              </w:rPr>
              <w:t>the</w:t>
            </w:r>
            <w:proofErr w:type="gramEnd"/>
            <w:r>
              <w:rPr>
                <w:rFonts w:ascii="Arial Narrow" w:hAnsi="Arial Narrow"/>
                <w:sz w:val="20"/>
                <w:szCs w:val="20"/>
                <w:lang w:val="en-US" w:eastAsia="ja-JP"/>
              </w:rPr>
              <w:t xml:space="preserve"> treatment is not provided on the same occasion as </w:t>
            </w:r>
            <w:proofErr w:type="gramStart"/>
            <w:r>
              <w:rPr>
                <w:rFonts w:ascii="Arial Narrow" w:hAnsi="Arial Narrow"/>
                <w:sz w:val="20"/>
                <w:szCs w:val="20"/>
                <w:lang w:val="en-US" w:eastAsia="ja-JP"/>
              </w:rPr>
              <w:t>a service</w:t>
            </w:r>
            <w:proofErr w:type="gramEnd"/>
            <w:r>
              <w:rPr>
                <w:rFonts w:ascii="Arial Narrow" w:hAnsi="Arial Narrow"/>
                <w:sz w:val="20"/>
                <w:szCs w:val="20"/>
                <w:lang w:val="en-US" w:eastAsia="ja-JP"/>
              </w:rPr>
              <w:t xml:space="preserve"> mentioned in item 18365</w:t>
            </w:r>
          </w:p>
          <w:p w14:paraId="3EEC2DE6" w14:textId="519AB4B4" w:rsidR="003328A9" w:rsidRPr="00170D5B" w:rsidRDefault="005E0ECF" w:rsidP="00242CDA">
            <w:pPr>
              <w:keepNext/>
              <w:keepLines/>
              <w:spacing w:after="120" w:line="240" w:lineRule="auto"/>
              <w:rPr>
                <w:rFonts w:ascii="Arial Narrow" w:hAnsi="Arial Narrow"/>
                <w:sz w:val="20"/>
                <w:szCs w:val="20"/>
                <w:lang w:val="en-US" w:eastAsia="ja-JP"/>
              </w:rPr>
            </w:pPr>
            <w:r>
              <w:rPr>
                <w:rFonts w:ascii="Arial Narrow" w:hAnsi="Arial Narrow"/>
                <w:sz w:val="20"/>
                <w:szCs w:val="20"/>
                <w:lang w:val="en-US" w:eastAsia="ja-JP"/>
              </w:rPr>
              <w:t xml:space="preserve">(See para </w:t>
            </w:r>
            <w:hyperlink r:id="rId29" w:history="1">
              <w:r w:rsidR="00CD7E24" w:rsidRPr="00CD7E24">
                <w:rPr>
                  <w:rStyle w:val="Hyperlink"/>
                  <w:rFonts w:ascii="Arial Narrow" w:hAnsi="Arial Narrow"/>
                  <w:iCs/>
                  <w:sz w:val="20"/>
                </w:rPr>
                <w:t>TN.11.1</w:t>
              </w:r>
            </w:hyperlink>
            <w:r w:rsidR="00CD7E24">
              <w:rPr>
                <w:rFonts w:ascii="Arial Narrow" w:hAnsi="Arial Narrow"/>
                <w:sz w:val="20"/>
                <w:szCs w:val="20"/>
                <w:lang w:val="en-US" w:eastAsia="ja-JP"/>
              </w:rPr>
              <w:t xml:space="preserve"> for explanatory notes to this Category)</w:t>
            </w:r>
          </w:p>
        </w:tc>
      </w:tr>
      <w:tr w:rsidR="003328A9" w:rsidRPr="005D749D" w14:paraId="190EE027" w14:textId="77777777" w:rsidTr="00170D5B">
        <w:tc>
          <w:tcPr>
            <w:tcW w:w="5000" w:type="pct"/>
            <w:tcBorders>
              <w:top w:val="single" w:sz="4" w:space="0" w:color="000000"/>
              <w:left w:val="single" w:sz="4" w:space="0" w:color="000000"/>
              <w:bottom w:val="single" w:sz="4" w:space="0" w:color="000000"/>
              <w:right w:val="single" w:sz="4" w:space="0" w:color="000000"/>
            </w:tcBorders>
            <w:vAlign w:val="center"/>
            <w:hideMark/>
          </w:tcPr>
          <w:p w14:paraId="5AEEDFDC" w14:textId="6B6CB43A" w:rsidR="003328A9" w:rsidRPr="005D749D" w:rsidRDefault="003328A9" w:rsidP="00242CDA">
            <w:pPr>
              <w:pStyle w:val="TableText"/>
              <w:keepNext/>
              <w:keepLines/>
              <w:rPr>
                <w:szCs w:val="20"/>
              </w:rPr>
            </w:pPr>
            <w:r w:rsidRPr="005D749D">
              <w:rPr>
                <w:szCs w:val="20"/>
              </w:rPr>
              <w:t xml:space="preserve">Fee: </w:t>
            </w:r>
            <w:r w:rsidR="00CD7E24">
              <w:rPr>
                <w:szCs w:val="20"/>
              </w:rPr>
              <w:t>$145.65 Benefit 75%</w:t>
            </w:r>
            <w:r w:rsidR="0082126E">
              <w:rPr>
                <w:szCs w:val="20"/>
              </w:rPr>
              <w:t xml:space="preserve"> = $109.25 85% = $123.85</w:t>
            </w:r>
          </w:p>
        </w:tc>
      </w:tr>
    </w:tbl>
    <w:p w14:paraId="34E0B08F" w14:textId="08B94766" w:rsidR="00772829" w:rsidRPr="00CE28E3" w:rsidRDefault="00772829" w:rsidP="00EB3CE8">
      <w:pPr>
        <w:pStyle w:val="Heading2"/>
        <w:numPr>
          <w:ilvl w:val="0"/>
          <w:numId w:val="13"/>
        </w:numPr>
        <w:ind w:hanging="720"/>
      </w:pPr>
      <w:bookmarkStart w:id="12" w:name="_Toc69491419"/>
      <w:r w:rsidRPr="00CE28E3">
        <w:t>Population</w:t>
      </w:r>
      <w:bookmarkEnd w:id="12"/>
      <w:r w:rsidRPr="00CE28E3">
        <w:t xml:space="preserve"> </w:t>
      </w:r>
    </w:p>
    <w:p w14:paraId="51EF3858" w14:textId="3F6694AC" w:rsidR="00050799" w:rsidRDefault="00766356" w:rsidP="00355326">
      <w:pPr>
        <w:pStyle w:val="Guidelinescross-ref"/>
        <w:rPr>
          <w:b w:val="0"/>
          <w:bCs/>
          <w:color w:val="auto"/>
          <w:sz w:val="22"/>
          <w:szCs w:val="20"/>
        </w:rPr>
      </w:pPr>
      <w:r w:rsidRPr="00EB00C1">
        <w:rPr>
          <w:b w:val="0"/>
          <w:bCs/>
          <w:color w:val="auto"/>
          <w:sz w:val="22"/>
          <w:szCs w:val="20"/>
        </w:rPr>
        <w:t xml:space="preserve">The requested population </w:t>
      </w:r>
      <w:r w:rsidR="001A587B" w:rsidRPr="00EB00C1">
        <w:rPr>
          <w:b w:val="0"/>
          <w:bCs/>
          <w:color w:val="auto"/>
          <w:sz w:val="22"/>
          <w:szCs w:val="20"/>
        </w:rPr>
        <w:t>is adults aged 18 years and over</w:t>
      </w:r>
      <w:r w:rsidR="00463454" w:rsidRPr="00EB00C1">
        <w:rPr>
          <w:b w:val="0"/>
          <w:bCs/>
          <w:color w:val="auto"/>
          <w:sz w:val="22"/>
          <w:szCs w:val="20"/>
        </w:rPr>
        <w:t xml:space="preserve"> with moderate to severe</w:t>
      </w:r>
      <w:r w:rsidR="007C2C25">
        <w:rPr>
          <w:b w:val="0"/>
          <w:bCs/>
          <w:color w:val="auto"/>
          <w:sz w:val="22"/>
          <w:szCs w:val="20"/>
        </w:rPr>
        <w:t xml:space="preserve"> lower-limb</w:t>
      </w:r>
      <w:r w:rsidR="00463454" w:rsidRPr="00EB00C1">
        <w:rPr>
          <w:b w:val="0"/>
          <w:bCs/>
          <w:color w:val="auto"/>
          <w:sz w:val="22"/>
          <w:szCs w:val="20"/>
        </w:rPr>
        <w:t xml:space="preserve"> </w:t>
      </w:r>
      <w:r w:rsidR="00B26914">
        <w:rPr>
          <w:b w:val="0"/>
          <w:bCs/>
          <w:color w:val="auto"/>
          <w:sz w:val="22"/>
          <w:szCs w:val="20"/>
        </w:rPr>
        <w:t xml:space="preserve">spasticity </w:t>
      </w:r>
      <w:r w:rsidR="00EB00C1">
        <w:rPr>
          <w:b w:val="0"/>
          <w:bCs/>
          <w:color w:val="auto"/>
          <w:sz w:val="22"/>
          <w:szCs w:val="20"/>
        </w:rPr>
        <w:t>following an acute event</w:t>
      </w:r>
      <w:r w:rsidR="00DE152F">
        <w:rPr>
          <w:b w:val="0"/>
          <w:bCs/>
          <w:color w:val="auto"/>
          <w:sz w:val="22"/>
          <w:szCs w:val="20"/>
        </w:rPr>
        <w:t xml:space="preserve"> </w:t>
      </w:r>
      <w:r w:rsidR="009F4C0E">
        <w:rPr>
          <w:b w:val="0"/>
          <w:bCs/>
          <w:color w:val="auto"/>
          <w:sz w:val="22"/>
          <w:szCs w:val="20"/>
        </w:rPr>
        <w:t>(including stroke, traumatic brain injury, spinal cord injury, infection, or hypoxia)</w:t>
      </w:r>
      <w:r w:rsidR="00AE280D">
        <w:rPr>
          <w:b w:val="0"/>
          <w:bCs/>
          <w:color w:val="auto"/>
          <w:sz w:val="22"/>
          <w:szCs w:val="20"/>
        </w:rPr>
        <w:t xml:space="preserve">. </w:t>
      </w:r>
      <w:r w:rsidR="008916B2">
        <w:rPr>
          <w:b w:val="0"/>
          <w:bCs/>
          <w:color w:val="auto"/>
          <w:sz w:val="22"/>
          <w:szCs w:val="20"/>
        </w:rPr>
        <w:t xml:space="preserve">Lower limb spasticity </w:t>
      </w:r>
      <w:r w:rsidR="00234A1A">
        <w:rPr>
          <w:b w:val="0"/>
          <w:bCs/>
          <w:color w:val="auto"/>
          <w:sz w:val="22"/>
          <w:szCs w:val="20"/>
        </w:rPr>
        <w:t>commonly results in</w:t>
      </w:r>
      <w:r w:rsidR="008916B2">
        <w:rPr>
          <w:b w:val="0"/>
          <w:bCs/>
          <w:color w:val="auto"/>
          <w:sz w:val="22"/>
          <w:szCs w:val="20"/>
        </w:rPr>
        <w:t xml:space="preserve"> </w:t>
      </w:r>
      <w:r w:rsidR="007878FD">
        <w:rPr>
          <w:b w:val="0"/>
          <w:bCs/>
          <w:color w:val="auto"/>
          <w:sz w:val="22"/>
          <w:szCs w:val="20"/>
        </w:rPr>
        <w:t xml:space="preserve">fixed plantar flexion of the ankle (pes </w:t>
      </w:r>
      <w:proofErr w:type="spellStart"/>
      <w:r w:rsidR="007878FD">
        <w:rPr>
          <w:b w:val="0"/>
          <w:bCs/>
          <w:color w:val="auto"/>
          <w:sz w:val="22"/>
          <w:szCs w:val="20"/>
        </w:rPr>
        <w:t>equinus</w:t>
      </w:r>
      <w:proofErr w:type="spellEnd"/>
      <w:r w:rsidR="007878FD">
        <w:rPr>
          <w:b w:val="0"/>
          <w:bCs/>
          <w:color w:val="auto"/>
          <w:sz w:val="22"/>
          <w:szCs w:val="20"/>
        </w:rPr>
        <w:t>)</w:t>
      </w:r>
      <w:r w:rsidR="007A4A04">
        <w:rPr>
          <w:b w:val="0"/>
          <w:bCs/>
          <w:color w:val="auto"/>
          <w:sz w:val="22"/>
          <w:szCs w:val="20"/>
        </w:rPr>
        <w:t xml:space="preserve">, which </w:t>
      </w:r>
      <w:r w:rsidR="00234A1A">
        <w:rPr>
          <w:b w:val="0"/>
          <w:bCs/>
          <w:color w:val="auto"/>
          <w:sz w:val="22"/>
          <w:szCs w:val="20"/>
        </w:rPr>
        <w:t>impairs</w:t>
      </w:r>
      <w:r w:rsidR="007A4A04">
        <w:rPr>
          <w:b w:val="0"/>
          <w:bCs/>
          <w:color w:val="auto"/>
          <w:sz w:val="22"/>
          <w:szCs w:val="20"/>
        </w:rPr>
        <w:t xml:space="preserve"> mobility and balance and increases </w:t>
      </w:r>
      <w:r w:rsidR="00AD25E9">
        <w:rPr>
          <w:b w:val="0"/>
          <w:bCs/>
          <w:color w:val="auto"/>
          <w:sz w:val="22"/>
          <w:szCs w:val="20"/>
        </w:rPr>
        <w:t xml:space="preserve">the </w:t>
      </w:r>
      <w:r w:rsidR="00BA34E9">
        <w:rPr>
          <w:b w:val="0"/>
          <w:bCs/>
          <w:color w:val="auto"/>
          <w:sz w:val="22"/>
          <w:szCs w:val="20"/>
        </w:rPr>
        <w:t xml:space="preserve">risk of fall and </w:t>
      </w:r>
      <w:r w:rsidR="007A4A04">
        <w:rPr>
          <w:b w:val="0"/>
          <w:bCs/>
          <w:color w:val="auto"/>
          <w:sz w:val="22"/>
          <w:szCs w:val="20"/>
        </w:rPr>
        <w:t>reliance on assistive devices and personal care</w:t>
      </w:r>
      <w:r w:rsidR="00D72856">
        <w:rPr>
          <w:b w:val="0"/>
          <w:bCs/>
          <w:color w:val="auto"/>
          <w:sz w:val="22"/>
          <w:szCs w:val="20"/>
        </w:rPr>
        <w:t>.</w:t>
      </w:r>
      <w:r w:rsidR="00C931B7">
        <w:rPr>
          <w:rStyle w:val="FootnoteReference"/>
          <w:b w:val="0"/>
          <w:bCs/>
          <w:color w:val="auto"/>
          <w:sz w:val="22"/>
          <w:szCs w:val="20"/>
        </w:rPr>
        <w:footnoteReference w:id="4"/>
      </w:r>
      <w:r w:rsidR="00C823E5">
        <w:rPr>
          <w:b w:val="0"/>
          <w:bCs/>
          <w:color w:val="auto"/>
          <w:sz w:val="22"/>
          <w:szCs w:val="20"/>
        </w:rPr>
        <w:t>,</w:t>
      </w:r>
      <w:r w:rsidR="00C823E5">
        <w:rPr>
          <w:rStyle w:val="FootnoteReference"/>
          <w:b w:val="0"/>
          <w:bCs/>
          <w:color w:val="auto"/>
          <w:sz w:val="22"/>
          <w:szCs w:val="20"/>
        </w:rPr>
        <w:footnoteReference w:id="5"/>
      </w:r>
    </w:p>
    <w:p w14:paraId="3983DED2" w14:textId="066CB1EA" w:rsidR="00CF7CCF" w:rsidRPr="00C7207C" w:rsidRDefault="00EB2DA2" w:rsidP="00355326">
      <w:pPr>
        <w:pStyle w:val="Guidelinescross-ref"/>
        <w:rPr>
          <w:b w:val="0"/>
          <w:bCs/>
          <w:color w:val="auto"/>
          <w:sz w:val="22"/>
          <w:szCs w:val="20"/>
        </w:rPr>
      </w:pPr>
      <w:r>
        <w:rPr>
          <w:b w:val="0"/>
          <w:bCs/>
          <w:color w:val="auto"/>
          <w:sz w:val="22"/>
          <w:szCs w:val="20"/>
        </w:rPr>
        <w:t xml:space="preserve">In defining eligibility, the </w:t>
      </w:r>
      <w:r w:rsidR="004D108D">
        <w:rPr>
          <w:b w:val="0"/>
          <w:bCs/>
          <w:color w:val="auto"/>
          <w:sz w:val="22"/>
          <w:szCs w:val="20"/>
        </w:rPr>
        <w:t xml:space="preserve">submission </w:t>
      </w:r>
      <w:r w:rsidR="00AD25E9">
        <w:rPr>
          <w:b w:val="0"/>
          <w:bCs/>
          <w:color w:val="auto"/>
          <w:sz w:val="22"/>
          <w:szCs w:val="20"/>
        </w:rPr>
        <w:t xml:space="preserve">described </w:t>
      </w:r>
      <w:r w:rsidR="00355326">
        <w:rPr>
          <w:b w:val="0"/>
          <w:bCs/>
          <w:color w:val="auto"/>
          <w:sz w:val="22"/>
          <w:szCs w:val="20"/>
        </w:rPr>
        <w:t>“moderate to severe” spasticity</w:t>
      </w:r>
      <w:r w:rsidR="00E10787">
        <w:rPr>
          <w:b w:val="0"/>
          <w:bCs/>
          <w:color w:val="auto"/>
          <w:sz w:val="22"/>
          <w:szCs w:val="20"/>
        </w:rPr>
        <w:t xml:space="preserve"> </w:t>
      </w:r>
      <w:r w:rsidR="004D108D">
        <w:rPr>
          <w:b w:val="0"/>
          <w:bCs/>
          <w:color w:val="auto"/>
          <w:sz w:val="22"/>
          <w:szCs w:val="20"/>
        </w:rPr>
        <w:t>as</w:t>
      </w:r>
      <w:r w:rsidR="00355326">
        <w:rPr>
          <w:b w:val="0"/>
          <w:bCs/>
          <w:color w:val="auto"/>
          <w:sz w:val="22"/>
          <w:szCs w:val="20"/>
        </w:rPr>
        <w:t xml:space="preserve"> a </w:t>
      </w:r>
      <w:r w:rsidR="006758B6" w:rsidRPr="00750DBC">
        <w:rPr>
          <w:b w:val="0"/>
          <w:bCs/>
          <w:color w:val="auto"/>
          <w:sz w:val="22"/>
          <w:szCs w:val="20"/>
        </w:rPr>
        <w:t>Modified Ashworth Scale (MAS) score of 3 or mo</w:t>
      </w:r>
      <w:r w:rsidR="00B17FE7">
        <w:rPr>
          <w:b w:val="0"/>
          <w:bCs/>
          <w:color w:val="auto"/>
          <w:sz w:val="22"/>
          <w:szCs w:val="20"/>
        </w:rPr>
        <w:t>re</w:t>
      </w:r>
      <w:r w:rsidR="00AD25E9">
        <w:rPr>
          <w:b w:val="0"/>
          <w:bCs/>
          <w:color w:val="auto"/>
          <w:sz w:val="22"/>
          <w:szCs w:val="20"/>
        </w:rPr>
        <w:t>, reflecting</w:t>
      </w:r>
      <w:r w:rsidR="00B17FE7">
        <w:rPr>
          <w:b w:val="0"/>
          <w:bCs/>
          <w:color w:val="auto"/>
          <w:sz w:val="22"/>
          <w:szCs w:val="20"/>
        </w:rPr>
        <w:t xml:space="preserve"> considerable </w:t>
      </w:r>
      <w:r w:rsidR="00485E53">
        <w:rPr>
          <w:b w:val="0"/>
          <w:bCs/>
          <w:color w:val="auto"/>
          <w:sz w:val="22"/>
          <w:szCs w:val="20"/>
        </w:rPr>
        <w:t xml:space="preserve">resistance to passive stretch and </w:t>
      </w:r>
      <w:r w:rsidR="00615F75">
        <w:rPr>
          <w:b w:val="0"/>
          <w:bCs/>
          <w:color w:val="auto"/>
          <w:sz w:val="22"/>
          <w:szCs w:val="20"/>
        </w:rPr>
        <w:t xml:space="preserve">difficulty with </w:t>
      </w:r>
      <w:r w:rsidR="003D2913">
        <w:rPr>
          <w:b w:val="0"/>
          <w:bCs/>
          <w:color w:val="auto"/>
          <w:sz w:val="22"/>
          <w:szCs w:val="20"/>
        </w:rPr>
        <w:t>passive movement</w:t>
      </w:r>
      <w:r w:rsidR="00B32FE2">
        <w:rPr>
          <w:b w:val="0"/>
          <w:bCs/>
          <w:color w:val="auto"/>
          <w:sz w:val="22"/>
          <w:szCs w:val="20"/>
        </w:rPr>
        <w:t>. However</w:t>
      </w:r>
      <w:r w:rsidR="00615F75">
        <w:rPr>
          <w:b w:val="0"/>
          <w:bCs/>
          <w:color w:val="auto"/>
          <w:sz w:val="22"/>
          <w:szCs w:val="20"/>
        </w:rPr>
        <w:t xml:space="preserve">, </w:t>
      </w:r>
      <w:r w:rsidR="00FF16E6">
        <w:rPr>
          <w:b w:val="0"/>
          <w:bCs/>
          <w:color w:val="auto"/>
          <w:sz w:val="22"/>
          <w:szCs w:val="20"/>
        </w:rPr>
        <w:t xml:space="preserve">the </w:t>
      </w:r>
      <w:r w:rsidR="00C7207C">
        <w:rPr>
          <w:b w:val="0"/>
          <w:bCs/>
          <w:color w:val="auto"/>
          <w:sz w:val="22"/>
          <w:szCs w:val="20"/>
        </w:rPr>
        <w:t xml:space="preserve">proposed treatment algorithm </w:t>
      </w:r>
      <w:r w:rsidR="00615F75">
        <w:rPr>
          <w:b w:val="0"/>
          <w:bCs/>
          <w:color w:val="auto"/>
          <w:sz w:val="22"/>
          <w:szCs w:val="20"/>
        </w:rPr>
        <w:t>applie</w:t>
      </w:r>
      <w:r w:rsidR="00015456">
        <w:rPr>
          <w:b w:val="0"/>
          <w:bCs/>
          <w:color w:val="auto"/>
          <w:sz w:val="22"/>
          <w:szCs w:val="20"/>
        </w:rPr>
        <w:t>d</w:t>
      </w:r>
      <w:r w:rsidR="0008324E">
        <w:rPr>
          <w:b w:val="0"/>
          <w:bCs/>
          <w:color w:val="auto"/>
          <w:sz w:val="22"/>
          <w:szCs w:val="20"/>
        </w:rPr>
        <w:t xml:space="preserve"> a </w:t>
      </w:r>
      <w:r w:rsidR="00015456">
        <w:rPr>
          <w:b w:val="0"/>
          <w:bCs/>
          <w:color w:val="auto"/>
          <w:sz w:val="22"/>
          <w:szCs w:val="20"/>
        </w:rPr>
        <w:t xml:space="preserve">lower </w:t>
      </w:r>
      <w:r w:rsidR="0008324E">
        <w:rPr>
          <w:b w:val="0"/>
          <w:bCs/>
          <w:color w:val="auto"/>
          <w:sz w:val="22"/>
          <w:szCs w:val="20"/>
        </w:rPr>
        <w:t xml:space="preserve">threshold of </w:t>
      </w:r>
      <w:r w:rsidR="00C7207C">
        <w:rPr>
          <w:b w:val="0"/>
          <w:bCs/>
          <w:color w:val="auto"/>
          <w:sz w:val="22"/>
          <w:szCs w:val="20"/>
        </w:rPr>
        <w:t xml:space="preserve">MAS </w:t>
      </w:r>
      <w:r w:rsidR="00C7207C">
        <w:rPr>
          <w:b w:val="0"/>
          <w:bCs/>
          <w:color w:val="auto"/>
          <w:sz w:val="22"/>
          <w:szCs w:val="20"/>
          <w:u w:val="single"/>
        </w:rPr>
        <w:t>&gt;</w:t>
      </w:r>
      <w:r w:rsidR="00C7207C">
        <w:rPr>
          <w:b w:val="0"/>
          <w:bCs/>
          <w:color w:val="auto"/>
          <w:sz w:val="22"/>
          <w:szCs w:val="20"/>
        </w:rPr>
        <w:t>2</w:t>
      </w:r>
      <w:r w:rsidR="00015456">
        <w:rPr>
          <w:b w:val="0"/>
          <w:bCs/>
          <w:color w:val="auto"/>
          <w:sz w:val="22"/>
          <w:szCs w:val="20"/>
        </w:rPr>
        <w:t xml:space="preserve">. This </w:t>
      </w:r>
      <w:r w:rsidR="00B32FE2">
        <w:rPr>
          <w:b w:val="0"/>
          <w:bCs/>
          <w:color w:val="auto"/>
          <w:sz w:val="22"/>
          <w:szCs w:val="20"/>
        </w:rPr>
        <w:t xml:space="preserve">discrepancy broadens the effective treatment population beyond the </w:t>
      </w:r>
      <w:r w:rsidR="00015456">
        <w:rPr>
          <w:b w:val="0"/>
          <w:bCs/>
          <w:color w:val="auto"/>
          <w:sz w:val="22"/>
          <w:szCs w:val="20"/>
        </w:rPr>
        <w:t xml:space="preserve">described for the requested listing and introduces inconsistency between the </w:t>
      </w:r>
      <w:r w:rsidR="00AB2751">
        <w:rPr>
          <w:b w:val="0"/>
          <w:bCs/>
          <w:color w:val="auto"/>
          <w:sz w:val="22"/>
          <w:szCs w:val="20"/>
        </w:rPr>
        <w:t xml:space="preserve">stated </w:t>
      </w:r>
      <w:r w:rsidR="00015456">
        <w:rPr>
          <w:b w:val="0"/>
          <w:bCs/>
          <w:color w:val="auto"/>
          <w:sz w:val="22"/>
          <w:szCs w:val="20"/>
        </w:rPr>
        <w:t>population and the proposed treatment approach</w:t>
      </w:r>
      <w:r w:rsidR="00C7207C">
        <w:rPr>
          <w:b w:val="0"/>
          <w:bCs/>
          <w:color w:val="auto"/>
          <w:sz w:val="22"/>
          <w:szCs w:val="20"/>
        </w:rPr>
        <w:t>.</w:t>
      </w:r>
    </w:p>
    <w:p w14:paraId="21188FF3" w14:textId="0BC344AB" w:rsidR="00E10787" w:rsidRDefault="00AB2751" w:rsidP="00502FFB">
      <w:pPr>
        <w:pStyle w:val="Guidelinescross-ref"/>
        <w:rPr>
          <w:b w:val="0"/>
          <w:bCs/>
          <w:color w:val="auto"/>
          <w:sz w:val="22"/>
          <w:szCs w:val="20"/>
        </w:rPr>
      </w:pPr>
      <w:r>
        <w:rPr>
          <w:b w:val="0"/>
          <w:bCs/>
          <w:color w:val="auto"/>
          <w:sz w:val="22"/>
          <w:szCs w:val="20"/>
        </w:rPr>
        <w:t>In terms of disease burden, s</w:t>
      </w:r>
      <w:r w:rsidR="00216B91" w:rsidRPr="00750DBC">
        <w:rPr>
          <w:b w:val="0"/>
          <w:bCs/>
          <w:color w:val="auto"/>
          <w:sz w:val="22"/>
          <w:szCs w:val="20"/>
        </w:rPr>
        <w:t>troke</w:t>
      </w:r>
      <w:r w:rsidR="00FB7C8C" w:rsidRPr="00750DBC">
        <w:rPr>
          <w:b w:val="0"/>
          <w:bCs/>
          <w:color w:val="auto"/>
          <w:sz w:val="22"/>
          <w:szCs w:val="20"/>
        </w:rPr>
        <w:t xml:space="preserve">-related </w:t>
      </w:r>
      <w:r w:rsidR="00B607F6" w:rsidRPr="00750DBC">
        <w:rPr>
          <w:b w:val="0"/>
          <w:bCs/>
          <w:color w:val="auto"/>
          <w:sz w:val="22"/>
          <w:szCs w:val="20"/>
        </w:rPr>
        <w:t>spasticity typically develops within the first 3-6 months post stroke</w:t>
      </w:r>
      <w:r w:rsidR="001312F8">
        <w:rPr>
          <w:b w:val="0"/>
          <w:bCs/>
          <w:color w:val="auto"/>
          <w:sz w:val="22"/>
          <w:szCs w:val="20"/>
        </w:rPr>
        <w:t>.</w:t>
      </w:r>
      <w:r w:rsidR="0073320E">
        <w:rPr>
          <w:rStyle w:val="FootnoteReference"/>
          <w:b w:val="0"/>
          <w:bCs/>
          <w:color w:val="auto"/>
          <w:sz w:val="22"/>
          <w:szCs w:val="20"/>
        </w:rPr>
        <w:footnoteReference w:id="6"/>
      </w:r>
      <w:r w:rsidR="00B607F6" w:rsidRPr="00750DBC">
        <w:rPr>
          <w:b w:val="0"/>
          <w:bCs/>
          <w:color w:val="auto"/>
          <w:sz w:val="22"/>
          <w:szCs w:val="20"/>
        </w:rPr>
        <w:t xml:space="preserve"> </w:t>
      </w:r>
      <w:r w:rsidR="0034039F" w:rsidRPr="00750DBC">
        <w:rPr>
          <w:b w:val="0"/>
          <w:bCs/>
          <w:color w:val="auto"/>
          <w:sz w:val="22"/>
          <w:szCs w:val="20"/>
        </w:rPr>
        <w:t xml:space="preserve">According to the Australian Stroke Foundation 2023 data, </w:t>
      </w:r>
      <w:r w:rsidR="00706910">
        <w:rPr>
          <w:b w:val="0"/>
          <w:bCs/>
          <w:color w:val="auto"/>
          <w:sz w:val="22"/>
          <w:szCs w:val="20"/>
        </w:rPr>
        <w:t xml:space="preserve">there were </w:t>
      </w:r>
      <w:r w:rsidR="00894477" w:rsidRPr="00750DBC">
        <w:rPr>
          <w:b w:val="0"/>
          <w:bCs/>
          <w:color w:val="auto"/>
          <w:sz w:val="22"/>
          <w:szCs w:val="20"/>
        </w:rPr>
        <w:t>over 445,000 stroke survivors</w:t>
      </w:r>
      <w:r w:rsidR="006D61D6">
        <w:rPr>
          <w:b w:val="0"/>
          <w:bCs/>
          <w:color w:val="auto"/>
          <w:sz w:val="22"/>
          <w:szCs w:val="20"/>
        </w:rPr>
        <w:t>,</w:t>
      </w:r>
      <w:r w:rsidR="00643702" w:rsidRPr="00750DBC">
        <w:rPr>
          <w:b w:val="0"/>
          <w:bCs/>
          <w:color w:val="auto"/>
          <w:sz w:val="22"/>
          <w:szCs w:val="20"/>
        </w:rPr>
        <w:t xml:space="preserve"> </w:t>
      </w:r>
      <w:r w:rsidR="009C0F10" w:rsidRPr="00750DBC">
        <w:rPr>
          <w:b w:val="0"/>
          <w:bCs/>
          <w:color w:val="auto"/>
          <w:sz w:val="22"/>
          <w:szCs w:val="20"/>
        </w:rPr>
        <w:t>34,793 first-ever strokes</w:t>
      </w:r>
      <w:r w:rsidR="000C3FF7">
        <w:rPr>
          <w:b w:val="0"/>
          <w:bCs/>
          <w:color w:val="auto"/>
          <w:sz w:val="22"/>
          <w:szCs w:val="20"/>
        </w:rPr>
        <w:t>,</w:t>
      </w:r>
      <w:r w:rsidR="009C0F10" w:rsidRPr="00750DBC">
        <w:rPr>
          <w:b w:val="0"/>
          <w:bCs/>
          <w:color w:val="auto"/>
          <w:sz w:val="22"/>
          <w:szCs w:val="20"/>
        </w:rPr>
        <w:t xml:space="preserve"> and </w:t>
      </w:r>
      <w:r w:rsidR="00643702" w:rsidRPr="00750DBC">
        <w:rPr>
          <w:b w:val="0"/>
          <w:bCs/>
          <w:color w:val="auto"/>
          <w:sz w:val="22"/>
          <w:szCs w:val="20"/>
        </w:rPr>
        <w:t>10,990 recurrent strokes</w:t>
      </w:r>
      <w:r w:rsidR="00DE1FA8" w:rsidRPr="00750DBC">
        <w:rPr>
          <w:b w:val="0"/>
          <w:bCs/>
          <w:color w:val="auto"/>
          <w:sz w:val="22"/>
          <w:szCs w:val="20"/>
        </w:rPr>
        <w:t>.</w:t>
      </w:r>
      <w:r w:rsidR="00B06075">
        <w:rPr>
          <w:rStyle w:val="FootnoteReference"/>
          <w:b w:val="0"/>
          <w:bCs/>
          <w:color w:val="auto"/>
          <w:sz w:val="22"/>
          <w:szCs w:val="20"/>
        </w:rPr>
        <w:footnoteReference w:id="7"/>
      </w:r>
      <w:r w:rsidR="00DE1FA8" w:rsidRPr="00750DBC">
        <w:rPr>
          <w:b w:val="0"/>
          <w:bCs/>
          <w:color w:val="auto"/>
          <w:sz w:val="22"/>
          <w:szCs w:val="20"/>
        </w:rPr>
        <w:t xml:space="preserve"> The </w:t>
      </w:r>
      <w:r w:rsidR="007E0CED" w:rsidRPr="00750DBC">
        <w:rPr>
          <w:b w:val="0"/>
          <w:bCs/>
          <w:color w:val="auto"/>
          <w:sz w:val="22"/>
          <w:szCs w:val="20"/>
        </w:rPr>
        <w:t>202</w:t>
      </w:r>
      <w:r w:rsidR="007F0B03" w:rsidRPr="00750DBC">
        <w:rPr>
          <w:b w:val="0"/>
          <w:bCs/>
          <w:color w:val="auto"/>
          <w:sz w:val="22"/>
          <w:szCs w:val="20"/>
        </w:rPr>
        <w:t>3</w:t>
      </w:r>
      <w:r w:rsidR="007E0CED" w:rsidRPr="00750DBC">
        <w:rPr>
          <w:b w:val="0"/>
          <w:bCs/>
          <w:color w:val="auto"/>
          <w:sz w:val="22"/>
          <w:szCs w:val="20"/>
        </w:rPr>
        <w:t xml:space="preserve"> </w:t>
      </w:r>
      <w:r w:rsidR="00DE1FA8" w:rsidRPr="00750DBC">
        <w:rPr>
          <w:b w:val="0"/>
          <w:bCs/>
          <w:color w:val="auto"/>
          <w:sz w:val="22"/>
          <w:szCs w:val="20"/>
        </w:rPr>
        <w:t>age-sta</w:t>
      </w:r>
      <w:r w:rsidR="008833E7" w:rsidRPr="00750DBC">
        <w:rPr>
          <w:b w:val="0"/>
          <w:bCs/>
          <w:color w:val="auto"/>
          <w:sz w:val="22"/>
          <w:szCs w:val="20"/>
        </w:rPr>
        <w:t>n</w:t>
      </w:r>
      <w:r w:rsidR="00DE1FA8" w:rsidRPr="00750DBC">
        <w:rPr>
          <w:b w:val="0"/>
          <w:bCs/>
          <w:color w:val="auto"/>
          <w:sz w:val="22"/>
          <w:szCs w:val="20"/>
        </w:rPr>
        <w:t>dard</w:t>
      </w:r>
      <w:r w:rsidR="008833E7" w:rsidRPr="00750DBC">
        <w:rPr>
          <w:b w:val="0"/>
          <w:bCs/>
          <w:color w:val="auto"/>
          <w:sz w:val="22"/>
          <w:szCs w:val="20"/>
        </w:rPr>
        <w:t xml:space="preserve">ized stroke </w:t>
      </w:r>
      <w:r w:rsidR="007E0CED" w:rsidRPr="00750DBC">
        <w:rPr>
          <w:b w:val="0"/>
          <w:bCs/>
          <w:color w:val="auto"/>
          <w:sz w:val="22"/>
          <w:szCs w:val="20"/>
        </w:rPr>
        <w:t>rate</w:t>
      </w:r>
      <w:r w:rsidR="007F0B03" w:rsidRPr="00750DBC">
        <w:rPr>
          <w:b w:val="0"/>
          <w:bCs/>
          <w:color w:val="auto"/>
          <w:sz w:val="22"/>
          <w:szCs w:val="20"/>
        </w:rPr>
        <w:t>s</w:t>
      </w:r>
      <w:r w:rsidR="007E0CED" w:rsidRPr="00750DBC">
        <w:rPr>
          <w:b w:val="0"/>
          <w:bCs/>
          <w:color w:val="auto"/>
          <w:sz w:val="22"/>
          <w:szCs w:val="20"/>
        </w:rPr>
        <w:t xml:space="preserve"> </w:t>
      </w:r>
      <w:r w:rsidR="007F0B03" w:rsidRPr="00750DBC">
        <w:rPr>
          <w:b w:val="0"/>
          <w:bCs/>
          <w:color w:val="auto"/>
          <w:sz w:val="22"/>
          <w:szCs w:val="20"/>
        </w:rPr>
        <w:t>were</w:t>
      </w:r>
      <w:r w:rsidR="008833E7" w:rsidRPr="00750DBC">
        <w:rPr>
          <w:b w:val="0"/>
          <w:bCs/>
          <w:color w:val="auto"/>
          <w:sz w:val="22"/>
          <w:szCs w:val="20"/>
        </w:rPr>
        <w:t xml:space="preserve"> 1</w:t>
      </w:r>
      <w:r w:rsidR="007F0B03" w:rsidRPr="00750DBC">
        <w:rPr>
          <w:b w:val="0"/>
          <w:bCs/>
          <w:color w:val="auto"/>
          <w:sz w:val="22"/>
          <w:szCs w:val="20"/>
        </w:rPr>
        <w:t>39</w:t>
      </w:r>
      <w:r w:rsidR="008833E7" w:rsidRPr="00750DBC">
        <w:rPr>
          <w:b w:val="0"/>
          <w:bCs/>
          <w:color w:val="auto"/>
          <w:sz w:val="22"/>
          <w:szCs w:val="20"/>
        </w:rPr>
        <w:t xml:space="preserve"> </w:t>
      </w:r>
      <w:r w:rsidR="00D71D69" w:rsidRPr="00750DBC">
        <w:rPr>
          <w:b w:val="0"/>
          <w:bCs/>
          <w:color w:val="auto"/>
          <w:sz w:val="22"/>
          <w:szCs w:val="20"/>
        </w:rPr>
        <w:t>per 100,000</w:t>
      </w:r>
      <w:r w:rsidR="00304011">
        <w:rPr>
          <w:b w:val="0"/>
          <w:bCs/>
          <w:color w:val="auto"/>
          <w:sz w:val="22"/>
          <w:szCs w:val="20"/>
        </w:rPr>
        <w:t xml:space="preserve"> Australian</w:t>
      </w:r>
      <w:r w:rsidR="007F0B03" w:rsidRPr="00750DBC">
        <w:rPr>
          <w:b w:val="0"/>
          <w:bCs/>
          <w:color w:val="auto"/>
          <w:sz w:val="22"/>
          <w:szCs w:val="20"/>
        </w:rPr>
        <w:t xml:space="preserve"> m</w:t>
      </w:r>
      <w:r w:rsidR="00130DED" w:rsidRPr="00750DBC">
        <w:rPr>
          <w:b w:val="0"/>
          <w:bCs/>
          <w:color w:val="auto"/>
          <w:sz w:val="22"/>
          <w:szCs w:val="20"/>
        </w:rPr>
        <w:t>ales</w:t>
      </w:r>
      <w:r w:rsidR="007F0B03" w:rsidRPr="00750DBC">
        <w:rPr>
          <w:b w:val="0"/>
          <w:bCs/>
          <w:color w:val="auto"/>
          <w:sz w:val="22"/>
          <w:szCs w:val="20"/>
        </w:rPr>
        <w:t xml:space="preserve"> and </w:t>
      </w:r>
      <w:r w:rsidR="00130DED" w:rsidRPr="00750DBC">
        <w:rPr>
          <w:b w:val="0"/>
          <w:bCs/>
          <w:color w:val="auto"/>
          <w:sz w:val="22"/>
          <w:szCs w:val="20"/>
        </w:rPr>
        <w:t xml:space="preserve">100 per 100,000 </w:t>
      </w:r>
      <w:r w:rsidR="00130DED" w:rsidRPr="00750DBC">
        <w:rPr>
          <w:b w:val="0"/>
          <w:bCs/>
          <w:color w:val="auto"/>
          <w:sz w:val="22"/>
          <w:szCs w:val="20"/>
        </w:rPr>
        <w:lastRenderedPageBreak/>
        <w:t>Australian females</w:t>
      </w:r>
      <w:r w:rsidR="00643702" w:rsidRPr="006B2DCB">
        <w:rPr>
          <w:b w:val="0"/>
          <w:bCs/>
          <w:color w:val="auto"/>
          <w:sz w:val="22"/>
          <w:szCs w:val="20"/>
        </w:rPr>
        <w:t>.</w:t>
      </w:r>
      <w:r w:rsidR="003C7A42">
        <w:rPr>
          <w:rStyle w:val="FootnoteReference"/>
          <w:b w:val="0"/>
          <w:bCs/>
          <w:color w:val="auto"/>
          <w:sz w:val="22"/>
          <w:szCs w:val="20"/>
        </w:rPr>
        <w:footnoteReference w:id="8"/>
      </w:r>
      <w:r w:rsidR="00643702" w:rsidRPr="00750DBC">
        <w:rPr>
          <w:b w:val="0"/>
          <w:bCs/>
          <w:color w:val="auto"/>
          <w:sz w:val="22"/>
          <w:szCs w:val="20"/>
        </w:rPr>
        <w:t xml:space="preserve"> </w:t>
      </w:r>
      <w:r w:rsidR="000A6AF0" w:rsidRPr="00750DBC">
        <w:rPr>
          <w:b w:val="0"/>
          <w:bCs/>
          <w:color w:val="auto"/>
          <w:sz w:val="22"/>
          <w:szCs w:val="20"/>
        </w:rPr>
        <w:t xml:space="preserve">Ankle and knee spasticity were reported </w:t>
      </w:r>
      <w:r w:rsidR="00C27CCA" w:rsidRPr="00750DBC">
        <w:rPr>
          <w:b w:val="0"/>
          <w:bCs/>
          <w:color w:val="auto"/>
          <w:sz w:val="22"/>
          <w:szCs w:val="20"/>
        </w:rPr>
        <w:t xml:space="preserve">by 66% and 54% of stroke survivors, </w:t>
      </w:r>
      <w:r w:rsidR="00C27CCA" w:rsidRPr="006B2DCB">
        <w:rPr>
          <w:b w:val="0"/>
          <w:bCs/>
          <w:color w:val="auto"/>
          <w:sz w:val="22"/>
          <w:szCs w:val="20"/>
        </w:rPr>
        <w:t>respectively</w:t>
      </w:r>
      <w:r w:rsidR="0092197A" w:rsidRPr="006B2DCB">
        <w:rPr>
          <w:b w:val="0"/>
          <w:bCs/>
          <w:color w:val="auto"/>
          <w:sz w:val="22"/>
          <w:szCs w:val="20"/>
        </w:rPr>
        <w:t>.</w:t>
      </w:r>
      <w:r w:rsidR="00E87B75">
        <w:rPr>
          <w:rStyle w:val="FootnoteReference"/>
          <w:b w:val="0"/>
          <w:bCs/>
          <w:color w:val="auto"/>
          <w:sz w:val="22"/>
          <w:szCs w:val="20"/>
        </w:rPr>
        <w:footnoteReference w:id="9"/>
      </w:r>
    </w:p>
    <w:p w14:paraId="54DF98ED" w14:textId="7F018249" w:rsidR="00624EB3" w:rsidRPr="006B2DCB" w:rsidRDefault="00624EB3" w:rsidP="00502FFB">
      <w:pPr>
        <w:pStyle w:val="Guidelinescross-ref"/>
        <w:rPr>
          <w:b w:val="0"/>
          <w:bCs/>
          <w:color w:val="auto"/>
          <w:sz w:val="22"/>
          <w:szCs w:val="20"/>
        </w:rPr>
      </w:pPr>
      <w:r>
        <w:rPr>
          <w:b w:val="0"/>
          <w:bCs/>
          <w:color w:val="auto"/>
          <w:sz w:val="22"/>
          <w:szCs w:val="20"/>
        </w:rPr>
        <w:t xml:space="preserve">The Australian Stroke Foundation guidelines </w:t>
      </w:r>
      <w:r w:rsidR="00EF54CA">
        <w:rPr>
          <w:b w:val="0"/>
          <w:bCs/>
          <w:color w:val="auto"/>
          <w:sz w:val="22"/>
          <w:szCs w:val="20"/>
        </w:rPr>
        <w:t>recommend</w:t>
      </w:r>
      <w:r>
        <w:rPr>
          <w:b w:val="0"/>
          <w:bCs/>
          <w:color w:val="auto"/>
          <w:sz w:val="22"/>
          <w:szCs w:val="20"/>
        </w:rPr>
        <w:t xml:space="preserve"> that </w:t>
      </w:r>
      <w:r w:rsidR="00A6628D">
        <w:rPr>
          <w:b w:val="0"/>
          <w:bCs/>
          <w:color w:val="auto"/>
          <w:sz w:val="22"/>
          <w:szCs w:val="20"/>
        </w:rPr>
        <w:t>i</w:t>
      </w:r>
      <w:r w:rsidR="00EC720B">
        <w:rPr>
          <w:b w:val="0"/>
          <w:bCs/>
          <w:color w:val="auto"/>
          <w:sz w:val="22"/>
          <w:szCs w:val="20"/>
        </w:rPr>
        <w:t>nterventions to reduce spasticity should be considered when the level of spasticity interfer</w:t>
      </w:r>
      <w:r w:rsidR="00564F8C">
        <w:rPr>
          <w:b w:val="0"/>
          <w:bCs/>
          <w:color w:val="auto"/>
          <w:sz w:val="22"/>
          <w:szCs w:val="20"/>
        </w:rPr>
        <w:t>e</w:t>
      </w:r>
      <w:r w:rsidR="00EC720B">
        <w:rPr>
          <w:b w:val="0"/>
          <w:bCs/>
          <w:color w:val="auto"/>
          <w:sz w:val="22"/>
          <w:szCs w:val="20"/>
        </w:rPr>
        <w:t>s with activity or the ability to provide care</w:t>
      </w:r>
      <w:r w:rsidR="001579D9">
        <w:rPr>
          <w:b w:val="0"/>
          <w:bCs/>
          <w:color w:val="auto"/>
          <w:sz w:val="22"/>
          <w:szCs w:val="20"/>
        </w:rPr>
        <w:t xml:space="preserve">. For lower-limb </w:t>
      </w:r>
      <w:r w:rsidR="00564F8C">
        <w:rPr>
          <w:b w:val="0"/>
          <w:bCs/>
          <w:color w:val="auto"/>
          <w:sz w:val="22"/>
          <w:szCs w:val="20"/>
        </w:rPr>
        <w:t xml:space="preserve">spasticity, </w:t>
      </w:r>
      <w:r w:rsidR="001579D9">
        <w:rPr>
          <w:b w:val="0"/>
          <w:bCs/>
          <w:color w:val="auto"/>
          <w:sz w:val="22"/>
          <w:szCs w:val="20"/>
        </w:rPr>
        <w:t>the guidelines note that b</w:t>
      </w:r>
      <w:r w:rsidR="00564F8C">
        <w:rPr>
          <w:b w:val="0"/>
          <w:bCs/>
          <w:color w:val="auto"/>
          <w:sz w:val="22"/>
          <w:szCs w:val="20"/>
        </w:rPr>
        <w:t>otulinum toxin A</w:t>
      </w:r>
      <w:r w:rsidR="001579D9">
        <w:rPr>
          <w:b w:val="0"/>
          <w:bCs/>
          <w:color w:val="auto"/>
          <w:sz w:val="22"/>
          <w:szCs w:val="20"/>
        </w:rPr>
        <w:t>,</w:t>
      </w:r>
      <w:r w:rsidR="00564F8C">
        <w:rPr>
          <w:b w:val="0"/>
          <w:bCs/>
          <w:color w:val="auto"/>
          <w:sz w:val="22"/>
          <w:szCs w:val="20"/>
        </w:rPr>
        <w:t xml:space="preserve"> in addition to rehabilitation therapy</w:t>
      </w:r>
      <w:r w:rsidR="001579D9">
        <w:rPr>
          <w:b w:val="0"/>
          <w:bCs/>
          <w:color w:val="auto"/>
          <w:sz w:val="22"/>
          <w:szCs w:val="20"/>
        </w:rPr>
        <w:t>,</w:t>
      </w:r>
      <w:r w:rsidR="00564F8C">
        <w:rPr>
          <w:b w:val="0"/>
          <w:bCs/>
          <w:color w:val="auto"/>
          <w:sz w:val="22"/>
          <w:szCs w:val="20"/>
        </w:rPr>
        <w:t xml:space="preserve"> may be used to reduce spasticity</w:t>
      </w:r>
      <w:r w:rsidR="00FB4EFC">
        <w:rPr>
          <w:b w:val="0"/>
          <w:bCs/>
          <w:color w:val="auto"/>
          <w:sz w:val="22"/>
          <w:szCs w:val="20"/>
        </w:rPr>
        <w:t>,</w:t>
      </w:r>
      <w:r w:rsidR="00564F8C">
        <w:rPr>
          <w:b w:val="0"/>
          <w:bCs/>
          <w:color w:val="auto"/>
          <w:sz w:val="22"/>
          <w:szCs w:val="20"/>
        </w:rPr>
        <w:t xml:space="preserve"> </w:t>
      </w:r>
      <w:r w:rsidR="00FB4EFC">
        <w:rPr>
          <w:b w:val="0"/>
          <w:bCs/>
          <w:color w:val="auto"/>
          <w:sz w:val="22"/>
          <w:szCs w:val="20"/>
        </w:rPr>
        <w:t>although it</w:t>
      </w:r>
      <w:r w:rsidR="00564F8C">
        <w:rPr>
          <w:b w:val="0"/>
          <w:bCs/>
          <w:color w:val="auto"/>
          <w:sz w:val="22"/>
          <w:szCs w:val="20"/>
        </w:rPr>
        <w:t xml:space="preserve"> is unlikely to improve</w:t>
      </w:r>
      <w:r w:rsidR="00196FB7">
        <w:rPr>
          <w:b w:val="0"/>
          <w:bCs/>
          <w:color w:val="auto"/>
          <w:sz w:val="22"/>
          <w:szCs w:val="20"/>
        </w:rPr>
        <w:t xml:space="preserve"> motor function or walking</w:t>
      </w:r>
      <w:r w:rsidR="00FB4EFC">
        <w:rPr>
          <w:b w:val="0"/>
          <w:bCs/>
          <w:color w:val="auto"/>
          <w:sz w:val="22"/>
          <w:szCs w:val="20"/>
        </w:rPr>
        <w:t xml:space="preserve"> outcomes</w:t>
      </w:r>
      <w:r w:rsidR="00196FB7">
        <w:rPr>
          <w:b w:val="0"/>
          <w:bCs/>
          <w:color w:val="auto"/>
          <w:sz w:val="22"/>
          <w:szCs w:val="20"/>
        </w:rPr>
        <w:t>.</w:t>
      </w:r>
      <w:r w:rsidR="00207298">
        <w:rPr>
          <w:rStyle w:val="FootnoteReference"/>
          <w:b w:val="0"/>
          <w:bCs/>
          <w:color w:val="auto"/>
          <w:sz w:val="22"/>
          <w:szCs w:val="20"/>
        </w:rPr>
        <w:footnoteReference w:id="10"/>
      </w:r>
      <w:r w:rsidR="00196FB7">
        <w:rPr>
          <w:b w:val="0"/>
          <w:bCs/>
          <w:color w:val="auto"/>
          <w:sz w:val="22"/>
          <w:szCs w:val="20"/>
        </w:rPr>
        <w:t xml:space="preserve"> </w:t>
      </w:r>
    </w:p>
    <w:p w14:paraId="66BDFCC1" w14:textId="7453F480" w:rsidR="00772829" w:rsidRPr="00CE28E3" w:rsidRDefault="00772829" w:rsidP="00EB3CE8">
      <w:pPr>
        <w:pStyle w:val="Heading2"/>
        <w:numPr>
          <w:ilvl w:val="0"/>
          <w:numId w:val="13"/>
        </w:numPr>
        <w:ind w:hanging="720"/>
      </w:pPr>
      <w:bookmarkStart w:id="13" w:name="_Toc69491420"/>
      <w:r w:rsidRPr="00CE28E3">
        <w:t>Comparator</w:t>
      </w:r>
      <w:bookmarkEnd w:id="13"/>
    </w:p>
    <w:p w14:paraId="63AF9143" w14:textId="440F723E" w:rsidR="00D5299C" w:rsidRDefault="0083428F" w:rsidP="00E76AE0">
      <w:pPr>
        <w:pStyle w:val="Instructionaltext"/>
        <w:rPr>
          <w:iCs/>
          <w:color w:val="auto"/>
          <w:szCs w:val="24"/>
        </w:rPr>
      </w:pPr>
      <w:r>
        <w:rPr>
          <w:iCs/>
          <w:color w:val="auto"/>
          <w:szCs w:val="24"/>
        </w:rPr>
        <w:t xml:space="preserve">In this application, </w:t>
      </w:r>
      <w:r w:rsidR="003A309B">
        <w:rPr>
          <w:iCs/>
          <w:color w:val="auto"/>
          <w:szCs w:val="24"/>
        </w:rPr>
        <w:t>Boto</w:t>
      </w:r>
      <w:r w:rsidR="00DD49AE">
        <w:rPr>
          <w:iCs/>
          <w:color w:val="auto"/>
          <w:szCs w:val="24"/>
        </w:rPr>
        <w:t>x</w:t>
      </w:r>
      <w:r w:rsidR="008E6EC3">
        <w:rPr>
          <w:iCs/>
          <w:color w:val="auto"/>
          <w:szCs w:val="24"/>
        </w:rPr>
        <w:t xml:space="preserve"> is the </w:t>
      </w:r>
      <w:r w:rsidR="004D0F9B">
        <w:rPr>
          <w:iCs/>
          <w:color w:val="auto"/>
          <w:szCs w:val="24"/>
        </w:rPr>
        <w:t xml:space="preserve">main </w:t>
      </w:r>
      <w:r w:rsidR="008E6EC3">
        <w:rPr>
          <w:iCs/>
          <w:color w:val="auto"/>
          <w:szCs w:val="24"/>
        </w:rPr>
        <w:t xml:space="preserve">comparator </w:t>
      </w:r>
      <w:r w:rsidR="00334DA1">
        <w:rPr>
          <w:iCs/>
          <w:color w:val="auto"/>
          <w:szCs w:val="24"/>
        </w:rPr>
        <w:t>and Dysport is the secondary comparator</w:t>
      </w:r>
      <w:r w:rsidR="00F6206F">
        <w:rPr>
          <w:iCs/>
          <w:color w:val="auto"/>
          <w:szCs w:val="24"/>
        </w:rPr>
        <w:t>.</w:t>
      </w:r>
      <w:r w:rsidR="00603C7B">
        <w:rPr>
          <w:iCs/>
          <w:color w:val="auto"/>
          <w:szCs w:val="24"/>
        </w:rPr>
        <w:t xml:space="preserve"> </w:t>
      </w:r>
    </w:p>
    <w:p w14:paraId="2225A0E5" w14:textId="77777777" w:rsidR="007A135E" w:rsidRPr="005B6EFD" w:rsidRDefault="007A135E" w:rsidP="00EB3CE8">
      <w:pPr>
        <w:pStyle w:val="Heading2"/>
        <w:numPr>
          <w:ilvl w:val="0"/>
          <w:numId w:val="13"/>
        </w:numPr>
        <w:ind w:hanging="720"/>
      </w:pPr>
      <w:r w:rsidRPr="005B6EFD">
        <w:t xml:space="preserve">Summary of public consultation input </w:t>
      </w:r>
    </w:p>
    <w:p w14:paraId="189A3741" w14:textId="77777777" w:rsidR="007A135E" w:rsidRPr="005B6EFD" w:rsidRDefault="007A135E" w:rsidP="007A135E">
      <w:r w:rsidRPr="005B6EFD">
        <w:t xml:space="preserve">Consultation input was welcomed from: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0"/>
        <w:gridCol w:w="1230"/>
      </w:tblGrid>
      <w:tr w:rsidR="00EB3CE8" w:rsidRPr="00EB3CE8" w14:paraId="5089938C" w14:textId="77777777" w:rsidTr="00EB3CE8">
        <w:trPr>
          <w:trHeight w:val="619"/>
        </w:trPr>
        <w:tc>
          <w:tcPr>
            <w:tcW w:w="7780" w:type="dxa"/>
            <w:tcBorders>
              <w:top w:val="single" w:sz="6" w:space="0" w:color="000000"/>
              <w:left w:val="single" w:sz="6" w:space="0" w:color="000000"/>
              <w:bottom w:val="single" w:sz="6" w:space="0" w:color="auto"/>
              <w:right w:val="single" w:sz="6" w:space="0" w:color="auto"/>
            </w:tcBorders>
            <w:shd w:val="clear" w:color="auto" w:fill="D1D1D1"/>
            <w:vAlign w:val="center"/>
            <w:hideMark/>
          </w:tcPr>
          <w:p w14:paraId="56AE42F6" w14:textId="77777777" w:rsidR="00EB3CE8" w:rsidRPr="00EB3CE8" w:rsidRDefault="00EB3CE8" w:rsidP="00EB3CE8">
            <w:pPr>
              <w:pStyle w:val="Instructionaltext"/>
              <w:spacing w:before="40" w:after="40"/>
              <w:rPr>
                <w:iCs/>
                <w:color w:val="auto"/>
                <w:szCs w:val="24"/>
              </w:rPr>
            </w:pPr>
            <w:r w:rsidRPr="00EB3CE8">
              <w:rPr>
                <w:b/>
                <w:bCs/>
                <w:iCs/>
                <w:color w:val="auto"/>
                <w:szCs w:val="24"/>
              </w:rPr>
              <w:t>1817 – </w:t>
            </w:r>
            <w:proofErr w:type="spellStart"/>
            <w:r w:rsidRPr="00EB3CE8">
              <w:rPr>
                <w:b/>
                <w:bCs/>
                <w:iCs/>
                <w:color w:val="auto"/>
                <w:szCs w:val="24"/>
              </w:rPr>
              <w:t>Xeomin</w:t>
            </w:r>
            <w:proofErr w:type="spellEnd"/>
            <w:r w:rsidRPr="00EB3CE8">
              <w:rPr>
                <w:b/>
                <w:bCs/>
                <w:iCs/>
                <w:color w:val="auto"/>
                <w:szCs w:val="24"/>
              </w:rPr>
              <w:t> (incobotulinumtoxinA) injection codes for lower limb spasticity following an acute event</w:t>
            </w:r>
            <w:r w:rsidRPr="00EB3CE8">
              <w:rPr>
                <w:iCs/>
                <w:color w:val="auto"/>
                <w:szCs w:val="24"/>
              </w:rPr>
              <w:t> </w:t>
            </w:r>
          </w:p>
        </w:tc>
        <w:tc>
          <w:tcPr>
            <w:tcW w:w="1230" w:type="dxa"/>
            <w:tcBorders>
              <w:top w:val="single" w:sz="6" w:space="0" w:color="000000"/>
              <w:left w:val="nil"/>
              <w:bottom w:val="single" w:sz="6" w:space="0" w:color="auto"/>
              <w:right w:val="single" w:sz="6" w:space="0" w:color="000000"/>
            </w:tcBorders>
            <w:shd w:val="clear" w:color="auto" w:fill="D1D1D1"/>
            <w:vAlign w:val="center"/>
            <w:hideMark/>
          </w:tcPr>
          <w:p w14:paraId="764BAF1B" w14:textId="77777777" w:rsidR="00EB3CE8" w:rsidRPr="00EB3CE8" w:rsidRDefault="00EB3CE8" w:rsidP="00EB3CE8">
            <w:pPr>
              <w:pStyle w:val="Instructionaltext"/>
              <w:spacing w:before="40" w:after="40"/>
              <w:rPr>
                <w:iCs/>
                <w:color w:val="auto"/>
                <w:szCs w:val="24"/>
              </w:rPr>
            </w:pPr>
            <w:r w:rsidRPr="00EB3CE8">
              <w:rPr>
                <w:b/>
                <w:bCs/>
                <w:iCs/>
                <w:color w:val="auto"/>
                <w:szCs w:val="24"/>
              </w:rPr>
              <w:t>No. of Inputs Received</w:t>
            </w:r>
            <w:r w:rsidRPr="00EB3CE8">
              <w:rPr>
                <w:rFonts w:ascii="Arial" w:hAnsi="Arial" w:cs="Arial"/>
                <w:iCs/>
                <w:color w:val="auto"/>
                <w:szCs w:val="24"/>
              </w:rPr>
              <w:t> </w:t>
            </w:r>
            <w:r w:rsidRPr="00EB3CE8">
              <w:rPr>
                <w:iCs/>
                <w:color w:val="auto"/>
                <w:szCs w:val="24"/>
              </w:rPr>
              <w:t> </w:t>
            </w:r>
          </w:p>
        </w:tc>
      </w:tr>
      <w:tr w:rsidR="00EB3CE8" w:rsidRPr="00EB3CE8" w14:paraId="767513B2" w14:textId="77777777" w:rsidTr="00EB3CE8">
        <w:trPr>
          <w:trHeight w:val="259"/>
        </w:trPr>
        <w:tc>
          <w:tcPr>
            <w:tcW w:w="9010" w:type="dxa"/>
            <w:gridSpan w:val="2"/>
            <w:tcBorders>
              <w:top w:val="single" w:sz="6" w:space="0" w:color="auto"/>
              <w:left w:val="single" w:sz="6" w:space="0" w:color="000000"/>
              <w:bottom w:val="single" w:sz="6" w:space="0" w:color="auto"/>
              <w:right w:val="single" w:sz="6" w:space="0" w:color="000000"/>
            </w:tcBorders>
            <w:shd w:val="clear" w:color="auto" w:fill="E8E8E8"/>
            <w:vAlign w:val="center"/>
            <w:hideMark/>
          </w:tcPr>
          <w:p w14:paraId="48EE3BB3" w14:textId="77777777" w:rsidR="00EB3CE8" w:rsidRPr="00EB3CE8" w:rsidRDefault="00EB3CE8" w:rsidP="00EB3CE8">
            <w:pPr>
              <w:pStyle w:val="Instructionaltext"/>
              <w:spacing w:before="40" w:after="40"/>
              <w:rPr>
                <w:iCs/>
                <w:color w:val="auto"/>
                <w:szCs w:val="24"/>
              </w:rPr>
            </w:pPr>
            <w:r w:rsidRPr="00EB3CE8">
              <w:rPr>
                <w:b/>
                <w:bCs/>
                <w:iCs/>
                <w:color w:val="auto"/>
                <w:szCs w:val="24"/>
              </w:rPr>
              <w:t>Organisations (2)</w:t>
            </w:r>
            <w:r w:rsidRPr="00EB3CE8">
              <w:rPr>
                <w:rFonts w:ascii="Arial" w:hAnsi="Arial" w:cs="Arial"/>
                <w:iCs/>
                <w:color w:val="auto"/>
                <w:szCs w:val="24"/>
              </w:rPr>
              <w:t> </w:t>
            </w:r>
            <w:r w:rsidRPr="00EB3CE8">
              <w:rPr>
                <w:iCs/>
                <w:color w:val="auto"/>
                <w:szCs w:val="24"/>
              </w:rPr>
              <w:t> </w:t>
            </w:r>
          </w:p>
        </w:tc>
      </w:tr>
      <w:tr w:rsidR="00EB3CE8" w:rsidRPr="00EB3CE8" w14:paraId="1CBAF0B5" w14:textId="77777777" w:rsidTr="00EB3CE8">
        <w:trPr>
          <w:trHeight w:val="750"/>
        </w:trPr>
        <w:tc>
          <w:tcPr>
            <w:tcW w:w="7780" w:type="dxa"/>
            <w:tcBorders>
              <w:top w:val="nil"/>
              <w:left w:val="single" w:sz="6" w:space="0" w:color="000000"/>
              <w:bottom w:val="single" w:sz="6" w:space="0" w:color="auto"/>
              <w:right w:val="single" w:sz="6" w:space="0" w:color="auto"/>
            </w:tcBorders>
            <w:vAlign w:val="center"/>
            <w:hideMark/>
          </w:tcPr>
          <w:p w14:paraId="0481936C" w14:textId="77777777" w:rsidR="00EB3CE8" w:rsidRPr="00EB3CE8" w:rsidRDefault="00EB3CE8" w:rsidP="00EB3CE8">
            <w:pPr>
              <w:pStyle w:val="Instructionaltext"/>
              <w:spacing w:before="40" w:after="40"/>
              <w:rPr>
                <w:iCs/>
                <w:color w:val="auto"/>
                <w:szCs w:val="24"/>
              </w:rPr>
            </w:pPr>
            <w:r w:rsidRPr="00EB3CE8">
              <w:rPr>
                <w:iCs/>
                <w:color w:val="auto"/>
                <w:szCs w:val="24"/>
              </w:rPr>
              <w:t>I am providing input on behalf of a consumer group or organisation. Consumer organisations are not-for-profit organisations representing the interests of healthcare consumers, their families and carers.</w:t>
            </w:r>
            <w:r w:rsidRPr="00EB3CE8">
              <w:rPr>
                <w:rFonts w:ascii="Arial" w:hAnsi="Arial" w:cs="Arial"/>
                <w:iCs/>
                <w:color w:val="auto"/>
                <w:szCs w:val="24"/>
              </w:rPr>
              <w:t> </w:t>
            </w:r>
            <w:r w:rsidRPr="00EB3CE8">
              <w:rPr>
                <w:iCs/>
                <w:color w:val="auto"/>
                <w:szCs w:val="24"/>
              </w:rPr>
              <w:t> </w:t>
            </w:r>
          </w:p>
        </w:tc>
        <w:tc>
          <w:tcPr>
            <w:tcW w:w="1230" w:type="dxa"/>
            <w:tcBorders>
              <w:top w:val="nil"/>
              <w:left w:val="nil"/>
              <w:bottom w:val="single" w:sz="6" w:space="0" w:color="auto"/>
              <w:right w:val="single" w:sz="6" w:space="0" w:color="000000"/>
            </w:tcBorders>
            <w:vAlign w:val="center"/>
            <w:hideMark/>
          </w:tcPr>
          <w:p w14:paraId="7A013E2B" w14:textId="77777777" w:rsidR="00EB3CE8" w:rsidRPr="00EB3CE8" w:rsidRDefault="00EB3CE8" w:rsidP="00EB3CE8">
            <w:pPr>
              <w:pStyle w:val="Instructionaltext"/>
              <w:spacing w:before="40" w:after="40"/>
              <w:rPr>
                <w:iCs/>
                <w:color w:val="auto"/>
                <w:szCs w:val="24"/>
              </w:rPr>
            </w:pPr>
            <w:r w:rsidRPr="00EB3CE8">
              <w:rPr>
                <w:iCs/>
                <w:color w:val="auto"/>
                <w:szCs w:val="24"/>
              </w:rPr>
              <w:t>1 </w:t>
            </w:r>
          </w:p>
        </w:tc>
      </w:tr>
      <w:tr w:rsidR="00EB3CE8" w:rsidRPr="00EB3CE8" w14:paraId="65082775" w14:textId="77777777" w:rsidTr="00EB3CE8">
        <w:trPr>
          <w:trHeight w:val="750"/>
        </w:trPr>
        <w:tc>
          <w:tcPr>
            <w:tcW w:w="7780" w:type="dxa"/>
            <w:tcBorders>
              <w:top w:val="nil"/>
              <w:left w:val="single" w:sz="6" w:space="0" w:color="000000"/>
              <w:bottom w:val="single" w:sz="6" w:space="0" w:color="auto"/>
              <w:right w:val="single" w:sz="6" w:space="0" w:color="auto"/>
            </w:tcBorders>
            <w:vAlign w:val="center"/>
            <w:hideMark/>
          </w:tcPr>
          <w:p w14:paraId="4AB1179C" w14:textId="77777777" w:rsidR="00EB3CE8" w:rsidRPr="00EB3CE8" w:rsidRDefault="00EB3CE8" w:rsidP="00EB3CE8">
            <w:pPr>
              <w:pStyle w:val="Instructionaltext"/>
              <w:spacing w:before="40" w:after="40"/>
              <w:rPr>
                <w:iCs/>
                <w:color w:val="auto"/>
                <w:szCs w:val="24"/>
              </w:rPr>
            </w:pPr>
            <w:r w:rsidRPr="00EB3CE8">
              <w:rPr>
                <w:iCs/>
                <w:color w:val="auto"/>
                <w:szCs w:val="24"/>
              </w:rPr>
              <w:t>I am providing input on behalf of a medical, health, or other (non-consumer) organisation. For example, input on behalf of a group of clinicians, research organisation, professional college, or from an organisation that produces a similar service or technology.</w:t>
            </w:r>
            <w:r w:rsidRPr="00EB3CE8">
              <w:rPr>
                <w:rFonts w:ascii="Arial" w:hAnsi="Arial" w:cs="Arial"/>
                <w:iCs/>
                <w:color w:val="auto"/>
                <w:szCs w:val="24"/>
              </w:rPr>
              <w:t> </w:t>
            </w:r>
            <w:r w:rsidRPr="00EB3CE8">
              <w:rPr>
                <w:iCs/>
                <w:color w:val="auto"/>
                <w:szCs w:val="24"/>
              </w:rPr>
              <w:t> </w:t>
            </w:r>
          </w:p>
        </w:tc>
        <w:tc>
          <w:tcPr>
            <w:tcW w:w="1230" w:type="dxa"/>
            <w:tcBorders>
              <w:top w:val="nil"/>
              <w:left w:val="nil"/>
              <w:bottom w:val="single" w:sz="6" w:space="0" w:color="auto"/>
              <w:right w:val="single" w:sz="6" w:space="0" w:color="000000"/>
            </w:tcBorders>
            <w:vAlign w:val="center"/>
            <w:hideMark/>
          </w:tcPr>
          <w:p w14:paraId="06E39CEF" w14:textId="77777777" w:rsidR="00EB3CE8" w:rsidRPr="00EB3CE8" w:rsidRDefault="00EB3CE8" w:rsidP="00EB3CE8">
            <w:pPr>
              <w:pStyle w:val="Instructionaltext"/>
              <w:spacing w:before="40" w:after="40"/>
              <w:rPr>
                <w:iCs/>
                <w:color w:val="auto"/>
                <w:szCs w:val="24"/>
              </w:rPr>
            </w:pPr>
            <w:r w:rsidRPr="00EB3CE8">
              <w:rPr>
                <w:iCs/>
                <w:color w:val="auto"/>
                <w:szCs w:val="24"/>
              </w:rPr>
              <w:t>1 </w:t>
            </w:r>
          </w:p>
        </w:tc>
      </w:tr>
      <w:tr w:rsidR="00EB3CE8" w:rsidRPr="00EB3CE8" w14:paraId="6AE9833B" w14:textId="77777777" w:rsidTr="00EB3CE8">
        <w:trPr>
          <w:trHeight w:val="300"/>
        </w:trPr>
        <w:tc>
          <w:tcPr>
            <w:tcW w:w="9010" w:type="dxa"/>
            <w:gridSpan w:val="2"/>
            <w:tcBorders>
              <w:top w:val="single" w:sz="6" w:space="0" w:color="auto"/>
              <w:left w:val="single" w:sz="6" w:space="0" w:color="000000"/>
              <w:bottom w:val="single" w:sz="6" w:space="0" w:color="auto"/>
              <w:right w:val="single" w:sz="6" w:space="0" w:color="000000"/>
            </w:tcBorders>
            <w:shd w:val="clear" w:color="auto" w:fill="E8E8E8"/>
            <w:vAlign w:val="center"/>
            <w:hideMark/>
          </w:tcPr>
          <w:p w14:paraId="04DE9AE9" w14:textId="76AC7FDA" w:rsidR="00EB3CE8" w:rsidRPr="00EB3CE8" w:rsidRDefault="00EB3CE8" w:rsidP="00EB3CE8">
            <w:pPr>
              <w:pStyle w:val="Instructionaltext"/>
              <w:spacing w:before="40" w:after="40"/>
              <w:rPr>
                <w:iCs/>
                <w:color w:val="auto"/>
                <w:szCs w:val="24"/>
              </w:rPr>
            </w:pPr>
            <w:r w:rsidRPr="00EB3CE8">
              <w:rPr>
                <w:iCs/>
                <w:color w:val="auto"/>
                <w:szCs w:val="24"/>
              </w:rPr>
              <w:t> </w:t>
            </w:r>
            <w:r w:rsidR="00DE4263" w:rsidRPr="00DE4263">
              <w:rPr>
                <w:b/>
                <w:bCs/>
                <w:iCs/>
                <w:color w:val="auto"/>
                <w:szCs w:val="24"/>
              </w:rPr>
              <w:t>Health Professionals (1)</w:t>
            </w:r>
            <w:r w:rsidR="00DE4263" w:rsidRPr="00DE4263">
              <w:rPr>
                <w:rFonts w:ascii="Arial" w:hAnsi="Arial" w:cs="Arial"/>
                <w:iCs/>
                <w:color w:val="auto"/>
                <w:szCs w:val="24"/>
              </w:rPr>
              <w:t> </w:t>
            </w:r>
            <w:r w:rsidR="00DE4263" w:rsidRPr="00DE4263">
              <w:rPr>
                <w:iCs/>
                <w:color w:val="auto"/>
                <w:szCs w:val="24"/>
              </w:rPr>
              <w:t> </w:t>
            </w:r>
          </w:p>
        </w:tc>
      </w:tr>
      <w:tr w:rsidR="00EB3CE8" w:rsidRPr="00EB3CE8" w14:paraId="6BA22112" w14:textId="77777777" w:rsidTr="00EB3CE8">
        <w:trPr>
          <w:trHeight w:val="300"/>
        </w:trPr>
        <w:tc>
          <w:tcPr>
            <w:tcW w:w="7780" w:type="dxa"/>
            <w:tcBorders>
              <w:top w:val="nil"/>
              <w:left w:val="single" w:sz="6" w:space="0" w:color="000000"/>
              <w:bottom w:val="single" w:sz="6" w:space="0" w:color="auto"/>
              <w:right w:val="single" w:sz="6" w:space="0" w:color="auto"/>
            </w:tcBorders>
            <w:vAlign w:val="center"/>
            <w:hideMark/>
          </w:tcPr>
          <w:p w14:paraId="1B5C5D2E" w14:textId="77777777" w:rsidR="00EB3CE8" w:rsidRPr="00EB3CE8" w:rsidRDefault="00EB3CE8" w:rsidP="00EB3CE8">
            <w:pPr>
              <w:pStyle w:val="Instructionaltext"/>
              <w:spacing w:before="40" w:after="40"/>
              <w:rPr>
                <w:iCs/>
                <w:color w:val="auto"/>
                <w:szCs w:val="24"/>
              </w:rPr>
            </w:pPr>
            <w:r w:rsidRPr="00EB3CE8">
              <w:rPr>
                <w:iCs/>
                <w:color w:val="auto"/>
                <w:szCs w:val="24"/>
              </w:rPr>
              <w:t>I am a health professional or health academic working in the area.</w:t>
            </w:r>
            <w:r w:rsidRPr="00EB3CE8">
              <w:rPr>
                <w:rFonts w:ascii="Arial" w:hAnsi="Arial" w:cs="Arial"/>
                <w:iCs/>
                <w:color w:val="auto"/>
                <w:szCs w:val="24"/>
              </w:rPr>
              <w:t> </w:t>
            </w:r>
            <w:r w:rsidRPr="00EB3CE8">
              <w:rPr>
                <w:iCs/>
                <w:color w:val="auto"/>
                <w:szCs w:val="24"/>
              </w:rPr>
              <w:t> </w:t>
            </w:r>
          </w:p>
        </w:tc>
        <w:tc>
          <w:tcPr>
            <w:tcW w:w="1230" w:type="dxa"/>
            <w:tcBorders>
              <w:top w:val="nil"/>
              <w:left w:val="nil"/>
              <w:bottom w:val="single" w:sz="6" w:space="0" w:color="auto"/>
              <w:right w:val="single" w:sz="6" w:space="0" w:color="000000"/>
            </w:tcBorders>
            <w:vAlign w:val="center"/>
            <w:hideMark/>
          </w:tcPr>
          <w:p w14:paraId="416F732B" w14:textId="77777777" w:rsidR="00EB3CE8" w:rsidRPr="00EB3CE8" w:rsidRDefault="00EB3CE8" w:rsidP="00EB3CE8">
            <w:pPr>
              <w:pStyle w:val="Instructionaltext"/>
              <w:spacing w:before="40" w:after="40"/>
              <w:rPr>
                <w:iCs/>
                <w:color w:val="auto"/>
                <w:szCs w:val="24"/>
              </w:rPr>
            </w:pPr>
            <w:r w:rsidRPr="00EB3CE8">
              <w:rPr>
                <w:iCs/>
                <w:color w:val="auto"/>
                <w:szCs w:val="24"/>
              </w:rPr>
              <w:t>1 </w:t>
            </w:r>
          </w:p>
        </w:tc>
      </w:tr>
      <w:tr w:rsidR="00EB3CE8" w:rsidRPr="00EB3CE8" w14:paraId="2D8EEC5C" w14:textId="77777777" w:rsidTr="00EB3CE8">
        <w:trPr>
          <w:trHeight w:val="285"/>
        </w:trPr>
        <w:tc>
          <w:tcPr>
            <w:tcW w:w="7780" w:type="dxa"/>
            <w:tcBorders>
              <w:top w:val="nil"/>
              <w:left w:val="single" w:sz="6" w:space="0" w:color="000000"/>
              <w:bottom w:val="single" w:sz="6" w:space="0" w:color="000000"/>
              <w:right w:val="single" w:sz="6" w:space="0" w:color="auto"/>
            </w:tcBorders>
            <w:vAlign w:val="center"/>
            <w:hideMark/>
          </w:tcPr>
          <w:p w14:paraId="63194380" w14:textId="77777777" w:rsidR="00EB3CE8" w:rsidRPr="00EB3CE8" w:rsidRDefault="00EB3CE8" w:rsidP="00EB3CE8">
            <w:pPr>
              <w:pStyle w:val="Instructionaltext"/>
              <w:spacing w:before="40" w:after="40"/>
              <w:rPr>
                <w:iCs/>
                <w:color w:val="auto"/>
                <w:szCs w:val="24"/>
              </w:rPr>
            </w:pPr>
            <w:r w:rsidRPr="00EB3CE8">
              <w:rPr>
                <w:b/>
                <w:bCs/>
                <w:iCs/>
                <w:color w:val="auto"/>
                <w:szCs w:val="24"/>
              </w:rPr>
              <w:t>Grand Total</w:t>
            </w:r>
            <w:r w:rsidRPr="00EB3CE8">
              <w:rPr>
                <w:rFonts w:ascii="Arial" w:hAnsi="Arial" w:cs="Arial"/>
                <w:iCs/>
                <w:color w:val="auto"/>
                <w:szCs w:val="24"/>
              </w:rPr>
              <w:t> </w:t>
            </w:r>
            <w:r w:rsidRPr="00EB3CE8">
              <w:rPr>
                <w:iCs/>
                <w:color w:val="auto"/>
                <w:szCs w:val="24"/>
              </w:rPr>
              <w:t> </w:t>
            </w:r>
          </w:p>
        </w:tc>
        <w:tc>
          <w:tcPr>
            <w:tcW w:w="1230" w:type="dxa"/>
            <w:tcBorders>
              <w:top w:val="nil"/>
              <w:left w:val="nil"/>
              <w:bottom w:val="single" w:sz="6" w:space="0" w:color="000000"/>
              <w:right w:val="single" w:sz="6" w:space="0" w:color="000000"/>
            </w:tcBorders>
            <w:vAlign w:val="center"/>
            <w:hideMark/>
          </w:tcPr>
          <w:p w14:paraId="5B3F7C43" w14:textId="77777777" w:rsidR="00EB3CE8" w:rsidRPr="00EB3CE8" w:rsidRDefault="00EB3CE8" w:rsidP="00EB3CE8">
            <w:pPr>
              <w:pStyle w:val="Instructionaltext"/>
              <w:spacing w:before="40" w:after="40"/>
              <w:rPr>
                <w:iCs/>
                <w:color w:val="auto"/>
                <w:szCs w:val="24"/>
              </w:rPr>
            </w:pPr>
            <w:r w:rsidRPr="00EB3CE8">
              <w:rPr>
                <w:b/>
                <w:bCs/>
                <w:iCs/>
                <w:color w:val="auto"/>
                <w:szCs w:val="24"/>
              </w:rPr>
              <w:t>3</w:t>
            </w:r>
            <w:r w:rsidRPr="00EB3CE8">
              <w:rPr>
                <w:iCs/>
                <w:color w:val="auto"/>
                <w:szCs w:val="24"/>
              </w:rPr>
              <w:t> </w:t>
            </w:r>
          </w:p>
        </w:tc>
      </w:tr>
    </w:tbl>
    <w:p w14:paraId="5F0E4CFA" w14:textId="77777777" w:rsidR="00EB3CE8" w:rsidRPr="00EB3CE8" w:rsidRDefault="00EB3CE8" w:rsidP="00EB3CE8">
      <w:pPr>
        <w:pStyle w:val="Instructionaltext"/>
        <w:rPr>
          <w:iCs/>
          <w:color w:val="auto"/>
          <w:szCs w:val="24"/>
        </w:rPr>
      </w:pPr>
      <w:r w:rsidRPr="00EB3CE8">
        <w:rPr>
          <w:iCs/>
          <w:color w:val="auto"/>
          <w:szCs w:val="24"/>
        </w:rPr>
        <w:t>MSAC received consultation input from two organisations and one health practitioner. The organisations who provided input were: </w:t>
      </w:r>
    </w:p>
    <w:p w14:paraId="42ABFE91" w14:textId="77777777" w:rsidR="00EB3CE8" w:rsidRPr="00EB3CE8" w:rsidRDefault="00EB3CE8" w:rsidP="00EB3CE8">
      <w:pPr>
        <w:pStyle w:val="Instructionaltext"/>
        <w:numPr>
          <w:ilvl w:val="0"/>
          <w:numId w:val="14"/>
        </w:numPr>
        <w:spacing w:after="0"/>
        <w:rPr>
          <w:iCs/>
          <w:color w:val="auto"/>
          <w:szCs w:val="24"/>
        </w:rPr>
      </w:pPr>
      <w:r w:rsidRPr="00EB3CE8">
        <w:rPr>
          <w:iCs/>
          <w:color w:val="auto"/>
          <w:szCs w:val="24"/>
        </w:rPr>
        <w:t>Stroke Foundation </w:t>
      </w:r>
    </w:p>
    <w:p w14:paraId="5B51E228" w14:textId="77777777" w:rsidR="00EB3CE8" w:rsidRPr="00EB3CE8" w:rsidRDefault="00EB3CE8" w:rsidP="00EB3CE8">
      <w:pPr>
        <w:pStyle w:val="Instructionaltext"/>
        <w:numPr>
          <w:ilvl w:val="0"/>
          <w:numId w:val="15"/>
        </w:numPr>
        <w:spacing w:before="0" w:after="240"/>
        <w:ind w:left="714" w:hanging="357"/>
        <w:rPr>
          <w:iCs/>
          <w:color w:val="auto"/>
          <w:szCs w:val="24"/>
        </w:rPr>
      </w:pPr>
      <w:r w:rsidRPr="00EB3CE8">
        <w:rPr>
          <w:iCs/>
          <w:color w:val="auto"/>
          <w:szCs w:val="24"/>
        </w:rPr>
        <w:t>Rehabilitation Medicine Society of Australia and New Zealand </w:t>
      </w:r>
    </w:p>
    <w:p w14:paraId="6F5DFE6E" w14:textId="77777777" w:rsidR="00EB3CE8" w:rsidRPr="00EB3CE8" w:rsidRDefault="00EB3CE8" w:rsidP="00EB3CE8">
      <w:pPr>
        <w:pStyle w:val="Instructionaltext"/>
        <w:rPr>
          <w:iCs/>
          <w:color w:val="auto"/>
          <w:szCs w:val="24"/>
        </w:rPr>
      </w:pPr>
      <w:r w:rsidRPr="00EB3CE8">
        <w:rPr>
          <w:b/>
          <w:bCs/>
          <w:iCs/>
          <w:color w:val="auto"/>
          <w:szCs w:val="24"/>
        </w:rPr>
        <w:t>Level of support for public funding </w:t>
      </w:r>
      <w:r w:rsidRPr="00EB3CE8">
        <w:rPr>
          <w:iCs/>
          <w:color w:val="auto"/>
          <w:szCs w:val="24"/>
        </w:rPr>
        <w:t> </w:t>
      </w:r>
    </w:p>
    <w:p w14:paraId="2CB194F0" w14:textId="17C9F2F8" w:rsidR="00EB3CE8" w:rsidRPr="00EB3CE8" w:rsidRDefault="00EB3CE8" w:rsidP="00EB3CE8">
      <w:pPr>
        <w:pStyle w:val="Instructionaltext"/>
        <w:rPr>
          <w:iCs/>
          <w:color w:val="auto"/>
          <w:szCs w:val="24"/>
        </w:rPr>
      </w:pPr>
      <w:r w:rsidRPr="00EB3CE8">
        <w:rPr>
          <w:iCs/>
          <w:color w:val="auto"/>
          <w:szCs w:val="24"/>
        </w:rPr>
        <w:t>Consultation input was supportive of public funding of </w:t>
      </w:r>
      <w:proofErr w:type="spellStart"/>
      <w:r w:rsidRPr="00EB3CE8">
        <w:rPr>
          <w:iCs/>
          <w:color w:val="auto"/>
          <w:szCs w:val="24"/>
        </w:rPr>
        <w:t>Xeomin</w:t>
      </w:r>
      <w:proofErr w:type="spellEnd"/>
      <w:r w:rsidRPr="00EB3CE8">
        <w:rPr>
          <w:iCs/>
          <w:color w:val="auto"/>
          <w:szCs w:val="24"/>
        </w:rPr>
        <w:t> injection codes for lower limb spasticity following an acute event. </w:t>
      </w:r>
    </w:p>
    <w:p w14:paraId="33AB7FF9" w14:textId="77777777" w:rsidR="00EB3CE8" w:rsidRPr="00EB3CE8" w:rsidRDefault="00EB3CE8" w:rsidP="004A05F0">
      <w:pPr>
        <w:pStyle w:val="Instructionaltext"/>
        <w:keepNext/>
        <w:keepLines/>
        <w:rPr>
          <w:iCs/>
          <w:color w:val="auto"/>
          <w:szCs w:val="24"/>
        </w:rPr>
      </w:pPr>
      <w:r w:rsidRPr="00EB3CE8">
        <w:rPr>
          <w:b/>
          <w:bCs/>
          <w:iCs/>
          <w:color w:val="auto"/>
          <w:szCs w:val="24"/>
        </w:rPr>
        <w:lastRenderedPageBreak/>
        <w:t>Comments on the PICO</w:t>
      </w:r>
      <w:r w:rsidRPr="00EB3CE8">
        <w:rPr>
          <w:iCs/>
          <w:color w:val="auto"/>
          <w:szCs w:val="24"/>
        </w:rPr>
        <w:t> </w:t>
      </w:r>
    </w:p>
    <w:p w14:paraId="5559438E" w14:textId="77777777" w:rsidR="00EB3CE8" w:rsidRPr="00EB3CE8" w:rsidRDefault="00EB3CE8" w:rsidP="004A05F0">
      <w:pPr>
        <w:pStyle w:val="Instructionaltext"/>
        <w:keepNext/>
        <w:keepLines/>
        <w:rPr>
          <w:iCs/>
          <w:color w:val="auto"/>
          <w:szCs w:val="24"/>
        </w:rPr>
      </w:pPr>
      <w:r w:rsidRPr="00EB3CE8">
        <w:rPr>
          <w:iCs/>
          <w:color w:val="auto"/>
          <w:szCs w:val="24"/>
        </w:rPr>
        <w:t>Input agreed with the proposed population, comparator and outcomes.  </w:t>
      </w:r>
    </w:p>
    <w:p w14:paraId="5C817F18" w14:textId="77777777" w:rsidR="00EB3CE8" w:rsidRPr="00EB3CE8" w:rsidRDefault="00EB3CE8" w:rsidP="00EB3CE8">
      <w:pPr>
        <w:pStyle w:val="Instructionaltext"/>
        <w:rPr>
          <w:iCs/>
          <w:color w:val="auto"/>
          <w:szCs w:val="24"/>
        </w:rPr>
      </w:pPr>
      <w:r w:rsidRPr="00EB3CE8">
        <w:rPr>
          <w:b/>
          <w:bCs/>
          <w:iCs/>
          <w:color w:val="auto"/>
          <w:szCs w:val="24"/>
        </w:rPr>
        <w:t>Perceived Advantages </w:t>
      </w:r>
      <w:r w:rsidRPr="00EB3CE8">
        <w:rPr>
          <w:iCs/>
          <w:color w:val="auto"/>
          <w:szCs w:val="24"/>
        </w:rPr>
        <w:t> </w:t>
      </w:r>
    </w:p>
    <w:p w14:paraId="6EF593C2" w14:textId="77777777" w:rsidR="00EB3CE8" w:rsidRPr="00EB3CE8" w:rsidRDefault="00EB3CE8" w:rsidP="00EB3CE8">
      <w:pPr>
        <w:pStyle w:val="Instructionaltext"/>
        <w:rPr>
          <w:iCs/>
          <w:color w:val="auto"/>
          <w:szCs w:val="24"/>
        </w:rPr>
      </w:pPr>
      <w:r w:rsidRPr="00EB3CE8">
        <w:rPr>
          <w:iCs/>
          <w:color w:val="auto"/>
          <w:szCs w:val="24"/>
        </w:rPr>
        <w:t>Perceived advantages included:  </w:t>
      </w:r>
    </w:p>
    <w:p w14:paraId="5E3263B9" w14:textId="7732945D" w:rsidR="00EB3CE8" w:rsidRPr="00EB3CE8" w:rsidRDefault="00EB3CE8" w:rsidP="00EB3CE8">
      <w:pPr>
        <w:pStyle w:val="Instructionaltext"/>
        <w:numPr>
          <w:ilvl w:val="0"/>
          <w:numId w:val="16"/>
        </w:numPr>
        <w:rPr>
          <w:iCs/>
          <w:color w:val="auto"/>
          <w:szCs w:val="24"/>
        </w:rPr>
      </w:pPr>
      <w:r w:rsidRPr="00EB3CE8">
        <w:rPr>
          <w:iCs/>
          <w:color w:val="auto"/>
          <w:szCs w:val="24"/>
        </w:rPr>
        <w:t>lower limb spasticity is a debilitating condition with complications, including carer burden, skin infection, contractures, falls risk and its complications, poor mobility, decreased</w:t>
      </w:r>
      <w:r>
        <w:rPr>
          <w:iCs/>
          <w:color w:val="auto"/>
          <w:szCs w:val="24"/>
        </w:rPr>
        <w:t xml:space="preserve"> </w:t>
      </w:r>
      <w:r w:rsidRPr="00EB3CE8">
        <w:rPr>
          <w:iCs/>
          <w:color w:val="auto"/>
          <w:szCs w:val="24"/>
        </w:rPr>
        <w:t>function</w:t>
      </w:r>
      <w:r>
        <w:rPr>
          <w:iCs/>
          <w:color w:val="auto"/>
          <w:szCs w:val="24"/>
        </w:rPr>
        <w:t xml:space="preserve"> </w:t>
      </w:r>
      <w:r w:rsidRPr="00EB3CE8">
        <w:rPr>
          <w:iCs/>
          <w:color w:val="auto"/>
          <w:szCs w:val="24"/>
        </w:rPr>
        <w:t>and social withdrawal of patients. Public funding will ensure timely management of the condition and its potential complications and ensure safe and effective treatment.  </w:t>
      </w:r>
    </w:p>
    <w:p w14:paraId="4E289FED" w14:textId="77777777" w:rsidR="00EB3CE8" w:rsidRPr="00EB3CE8" w:rsidRDefault="00EB3CE8" w:rsidP="00EB3CE8">
      <w:pPr>
        <w:pStyle w:val="Instructionaltext"/>
        <w:numPr>
          <w:ilvl w:val="0"/>
          <w:numId w:val="17"/>
        </w:numPr>
        <w:rPr>
          <w:iCs/>
          <w:color w:val="auto"/>
          <w:szCs w:val="24"/>
        </w:rPr>
      </w:pPr>
      <w:r w:rsidRPr="00EB3CE8">
        <w:rPr>
          <w:iCs/>
          <w:color w:val="auto"/>
          <w:szCs w:val="24"/>
        </w:rPr>
        <w:t>Minimise the need for unnecessary re-assessments, thereby improving accessibility of health services and convenience to patients.  </w:t>
      </w:r>
    </w:p>
    <w:p w14:paraId="078C1A46" w14:textId="77777777" w:rsidR="00EB3CE8" w:rsidRPr="00EB3CE8" w:rsidRDefault="00EB3CE8" w:rsidP="00EB3CE8">
      <w:pPr>
        <w:pStyle w:val="Instructionaltext"/>
        <w:numPr>
          <w:ilvl w:val="0"/>
          <w:numId w:val="18"/>
        </w:numPr>
        <w:rPr>
          <w:iCs/>
          <w:color w:val="auto"/>
          <w:szCs w:val="24"/>
        </w:rPr>
      </w:pPr>
      <w:r w:rsidRPr="00EB3CE8">
        <w:rPr>
          <w:iCs/>
          <w:color w:val="auto"/>
          <w:szCs w:val="24"/>
        </w:rPr>
        <w:t>easier storage of </w:t>
      </w:r>
      <w:proofErr w:type="spellStart"/>
      <w:r w:rsidRPr="00EB3CE8">
        <w:rPr>
          <w:iCs/>
          <w:color w:val="auto"/>
          <w:szCs w:val="24"/>
        </w:rPr>
        <w:t>Xeomin</w:t>
      </w:r>
      <w:proofErr w:type="spellEnd"/>
      <w:r w:rsidRPr="00EB3CE8">
        <w:rPr>
          <w:iCs/>
          <w:color w:val="auto"/>
          <w:szCs w:val="24"/>
        </w:rPr>
        <w:t> (no refrigeration) is of benefit to rural and remote communities </w:t>
      </w:r>
    </w:p>
    <w:p w14:paraId="24D8945F" w14:textId="77777777" w:rsidR="00EB3CE8" w:rsidRPr="00EB3CE8" w:rsidRDefault="00EB3CE8" w:rsidP="00EB3CE8">
      <w:pPr>
        <w:pStyle w:val="Instructionaltext"/>
        <w:rPr>
          <w:iCs/>
          <w:color w:val="auto"/>
          <w:szCs w:val="24"/>
        </w:rPr>
      </w:pPr>
      <w:r w:rsidRPr="00EB3CE8">
        <w:rPr>
          <w:b/>
          <w:bCs/>
          <w:iCs/>
          <w:color w:val="auto"/>
          <w:szCs w:val="24"/>
        </w:rPr>
        <w:t>Perceived Disadvantages</w:t>
      </w:r>
      <w:r w:rsidRPr="00EB3CE8">
        <w:rPr>
          <w:iCs/>
          <w:color w:val="auto"/>
          <w:szCs w:val="24"/>
        </w:rPr>
        <w:t> </w:t>
      </w:r>
    </w:p>
    <w:p w14:paraId="23C0C90B" w14:textId="49A4454C" w:rsidR="00EB3CE8" w:rsidRPr="00EB3CE8" w:rsidRDefault="00EB3CE8" w:rsidP="00EB3CE8">
      <w:pPr>
        <w:pStyle w:val="Instructionaltext"/>
        <w:rPr>
          <w:iCs/>
          <w:color w:val="auto"/>
          <w:szCs w:val="24"/>
        </w:rPr>
      </w:pPr>
      <w:r w:rsidRPr="00EB3CE8">
        <w:rPr>
          <w:iCs/>
          <w:color w:val="auto"/>
          <w:szCs w:val="24"/>
        </w:rPr>
        <w:t>The health professional noted that access to clinics for treatment for disadvantaged groups may be a</w:t>
      </w:r>
      <w:r>
        <w:rPr>
          <w:iCs/>
          <w:color w:val="auto"/>
          <w:szCs w:val="24"/>
        </w:rPr>
        <w:t xml:space="preserve"> </w:t>
      </w:r>
      <w:r w:rsidRPr="00EB3CE8">
        <w:rPr>
          <w:iCs/>
          <w:color w:val="auto"/>
          <w:szCs w:val="24"/>
        </w:rPr>
        <w:t>source of inequality. The consultation input did not identify any disadvantages of public funding.  </w:t>
      </w:r>
    </w:p>
    <w:p w14:paraId="35ED7E3E" w14:textId="77777777" w:rsidR="00EB3CE8" w:rsidRPr="00EB3CE8" w:rsidRDefault="00EB3CE8" w:rsidP="00EB3CE8">
      <w:pPr>
        <w:pStyle w:val="Instructionaltext"/>
        <w:rPr>
          <w:iCs/>
          <w:color w:val="auto"/>
          <w:szCs w:val="24"/>
        </w:rPr>
      </w:pPr>
      <w:r w:rsidRPr="00EB3CE8">
        <w:rPr>
          <w:b/>
          <w:bCs/>
          <w:iCs/>
          <w:color w:val="auto"/>
          <w:szCs w:val="24"/>
        </w:rPr>
        <w:t>Support for Implementation and Issues </w:t>
      </w:r>
      <w:r w:rsidRPr="00EB3CE8">
        <w:rPr>
          <w:iCs/>
          <w:color w:val="auto"/>
          <w:szCs w:val="24"/>
        </w:rPr>
        <w:t> </w:t>
      </w:r>
    </w:p>
    <w:p w14:paraId="6176B5B4" w14:textId="5B0B75DF" w:rsidR="007A135E" w:rsidRDefault="00EB3CE8" w:rsidP="00E76AE0">
      <w:pPr>
        <w:pStyle w:val="Instructionaltext"/>
        <w:rPr>
          <w:iCs/>
          <w:color w:val="auto"/>
          <w:szCs w:val="24"/>
        </w:rPr>
      </w:pPr>
      <w:r w:rsidRPr="00EB3CE8">
        <w:rPr>
          <w:iCs/>
          <w:color w:val="auto"/>
          <w:szCs w:val="24"/>
        </w:rPr>
        <w:t>Consultation input was supportive of implementation and identified no barriers.  </w:t>
      </w:r>
    </w:p>
    <w:p w14:paraId="03C7A1F1" w14:textId="33D00944" w:rsidR="00772829" w:rsidRPr="00CE28E3" w:rsidRDefault="00772829" w:rsidP="00EB3CE8">
      <w:pPr>
        <w:pStyle w:val="Heading2"/>
        <w:numPr>
          <w:ilvl w:val="0"/>
          <w:numId w:val="13"/>
        </w:numPr>
        <w:ind w:hanging="720"/>
      </w:pPr>
      <w:bookmarkStart w:id="14" w:name="_Toc69491422"/>
      <w:r w:rsidRPr="00CE28E3">
        <w:t>Characteristics of the evidence base</w:t>
      </w:r>
      <w:bookmarkEnd w:id="14"/>
    </w:p>
    <w:p w14:paraId="10DE3754" w14:textId="4D4ED1F8" w:rsidR="00FD0736" w:rsidRPr="00873551" w:rsidRDefault="00AE4876" w:rsidP="00E76AE0">
      <w:pPr>
        <w:pStyle w:val="Instructionaltext"/>
        <w:rPr>
          <w:color w:val="auto"/>
        </w:rPr>
      </w:pPr>
      <w:r w:rsidRPr="00873551">
        <w:rPr>
          <w:color w:val="auto"/>
        </w:rPr>
        <w:t>Section</w:t>
      </w:r>
      <w:r w:rsidR="00B20989" w:rsidRPr="00873551">
        <w:rPr>
          <w:color w:val="auto"/>
        </w:rPr>
        <w:t>s</w:t>
      </w:r>
      <w:r w:rsidRPr="00873551">
        <w:rPr>
          <w:color w:val="auto"/>
        </w:rPr>
        <w:t xml:space="preserve"> </w:t>
      </w:r>
      <w:r w:rsidR="00EB3CE8">
        <w:rPr>
          <w:color w:val="auto"/>
        </w:rPr>
        <w:t>10</w:t>
      </w:r>
      <w:r w:rsidRPr="00873551">
        <w:rPr>
          <w:color w:val="auto"/>
        </w:rPr>
        <w:t xml:space="preserve"> to </w:t>
      </w:r>
      <w:r w:rsidR="00EB3CE8">
        <w:rPr>
          <w:color w:val="auto"/>
        </w:rPr>
        <w:t>12</w:t>
      </w:r>
      <w:r w:rsidR="00243DD0" w:rsidRPr="00873551">
        <w:rPr>
          <w:color w:val="auto"/>
        </w:rPr>
        <w:t xml:space="preserve"> </w:t>
      </w:r>
      <w:r w:rsidRPr="00873551">
        <w:rPr>
          <w:color w:val="auto"/>
        </w:rPr>
        <w:t>summarise</w:t>
      </w:r>
      <w:r w:rsidR="00243DD0" w:rsidRPr="00873551">
        <w:rPr>
          <w:color w:val="auto"/>
        </w:rPr>
        <w:t xml:space="preserve"> the </w:t>
      </w:r>
      <w:r w:rsidR="006D7ABC" w:rsidRPr="00873551">
        <w:rPr>
          <w:color w:val="auto"/>
        </w:rPr>
        <w:t xml:space="preserve">evidence that will be considered </w:t>
      </w:r>
      <w:r w:rsidR="00334196" w:rsidRPr="00873551">
        <w:rPr>
          <w:color w:val="auto"/>
        </w:rPr>
        <w:t xml:space="preserve">by the PBAC. The </w:t>
      </w:r>
      <w:r w:rsidR="006E41D7" w:rsidRPr="00873551">
        <w:rPr>
          <w:color w:val="auto"/>
        </w:rPr>
        <w:t xml:space="preserve">PBAC commentary and PBAC ESC advice </w:t>
      </w:r>
      <w:r w:rsidR="00A13B6D" w:rsidRPr="00873551">
        <w:rPr>
          <w:color w:val="auto"/>
        </w:rPr>
        <w:t>did not identify</w:t>
      </w:r>
      <w:r w:rsidR="004F70DE" w:rsidRPr="00873551">
        <w:rPr>
          <w:color w:val="auto"/>
        </w:rPr>
        <w:t xml:space="preserve"> any clinical issues related to the administration of </w:t>
      </w:r>
      <w:proofErr w:type="spellStart"/>
      <w:r w:rsidR="001D03EE" w:rsidRPr="00873551">
        <w:rPr>
          <w:color w:val="auto"/>
        </w:rPr>
        <w:t>Xeomin</w:t>
      </w:r>
      <w:proofErr w:type="spellEnd"/>
      <w:r w:rsidR="006C40F4" w:rsidRPr="00873551">
        <w:rPr>
          <w:color w:val="auto"/>
        </w:rPr>
        <w:t xml:space="preserve"> that require </w:t>
      </w:r>
      <w:r w:rsidR="008037A7" w:rsidRPr="00873551">
        <w:rPr>
          <w:color w:val="auto"/>
        </w:rPr>
        <w:t>additional</w:t>
      </w:r>
      <w:r w:rsidR="003773A4" w:rsidRPr="00873551">
        <w:rPr>
          <w:color w:val="auto"/>
        </w:rPr>
        <w:t xml:space="preserve"> </w:t>
      </w:r>
      <w:r w:rsidR="006C40F4" w:rsidRPr="00873551">
        <w:rPr>
          <w:color w:val="auto"/>
        </w:rPr>
        <w:t>MSAC consideration</w:t>
      </w:r>
      <w:r w:rsidR="001D03EE" w:rsidRPr="00873551">
        <w:rPr>
          <w:color w:val="auto"/>
        </w:rPr>
        <w:t>.</w:t>
      </w:r>
      <w:r w:rsidR="00805D08" w:rsidRPr="00873551">
        <w:rPr>
          <w:color w:val="auto"/>
        </w:rPr>
        <w:t xml:space="preserve"> </w:t>
      </w:r>
      <w:r w:rsidR="000E41CB" w:rsidRPr="00873551">
        <w:rPr>
          <w:color w:val="auto"/>
        </w:rPr>
        <w:t xml:space="preserve">Refer to the PBAC Commentary and PBAC ESC advice for further details. </w:t>
      </w:r>
    </w:p>
    <w:p w14:paraId="00BEC00A" w14:textId="1FCFF057" w:rsidR="00417884" w:rsidRDefault="00A05FD8" w:rsidP="00E76AE0">
      <w:pPr>
        <w:pStyle w:val="Instructionaltext"/>
        <w:rPr>
          <w:color w:val="auto"/>
        </w:rPr>
      </w:pPr>
      <w:r w:rsidRPr="23C09455">
        <w:rPr>
          <w:color w:val="auto"/>
        </w:rPr>
        <w:t xml:space="preserve">In reviewing the submission, </w:t>
      </w:r>
      <w:r w:rsidR="00244041" w:rsidRPr="23C09455">
        <w:rPr>
          <w:color w:val="auto"/>
        </w:rPr>
        <w:t xml:space="preserve">PBAC ESC </w:t>
      </w:r>
      <w:r w:rsidR="002A4BB3" w:rsidRPr="23C09455">
        <w:rPr>
          <w:color w:val="auto"/>
        </w:rPr>
        <w:t>not</w:t>
      </w:r>
      <w:r w:rsidR="00244041" w:rsidRPr="23C09455">
        <w:rPr>
          <w:color w:val="auto"/>
        </w:rPr>
        <w:t xml:space="preserve">ed that </w:t>
      </w:r>
      <w:r w:rsidR="00ED0304" w:rsidRPr="23C09455">
        <w:rPr>
          <w:color w:val="auto"/>
        </w:rPr>
        <w:t xml:space="preserve">the </w:t>
      </w:r>
      <w:r w:rsidR="00943FE3" w:rsidRPr="23C09455">
        <w:rPr>
          <w:color w:val="auto"/>
        </w:rPr>
        <w:t xml:space="preserve">proposed population </w:t>
      </w:r>
      <w:r w:rsidR="00417884" w:rsidRPr="23C09455">
        <w:rPr>
          <w:color w:val="auto"/>
        </w:rPr>
        <w:t xml:space="preserve">extends beyond the submitted trial populations, which were limited to </w:t>
      </w:r>
      <w:r w:rsidR="00077856" w:rsidRPr="23C09455">
        <w:rPr>
          <w:color w:val="auto"/>
        </w:rPr>
        <w:t>post-</w:t>
      </w:r>
      <w:r w:rsidR="00417884" w:rsidRPr="23C09455">
        <w:rPr>
          <w:color w:val="auto"/>
        </w:rPr>
        <w:t>stroke</w:t>
      </w:r>
      <w:r w:rsidR="00077856" w:rsidRPr="23C09455">
        <w:rPr>
          <w:color w:val="auto"/>
        </w:rPr>
        <w:t xml:space="preserve"> spasticity</w:t>
      </w:r>
      <w:r w:rsidR="00417884" w:rsidRPr="23C09455">
        <w:rPr>
          <w:color w:val="auto"/>
        </w:rPr>
        <w:t xml:space="preserve">. Given </w:t>
      </w:r>
      <w:r w:rsidR="00447F37" w:rsidRPr="23C09455">
        <w:rPr>
          <w:color w:val="auto"/>
        </w:rPr>
        <w:t>that the</w:t>
      </w:r>
      <w:r w:rsidR="00417884" w:rsidRPr="23C09455">
        <w:rPr>
          <w:color w:val="auto"/>
        </w:rPr>
        <w:t xml:space="preserve"> </w:t>
      </w:r>
      <w:r w:rsidR="00AD603E" w:rsidRPr="23C09455">
        <w:rPr>
          <w:color w:val="auto"/>
        </w:rPr>
        <w:t xml:space="preserve">pathophysiology of spasticity and </w:t>
      </w:r>
      <w:r w:rsidR="00447F37" w:rsidRPr="23C09455">
        <w:rPr>
          <w:color w:val="auto"/>
        </w:rPr>
        <w:t xml:space="preserve">the </w:t>
      </w:r>
      <w:r w:rsidR="00AD603E" w:rsidRPr="23C09455">
        <w:rPr>
          <w:color w:val="auto"/>
        </w:rPr>
        <w:t xml:space="preserve">mechanism of action of botulinum toxin </w:t>
      </w:r>
      <w:r w:rsidR="00447F37" w:rsidRPr="23C09455">
        <w:rPr>
          <w:color w:val="auto"/>
        </w:rPr>
        <w:t xml:space="preserve">are similar </w:t>
      </w:r>
      <w:r w:rsidR="00AD603E" w:rsidRPr="23C09455">
        <w:rPr>
          <w:color w:val="auto"/>
        </w:rPr>
        <w:t>across neurological conditions</w:t>
      </w:r>
      <w:r w:rsidR="00447F37" w:rsidRPr="23C09455">
        <w:rPr>
          <w:color w:val="auto"/>
        </w:rPr>
        <w:t xml:space="preserve">, </w:t>
      </w:r>
      <w:r w:rsidR="00AD603E" w:rsidRPr="23C09455">
        <w:rPr>
          <w:color w:val="auto"/>
        </w:rPr>
        <w:t>P</w:t>
      </w:r>
      <w:r w:rsidR="00F34B35">
        <w:rPr>
          <w:color w:val="auto"/>
        </w:rPr>
        <w:t>BAC</w:t>
      </w:r>
      <w:r w:rsidR="00AD603E" w:rsidRPr="23C09455">
        <w:rPr>
          <w:color w:val="auto"/>
        </w:rPr>
        <w:t xml:space="preserve"> ESC raised questions about extending the restriction to other acute events and the potential implications for broader spasticity populations, including chronic neurological conditions such as multiple sclerosis.</w:t>
      </w:r>
    </w:p>
    <w:p w14:paraId="39318C84" w14:textId="17DBA47C" w:rsidR="00666155" w:rsidRDefault="00CB4F27" w:rsidP="00B66956">
      <w:pPr>
        <w:pStyle w:val="Instructionaltext"/>
        <w:rPr>
          <w:color w:val="auto"/>
        </w:rPr>
      </w:pPr>
      <w:r>
        <w:rPr>
          <w:color w:val="auto"/>
        </w:rPr>
        <w:t>The characteristics</w:t>
      </w:r>
      <w:r w:rsidR="00562F29">
        <w:rPr>
          <w:color w:val="auto"/>
        </w:rPr>
        <w:t xml:space="preserve"> </w:t>
      </w:r>
      <w:r w:rsidR="006A1904">
        <w:rPr>
          <w:color w:val="auto"/>
        </w:rPr>
        <w:t xml:space="preserve">of the </w:t>
      </w:r>
      <w:r w:rsidR="000E1067">
        <w:rPr>
          <w:color w:val="auto"/>
        </w:rPr>
        <w:t>key efficacy trials</w:t>
      </w:r>
      <w:r w:rsidR="006A1904">
        <w:rPr>
          <w:color w:val="auto"/>
        </w:rPr>
        <w:t xml:space="preserve"> </w:t>
      </w:r>
      <w:r w:rsidR="000E1067">
        <w:rPr>
          <w:color w:val="auto"/>
        </w:rPr>
        <w:t xml:space="preserve">are </w:t>
      </w:r>
      <w:r>
        <w:rPr>
          <w:color w:val="auto"/>
        </w:rPr>
        <w:t xml:space="preserve">summarised in </w:t>
      </w:r>
      <w:r w:rsidR="00260A16" w:rsidRPr="000C64A0">
        <w:rPr>
          <w:color w:val="auto"/>
        </w:rPr>
        <w:fldChar w:fldCharType="begin"/>
      </w:r>
      <w:r w:rsidR="00260A16" w:rsidRPr="000C64A0">
        <w:rPr>
          <w:color w:val="auto"/>
        </w:rPr>
        <w:instrText xml:space="preserve"> REF _Ref223340201 \h </w:instrText>
      </w:r>
      <w:r w:rsidR="00260A16" w:rsidRPr="000C64A0">
        <w:rPr>
          <w:color w:val="auto"/>
        </w:rPr>
      </w:r>
      <w:r w:rsidR="00260A16" w:rsidRPr="000C64A0">
        <w:rPr>
          <w:color w:val="auto"/>
        </w:rPr>
        <w:fldChar w:fldCharType="separate"/>
      </w:r>
      <w:r w:rsidR="00260A16" w:rsidRPr="000C64A0">
        <w:rPr>
          <w:color w:val="auto"/>
        </w:rPr>
        <w:t xml:space="preserve">Table </w:t>
      </w:r>
      <w:r w:rsidR="00260A16" w:rsidRPr="000C64A0">
        <w:rPr>
          <w:noProof/>
          <w:color w:val="auto"/>
        </w:rPr>
        <w:t>2</w:t>
      </w:r>
      <w:r w:rsidR="00260A16" w:rsidRPr="000C64A0">
        <w:rPr>
          <w:color w:val="auto"/>
        </w:rPr>
        <w:fldChar w:fldCharType="end"/>
      </w:r>
      <w:r w:rsidR="00260A16">
        <w:rPr>
          <w:color w:val="auto"/>
        </w:rPr>
        <w:t>.</w:t>
      </w:r>
      <w:r w:rsidR="001E6C0D">
        <w:rPr>
          <w:color w:val="auto"/>
        </w:rPr>
        <w:t xml:space="preserve"> </w:t>
      </w:r>
      <w:r w:rsidR="00690F3D">
        <w:rPr>
          <w:color w:val="auto"/>
        </w:rPr>
        <w:t>Evidence for Dysport</w:t>
      </w:r>
      <w:r w:rsidR="00666155">
        <w:rPr>
          <w:color w:val="auto"/>
        </w:rPr>
        <w:t>’s efficacy</w:t>
      </w:r>
      <w:r w:rsidR="00690F3D">
        <w:rPr>
          <w:color w:val="auto"/>
        </w:rPr>
        <w:t xml:space="preserve"> was not provided by the sponsor. </w:t>
      </w:r>
    </w:p>
    <w:p w14:paraId="0EE5101E" w14:textId="515EB423" w:rsidR="00A34A16" w:rsidRDefault="00690F3D" w:rsidP="00666155">
      <w:pPr>
        <w:pStyle w:val="Instructionaltext"/>
        <w:rPr>
          <w:color w:val="auto"/>
        </w:rPr>
      </w:pPr>
      <w:r>
        <w:rPr>
          <w:color w:val="auto"/>
        </w:rPr>
        <w:t>Safety evidence</w:t>
      </w:r>
      <w:r w:rsidR="00D0481A">
        <w:rPr>
          <w:color w:val="auto"/>
        </w:rPr>
        <w:t>, considered separately by PBAC,</w:t>
      </w:r>
      <w:r>
        <w:rPr>
          <w:color w:val="auto"/>
        </w:rPr>
        <w:t xml:space="preserve"> was derived from a placebo-controlled </w:t>
      </w:r>
      <w:proofErr w:type="spellStart"/>
      <w:r>
        <w:rPr>
          <w:color w:val="auto"/>
        </w:rPr>
        <w:t>Xeomin</w:t>
      </w:r>
      <w:proofErr w:type="spellEnd"/>
      <w:r>
        <w:rPr>
          <w:color w:val="auto"/>
        </w:rPr>
        <w:t xml:space="preserve"> trial</w:t>
      </w:r>
      <w:r w:rsidR="00A00107">
        <w:rPr>
          <w:color w:val="auto"/>
        </w:rPr>
        <w:t xml:space="preserve">, an uncontrolled dose-titration study, and an indirect comparison with Botox. </w:t>
      </w:r>
      <w:r w:rsidR="00DD553A">
        <w:rPr>
          <w:color w:val="auto"/>
        </w:rPr>
        <w:t>Overall, t</w:t>
      </w:r>
      <w:r w:rsidR="00021719">
        <w:rPr>
          <w:color w:val="auto"/>
        </w:rPr>
        <w:t>he supported stud</w:t>
      </w:r>
      <w:r w:rsidR="005A2409">
        <w:rPr>
          <w:color w:val="auto"/>
        </w:rPr>
        <w:t>ie</w:t>
      </w:r>
      <w:r w:rsidR="00B36032">
        <w:rPr>
          <w:color w:val="auto"/>
        </w:rPr>
        <w:t>s</w:t>
      </w:r>
      <w:r w:rsidR="00021719">
        <w:rPr>
          <w:color w:val="auto"/>
        </w:rPr>
        <w:t xml:space="preserve"> have limited generalisability to Australian context.</w:t>
      </w:r>
      <w:r w:rsidR="000C4F0E">
        <w:rPr>
          <w:color w:val="auto"/>
        </w:rPr>
        <w:t xml:space="preserve"> </w:t>
      </w:r>
    </w:p>
    <w:p w14:paraId="6FCF7F5F" w14:textId="7336345E" w:rsidR="00481571" w:rsidRDefault="006779A3" w:rsidP="006779A3">
      <w:pPr>
        <w:pStyle w:val="Caption"/>
      </w:pPr>
      <w:bookmarkStart w:id="15" w:name="_Ref223340201"/>
      <w:r>
        <w:lastRenderedPageBreak/>
        <w:t xml:space="preserve">Table </w:t>
      </w:r>
      <w:r>
        <w:fldChar w:fldCharType="begin"/>
      </w:r>
      <w:r>
        <w:instrText>SEQ Table \* ARABIC</w:instrText>
      </w:r>
      <w:r>
        <w:fldChar w:fldCharType="separate"/>
      </w:r>
      <w:r w:rsidR="00C511A7">
        <w:rPr>
          <w:noProof/>
        </w:rPr>
        <w:t>2</w:t>
      </w:r>
      <w:r>
        <w:fldChar w:fldCharType="end"/>
      </w:r>
      <w:bookmarkEnd w:id="15"/>
      <w:r>
        <w:t xml:space="preserve"> Key features of the included evidence - indirect comparison</w:t>
      </w:r>
    </w:p>
    <w:tbl>
      <w:tblPr>
        <w:tblStyle w:val="TableGrid"/>
        <w:tblW w:w="9112" w:type="dxa"/>
        <w:tblLook w:val="04A0" w:firstRow="1" w:lastRow="0" w:firstColumn="1" w:lastColumn="0" w:noHBand="0" w:noVBand="1"/>
      </w:tblPr>
      <w:tblGrid>
        <w:gridCol w:w="1248"/>
        <w:gridCol w:w="590"/>
        <w:gridCol w:w="1701"/>
        <w:gridCol w:w="851"/>
        <w:gridCol w:w="1890"/>
        <w:gridCol w:w="1559"/>
        <w:gridCol w:w="1273"/>
      </w:tblGrid>
      <w:tr w:rsidR="00157F3B" w:rsidRPr="00A002F2" w14:paraId="4A58650D" w14:textId="77777777" w:rsidTr="00054CB5">
        <w:trPr>
          <w:tblHeader/>
        </w:trPr>
        <w:tc>
          <w:tcPr>
            <w:tcW w:w="1248" w:type="dxa"/>
            <w:shd w:val="clear" w:color="auto" w:fill="D0CECE" w:themeFill="background2" w:themeFillShade="E6"/>
          </w:tcPr>
          <w:p w14:paraId="70E72190" w14:textId="052FD332" w:rsidR="001C2269" w:rsidRPr="00A002F2" w:rsidRDefault="00A002F2" w:rsidP="00157F3B">
            <w:pPr>
              <w:spacing w:before="0"/>
              <w:rPr>
                <w:rFonts w:ascii="Arial Narrow" w:hAnsi="Arial Narrow"/>
                <w:b/>
                <w:bCs/>
                <w:sz w:val="20"/>
                <w:szCs w:val="20"/>
              </w:rPr>
            </w:pPr>
            <w:r>
              <w:rPr>
                <w:rFonts w:ascii="Arial Narrow" w:hAnsi="Arial Narrow"/>
                <w:b/>
                <w:bCs/>
                <w:sz w:val="20"/>
                <w:szCs w:val="20"/>
              </w:rPr>
              <w:t>Trial</w:t>
            </w:r>
          </w:p>
        </w:tc>
        <w:tc>
          <w:tcPr>
            <w:tcW w:w="590" w:type="dxa"/>
            <w:shd w:val="clear" w:color="auto" w:fill="D0CECE" w:themeFill="background2" w:themeFillShade="E6"/>
          </w:tcPr>
          <w:p w14:paraId="6DFF91BD" w14:textId="23F57107" w:rsidR="001C2269" w:rsidRPr="00A002F2" w:rsidRDefault="00A002F2" w:rsidP="00157F3B">
            <w:pPr>
              <w:spacing w:before="0"/>
              <w:rPr>
                <w:rFonts w:ascii="Arial Narrow" w:hAnsi="Arial Narrow"/>
                <w:b/>
                <w:bCs/>
                <w:sz w:val="20"/>
                <w:szCs w:val="20"/>
              </w:rPr>
            </w:pPr>
            <w:r>
              <w:rPr>
                <w:rFonts w:ascii="Arial Narrow" w:hAnsi="Arial Narrow"/>
                <w:b/>
                <w:bCs/>
                <w:sz w:val="20"/>
                <w:szCs w:val="20"/>
              </w:rPr>
              <w:t>N</w:t>
            </w:r>
          </w:p>
        </w:tc>
        <w:tc>
          <w:tcPr>
            <w:tcW w:w="1701" w:type="dxa"/>
            <w:shd w:val="clear" w:color="auto" w:fill="D0CECE" w:themeFill="background2" w:themeFillShade="E6"/>
          </w:tcPr>
          <w:p w14:paraId="0086E664" w14:textId="78B5B49D" w:rsidR="001C2269" w:rsidRPr="00A002F2" w:rsidRDefault="00157F3B" w:rsidP="00157F3B">
            <w:pPr>
              <w:spacing w:before="0"/>
              <w:rPr>
                <w:rFonts w:ascii="Arial Narrow" w:hAnsi="Arial Narrow"/>
                <w:b/>
                <w:bCs/>
                <w:sz w:val="20"/>
                <w:szCs w:val="20"/>
              </w:rPr>
            </w:pPr>
            <w:r>
              <w:rPr>
                <w:rFonts w:ascii="Arial Narrow" w:hAnsi="Arial Narrow"/>
                <w:b/>
                <w:bCs/>
                <w:sz w:val="20"/>
                <w:szCs w:val="20"/>
              </w:rPr>
              <w:t>Design/duration</w:t>
            </w:r>
          </w:p>
        </w:tc>
        <w:tc>
          <w:tcPr>
            <w:tcW w:w="851" w:type="dxa"/>
            <w:shd w:val="clear" w:color="auto" w:fill="D0CECE" w:themeFill="background2" w:themeFillShade="E6"/>
          </w:tcPr>
          <w:p w14:paraId="52413F00" w14:textId="225856D2" w:rsidR="001C2269" w:rsidRPr="00A002F2" w:rsidRDefault="00157F3B" w:rsidP="00157F3B">
            <w:pPr>
              <w:spacing w:before="0"/>
              <w:rPr>
                <w:rFonts w:ascii="Arial Narrow" w:hAnsi="Arial Narrow"/>
                <w:b/>
                <w:bCs/>
                <w:sz w:val="20"/>
                <w:szCs w:val="20"/>
              </w:rPr>
            </w:pPr>
            <w:r>
              <w:rPr>
                <w:rFonts w:ascii="Arial Narrow" w:hAnsi="Arial Narrow"/>
                <w:b/>
                <w:bCs/>
                <w:sz w:val="20"/>
                <w:szCs w:val="20"/>
              </w:rPr>
              <w:t>Risk of bias</w:t>
            </w:r>
          </w:p>
        </w:tc>
        <w:tc>
          <w:tcPr>
            <w:tcW w:w="1890" w:type="dxa"/>
            <w:shd w:val="clear" w:color="auto" w:fill="D0CECE" w:themeFill="background2" w:themeFillShade="E6"/>
          </w:tcPr>
          <w:p w14:paraId="2C1AD771" w14:textId="105A165A" w:rsidR="001C2269" w:rsidRPr="00A002F2" w:rsidRDefault="00157F3B" w:rsidP="00157F3B">
            <w:pPr>
              <w:spacing w:before="0"/>
              <w:rPr>
                <w:rFonts w:ascii="Arial Narrow" w:hAnsi="Arial Narrow"/>
                <w:b/>
                <w:bCs/>
                <w:sz w:val="20"/>
                <w:szCs w:val="20"/>
              </w:rPr>
            </w:pPr>
            <w:r>
              <w:rPr>
                <w:rFonts w:ascii="Arial Narrow" w:hAnsi="Arial Narrow"/>
                <w:b/>
                <w:bCs/>
                <w:sz w:val="20"/>
                <w:szCs w:val="20"/>
              </w:rPr>
              <w:t>Patient population</w:t>
            </w:r>
          </w:p>
        </w:tc>
        <w:tc>
          <w:tcPr>
            <w:tcW w:w="1559" w:type="dxa"/>
            <w:shd w:val="clear" w:color="auto" w:fill="D0CECE" w:themeFill="background2" w:themeFillShade="E6"/>
          </w:tcPr>
          <w:p w14:paraId="1CC7D355" w14:textId="02A2123E" w:rsidR="001C2269" w:rsidRPr="00A002F2" w:rsidRDefault="00157F3B" w:rsidP="00157F3B">
            <w:pPr>
              <w:spacing w:before="0"/>
              <w:rPr>
                <w:rFonts w:ascii="Arial Narrow" w:hAnsi="Arial Narrow"/>
                <w:b/>
                <w:bCs/>
                <w:sz w:val="20"/>
                <w:szCs w:val="20"/>
              </w:rPr>
            </w:pPr>
            <w:r>
              <w:rPr>
                <w:rFonts w:ascii="Arial Narrow" w:hAnsi="Arial Narrow"/>
                <w:b/>
                <w:bCs/>
                <w:sz w:val="20"/>
                <w:szCs w:val="20"/>
              </w:rPr>
              <w:t>Outcomes</w:t>
            </w:r>
          </w:p>
        </w:tc>
        <w:tc>
          <w:tcPr>
            <w:tcW w:w="1273" w:type="dxa"/>
            <w:shd w:val="clear" w:color="auto" w:fill="D0CECE" w:themeFill="background2" w:themeFillShade="E6"/>
          </w:tcPr>
          <w:p w14:paraId="39033015" w14:textId="678834AF" w:rsidR="001C2269" w:rsidRPr="00A002F2" w:rsidRDefault="00157F3B" w:rsidP="00157F3B">
            <w:pPr>
              <w:spacing w:before="0"/>
              <w:rPr>
                <w:rFonts w:ascii="Arial Narrow" w:hAnsi="Arial Narrow"/>
                <w:b/>
                <w:bCs/>
                <w:sz w:val="20"/>
                <w:szCs w:val="20"/>
              </w:rPr>
            </w:pPr>
            <w:r>
              <w:rPr>
                <w:rFonts w:ascii="Arial Narrow" w:hAnsi="Arial Narrow"/>
                <w:b/>
                <w:bCs/>
                <w:sz w:val="20"/>
                <w:szCs w:val="20"/>
              </w:rPr>
              <w:t>Used in modelled evaluation</w:t>
            </w:r>
          </w:p>
        </w:tc>
      </w:tr>
      <w:tr w:rsidR="00157F3B" w:rsidRPr="00A002F2" w14:paraId="5BFD5912" w14:textId="77777777" w:rsidTr="00054CB5">
        <w:trPr>
          <w:tblHeader/>
        </w:trPr>
        <w:tc>
          <w:tcPr>
            <w:tcW w:w="9112" w:type="dxa"/>
            <w:gridSpan w:val="7"/>
          </w:tcPr>
          <w:p w14:paraId="701475F0" w14:textId="4BE6980A" w:rsidR="00157F3B" w:rsidRPr="00157F3B" w:rsidRDefault="00157F3B" w:rsidP="00157F3B">
            <w:pPr>
              <w:spacing w:before="0"/>
              <w:rPr>
                <w:rFonts w:ascii="Arial Narrow" w:hAnsi="Arial Narrow"/>
                <w:b/>
                <w:bCs/>
                <w:sz w:val="20"/>
                <w:szCs w:val="20"/>
              </w:rPr>
            </w:pPr>
            <w:proofErr w:type="spellStart"/>
            <w:r w:rsidRPr="00157F3B">
              <w:rPr>
                <w:rFonts w:ascii="Arial Narrow" w:hAnsi="Arial Narrow"/>
                <w:b/>
                <w:bCs/>
                <w:sz w:val="20"/>
                <w:szCs w:val="20"/>
              </w:rPr>
              <w:t>Xeomin</w:t>
            </w:r>
            <w:proofErr w:type="spellEnd"/>
            <w:r w:rsidRPr="00157F3B">
              <w:rPr>
                <w:rFonts w:ascii="Arial Narrow" w:hAnsi="Arial Narrow"/>
                <w:b/>
                <w:bCs/>
                <w:sz w:val="20"/>
                <w:szCs w:val="20"/>
              </w:rPr>
              <w:t xml:space="preserve"> vs Placebo</w:t>
            </w:r>
          </w:p>
        </w:tc>
      </w:tr>
      <w:tr w:rsidR="00157F3B" w:rsidRPr="00A002F2" w14:paraId="202C50BF" w14:textId="77777777" w:rsidTr="00054CB5">
        <w:trPr>
          <w:tblHeader/>
        </w:trPr>
        <w:tc>
          <w:tcPr>
            <w:tcW w:w="1248" w:type="dxa"/>
          </w:tcPr>
          <w:p w14:paraId="214EDC23" w14:textId="0D914BD3" w:rsidR="001C2269" w:rsidRPr="00A002F2" w:rsidRDefault="007B554B" w:rsidP="00157F3B">
            <w:pPr>
              <w:spacing w:before="0"/>
              <w:rPr>
                <w:rFonts w:ascii="Arial Narrow" w:hAnsi="Arial Narrow"/>
                <w:sz w:val="20"/>
                <w:szCs w:val="20"/>
              </w:rPr>
            </w:pPr>
            <w:r>
              <w:rPr>
                <w:rFonts w:ascii="Arial Narrow" w:hAnsi="Arial Narrow"/>
                <w:sz w:val="20"/>
                <w:szCs w:val="20"/>
              </w:rPr>
              <w:t>3098</w:t>
            </w:r>
          </w:p>
        </w:tc>
        <w:tc>
          <w:tcPr>
            <w:tcW w:w="590" w:type="dxa"/>
          </w:tcPr>
          <w:p w14:paraId="695FE0F6" w14:textId="40B64364" w:rsidR="001C2269" w:rsidRPr="00A002F2" w:rsidRDefault="00CB5BA9" w:rsidP="00157F3B">
            <w:pPr>
              <w:spacing w:before="0"/>
              <w:rPr>
                <w:rFonts w:ascii="Arial Narrow" w:hAnsi="Arial Narrow"/>
                <w:sz w:val="20"/>
                <w:szCs w:val="20"/>
              </w:rPr>
            </w:pPr>
            <w:r>
              <w:rPr>
                <w:rFonts w:ascii="Arial Narrow" w:hAnsi="Arial Narrow"/>
                <w:sz w:val="20"/>
                <w:szCs w:val="20"/>
              </w:rPr>
              <w:t>208</w:t>
            </w:r>
          </w:p>
        </w:tc>
        <w:tc>
          <w:tcPr>
            <w:tcW w:w="1701" w:type="dxa"/>
          </w:tcPr>
          <w:p w14:paraId="1E462AB1" w14:textId="14BD17FC" w:rsidR="001C2269" w:rsidRPr="00A002F2" w:rsidRDefault="00E92C21" w:rsidP="00157F3B">
            <w:pPr>
              <w:spacing w:before="0"/>
              <w:rPr>
                <w:rFonts w:ascii="Arial Narrow" w:hAnsi="Arial Narrow"/>
                <w:sz w:val="20"/>
                <w:szCs w:val="20"/>
              </w:rPr>
            </w:pPr>
            <w:r>
              <w:rPr>
                <w:rFonts w:ascii="Arial Narrow" w:hAnsi="Arial Narrow"/>
                <w:sz w:val="20"/>
                <w:szCs w:val="20"/>
              </w:rPr>
              <w:t xml:space="preserve">R, DB, MC (all Japan); </w:t>
            </w:r>
            <w:r w:rsidR="00721A7A">
              <w:rPr>
                <w:rFonts w:ascii="Arial Narrow" w:hAnsi="Arial Narrow"/>
                <w:sz w:val="20"/>
                <w:szCs w:val="20"/>
              </w:rPr>
              <w:t xml:space="preserve">fixed dose </w:t>
            </w:r>
            <w:proofErr w:type="spellStart"/>
            <w:r w:rsidR="00721A7A">
              <w:rPr>
                <w:rFonts w:ascii="Arial Narrow" w:hAnsi="Arial Narrow"/>
                <w:sz w:val="20"/>
                <w:szCs w:val="20"/>
              </w:rPr>
              <w:t>Xeomin</w:t>
            </w:r>
            <w:proofErr w:type="spellEnd"/>
            <w:r w:rsidR="00721A7A">
              <w:rPr>
                <w:rFonts w:ascii="Arial Narrow" w:hAnsi="Arial Narrow"/>
                <w:sz w:val="20"/>
                <w:szCs w:val="20"/>
              </w:rPr>
              <w:t xml:space="preserve"> 400U across affected muscles; 12 </w:t>
            </w:r>
            <w:proofErr w:type="spellStart"/>
            <w:r w:rsidR="00721A7A">
              <w:rPr>
                <w:rFonts w:ascii="Arial Narrow" w:hAnsi="Arial Narrow"/>
                <w:sz w:val="20"/>
                <w:szCs w:val="20"/>
              </w:rPr>
              <w:t>wk</w:t>
            </w:r>
            <w:proofErr w:type="spellEnd"/>
            <w:r w:rsidR="00721A7A">
              <w:rPr>
                <w:rFonts w:ascii="Arial Narrow" w:hAnsi="Arial Narrow"/>
                <w:sz w:val="20"/>
                <w:szCs w:val="20"/>
              </w:rPr>
              <w:t xml:space="preserve"> with OLE up to 40 </w:t>
            </w:r>
            <w:proofErr w:type="spellStart"/>
            <w:r w:rsidR="00721A7A">
              <w:rPr>
                <w:rFonts w:ascii="Arial Narrow" w:hAnsi="Arial Narrow"/>
                <w:sz w:val="20"/>
                <w:szCs w:val="20"/>
              </w:rPr>
              <w:t>wk</w:t>
            </w:r>
            <w:proofErr w:type="spellEnd"/>
          </w:p>
        </w:tc>
        <w:tc>
          <w:tcPr>
            <w:tcW w:w="851" w:type="dxa"/>
          </w:tcPr>
          <w:p w14:paraId="04E07C4E" w14:textId="27212E51" w:rsidR="001C2269" w:rsidRPr="00A002F2" w:rsidRDefault="00721A7A" w:rsidP="00157F3B">
            <w:pPr>
              <w:spacing w:before="0"/>
              <w:rPr>
                <w:rFonts w:ascii="Arial Narrow" w:hAnsi="Arial Narrow"/>
                <w:sz w:val="20"/>
                <w:szCs w:val="20"/>
              </w:rPr>
            </w:pPr>
            <w:r>
              <w:rPr>
                <w:rFonts w:ascii="Arial Narrow" w:hAnsi="Arial Narrow"/>
                <w:sz w:val="20"/>
                <w:szCs w:val="20"/>
              </w:rPr>
              <w:t>Low</w:t>
            </w:r>
          </w:p>
        </w:tc>
        <w:tc>
          <w:tcPr>
            <w:tcW w:w="1890" w:type="dxa"/>
          </w:tcPr>
          <w:p w14:paraId="330D7210" w14:textId="16C595F5" w:rsidR="001C2269" w:rsidRPr="00721A7A" w:rsidRDefault="00721A7A" w:rsidP="00157F3B">
            <w:pPr>
              <w:spacing w:before="0"/>
              <w:rPr>
                <w:rFonts w:ascii="Arial Narrow" w:hAnsi="Arial Narrow"/>
                <w:sz w:val="20"/>
                <w:szCs w:val="20"/>
              </w:rPr>
            </w:pPr>
            <w:r>
              <w:rPr>
                <w:rFonts w:ascii="Arial Narrow" w:hAnsi="Arial Narrow"/>
                <w:sz w:val="20"/>
                <w:szCs w:val="20"/>
              </w:rPr>
              <w:t xml:space="preserve">Ages 20-80, unilateral pes </w:t>
            </w:r>
            <w:proofErr w:type="spellStart"/>
            <w:r>
              <w:rPr>
                <w:rFonts w:ascii="Arial Narrow" w:hAnsi="Arial Narrow"/>
                <w:sz w:val="20"/>
                <w:szCs w:val="20"/>
              </w:rPr>
              <w:t>equinus</w:t>
            </w:r>
            <w:proofErr w:type="spellEnd"/>
            <w:r>
              <w:rPr>
                <w:rFonts w:ascii="Arial Narrow" w:hAnsi="Arial Narrow"/>
                <w:sz w:val="20"/>
                <w:szCs w:val="20"/>
              </w:rPr>
              <w:t xml:space="preserve"> after stroke </w:t>
            </w:r>
            <w:r>
              <w:rPr>
                <w:rFonts w:ascii="Arial Narrow" w:hAnsi="Arial Narrow"/>
                <w:sz w:val="20"/>
                <w:szCs w:val="20"/>
                <w:u w:val="single"/>
              </w:rPr>
              <w:t>&gt;</w:t>
            </w:r>
            <w:r>
              <w:rPr>
                <w:rFonts w:ascii="Arial Narrow" w:hAnsi="Arial Narrow"/>
                <w:sz w:val="20"/>
                <w:szCs w:val="20"/>
              </w:rPr>
              <w:t xml:space="preserve"> m previously causing gait impairment; MAS </w:t>
            </w:r>
            <w:r>
              <w:rPr>
                <w:rFonts w:ascii="Arial Narrow" w:hAnsi="Arial Narrow"/>
                <w:sz w:val="20"/>
                <w:szCs w:val="20"/>
                <w:u w:val="single"/>
              </w:rPr>
              <w:t>&gt;</w:t>
            </w:r>
            <w:r>
              <w:rPr>
                <w:rFonts w:ascii="Arial Narrow" w:hAnsi="Arial Narrow"/>
                <w:sz w:val="20"/>
                <w:szCs w:val="20"/>
              </w:rPr>
              <w:t>3 in plantar flexors</w:t>
            </w:r>
          </w:p>
        </w:tc>
        <w:tc>
          <w:tcPr>
            <w:tcW w:w="1559" w:type="dxa"/>
          </w:tcPr>
          <w:p w14:paraId="25DD8C5B" w14:textId="7207D905" w:rsidR="001C2269" w:rsidRPr="00A002F2" w:rsidRDefault="00721A7A" w:rsidP="00157F3B">
            <w:pPr>
              <w:spacing w:before="0"/>
              <w:rPr>
                <w:rFonts w:ascii="Arial Narrow" w:hAnsi="Arial Narrow"/>
                <w:sz w:val="20"/>
                <w:szCs w:val="20"/>
              </w:rPr>
            </w:pPr>
            <w:r>
              <w:rPr>
                <w:rFonts w:ascii="Arial Narrow" w:hAnsi="Arial Narrow"/>
                <w:sz w:val="20"/>
                <w:szCs w:val="20"/>
              </w:rPr>
              <w:t>C</w:t>
            </w:r>
            <w:r w:rsidR="00980CC5">
              <w:rPr>
                <w:rFonts w:ascii="Arial Narrow" w:hAnsi="Arial Narrow"/>
                <w:sz w:val="20"/>
                <w:szCs w:val="20"/>
              </w:rPr>
              <w:t>FB</w:t>
            </w:r>
            <w:r>
              <w:rPr>
                <w:rFonts w:ascii="Arial Narrow" w:hAnsi="Arial Narrow"/>
                <w:sz w:val="20"/>
                <w:szCs w:val="20"/>
              </w:rPr>
              <w:t xml:space="preserve"> in MAS for plantar flexors</w:t>
            </w:r>
            <w:r w:rsidR="00BE3436">
              <w:rPr>
                <w:rFonts w:ascii="Arial Narrow" w:hAnsi="Arial Narrow"/>
                <w:sz w:val="20"/>
                <w:szCs w:val="20"/>
              </w:rPr>
              <w:t xml:space="preserve"> to 12 </w:t>
            </w:r>
            <w:proofErr w:type="spellStart"/>
            <w:r w:rsidR="00BE3436">
              <w:rPr>
                <w:rFonts w:ascii="Arial Narrow" w:hAnsi="Arial Narrow"/>
                <w:sz w:val="20"/>
                <w:szCs w:val="20"/>
              </w:rPr>
              <w:t>wk</w:t>
            </w:r>
            <w:proofErr w:type="spellEnd"/>
            <w:r w:rsidR="00BE3436">
              <w:rPr>
                <w:rFonts w:ascii="Arial Narrow" w:hAnsi="Arial Narrow"/>
                <w:sz w:val="20"/>
                <w:szCs w:val="20"/>
              </w:rPr>
              <w:t xml:space="preserve"> calculated as AUC for </w:t>
            </w:r>
            <w:proofErr w:type="spellStart"/>
            <w:r w:rsidR="00BE3436">
              <w:rPr>
                <w:rFonts w:ascii="Arial Narrow" w:hAnsi="Arial Narrow"/>
                <w:sz w:val="20"/>
                <w:szCs w:val="20"/>
              </w:rPr>
              <w:t>wks</w:t>
            </w:r>
            <w:proofErr w:type="spellEnd"/>
            <w:r w:rsidR="00BE3436">
              <w:rPr>
                <w:rFonts w:ascii="Arial Narrow" w:hAnsi="Arial Narrow"/>
                <w:sz w:val="20"/>
                <w:szCs w:val="20"/>
              </w:rPr>
              <w:t xml:space="preserve"> 1,4,6,8,12</w:t>
            </w:r>
          </w:p>
        </w:tc>
        <w:tc>
          <w:tcPr>
            <w:tcW w:w="1273" w:type="dxa"/>
          </w:tcPr>
          <w:p w14:paraId="3F5E4FE8" w14:textId="54587B85" w:rsidR="001C2269" w:rsidRPr="00A002F2" w:rsidRDefault="00BE3436" w:rsidP="00157F3B">
            <w:pPr>
              <w:spacing w:before="0"/>
              <w:rPr>
                <w:rFonts w:ascii="Arial Narrow" w:hAnsi="Arial Narrow"/>
                <w:sz w:val="20"/>
                <w:szCs w:val="20"/>
              </w:rPr>
            </w:pPr>
            <w:r>
              <w:rPr>
                <w:rFonts w:ascii="Arial Narrow" w:hAnsi="Arial Narrow"/>
                <w:sz w:val="20"/>
                <w:szCs w:val="20"/>
              </w:rPr>
              <w:t>Used</w:t>
            </w:r>
          </w:p>
        </w:tc>
      </w:tr>
      <w:tr w:rsidR="00157F3B" w:rsidRPr="00A002F2" w14:paraId="095273EF" w14:textId="77777777" w:rsidTr="00054CB5">
        <w:trPr>
          <w:tblHeader/>
        </w:trPr>
        <w:tc>
          <w:tcPr>
            <w:tcW w:w="1248" w:type="dxa"/>
          </w:tcPr>
          <w:p w14:paraId="5F228494" w14:textId="28B242A2" w:rsidR="001C2269" w:rsidRPr="00A002F2" w:rsidRDefault="00FA74ED" w:rsidP="00157F3B">
            <w:pPr>
              <w:spacing w:before="0"/>
              <w:rPr>
                <w:rFonts w:ascii="Arial Narrow" w:hAnsi="Arial Narrow"/>
                <w:sz w:val="20"/>
                <w:szCs w:val="20"/>
              </w:rPr>
            </w:pPr>
            <w:r>
              <w:rPr>
                <w:rFonts w:ascii="Arial Narrow" w:hAnsi="Arial Narrow"/>
                <w:sz w:val="20"/>
                <w:szCs w:val="20"/>
              </w:rPr>
              <w:t>3002</w:t>
            </w:r>
          </w:p>
        </w:tc>
        <w:tc>
          <w:tcPr>
            <w:tcW w:w="590" w:type="dxa"/>
          </w:tcPr>
          <w:p w14:paraId="4A450FC3" w14:textId="598E13CC" w:rsidR="001C2269" w:rsidRPr="00A002F2" w:rsidRDefault="00FA74ED" w:rsidP="00157F3B">
            <w:pPr>
              <w:spacing w:before="0"/>
              <w:rPr>
                <w:rFonts w:ascii="Arial Narrow" w:hAnsi="Arial Narrow"/>
                <w:sz w:val="20"/>
                <w:szCs w:val="20"/>
              </w:rPr>
            </w:pPr>
            <w:r>
              <w:rPr>
                <w:rFonts w:ascii="Arial Narrow" w:hAnsi="Arial Narrow"/>
                <w:sz w:val="20"/>
                <w:szCs w:val="20"/>
              </w:rPr>
              <w:t>287</w:t>
            </w:r>
          </w:p>
        </w:tc>
        <w:tc>
          <w:tcPr>
            <w:tcW w:w="1701" w:type="dxa"/>
          </w:tcPr>
          <w:p w14:paraId="567A7831" w14:textId="0AB524F6" w:rsidR="001C2269" w:rsidRPr="00A002F2" w:rsidRDefault="00054CB5" w:rsidP="00157F3B">
            <w:pPr>
              <w:spacing w:before="0"/>
              <w:rPr>
                <w:rFonts w:ascii="Arial Narrow" w:hAnsi="Arial Narrow"/>
                <w:sz w:val="20"/>
                <w:szCs w:val="20"/>
              </w:rPr>
            </w:pPr>
            <w:r>
              <w:rPr>
                <w:rFonts w:ascii="Arial Narrow" w:hAnsi="Arial Narrow"/>
                <w:sz w:val="20"/>
                <w:szCs w:val="20"/>
              </w:rPr>
              <w:t xml:space="preserve">R, DB, MC; fixed dose </w:t>
            </w:r>
            <w:proofErr w:type="spellStart"/>
            <w:r>
              <w:rPr>
                <w:rFonts w:ascii="Arial Narrow" w:hAnsi="Arial Narrow"/>
                <w:sz w:val="20"/>
                <w:szCs w:val="20"/>
              </w:rPr>
              <w:t>Xeomin</w:t>
            </w:r>
            <w:proofErr w:type="spellEnd"/>
            <w:r>
              <w:rPr>
                <w:rFonts w:ascii="Arial Narrow" w:hAnsi="Arial Narrow"/>
                <w:sz w:val="20"/>
                <w:szCs w:val="20"/>
              </w:rPr>
              <w:t xml:space="preserve"> 400U across affected muscles; 12 </w:t>
            </w:r>
            <w:proofErr w:type="spellStart"/>
            <w:r>
              <w:rPr>
                <w:rFonts w:ascii="Arial Narrow" w:hAnsi="Arial Narrow"/>
                <w:sz w:val="20"/>
                <w:szCs w:val="20"/>
              </w:rPr>
              <w:t>wk</w:t>
            </w:r>
            <w:proofErr w:type="spellEnd"/>
            <w:r>
              <w:rPr>
                <w:rFonts w:ascii="Arial Narrow" w:hAnsi="Arial Narrow"/>
                <w:sz w:val="20"/>
                <w:szCs w:val="20"/>
              </w:rPr>
              <w:t xml:space="preserve"> with OLE up to 36 </w:t>
            </w:r>
            <w:proofErr w:type="spellStart"/>
            <w:r>
              <w:rPr>
                <w:rFonts w:ascii="Arial Narrow" w:hAnsi="Arial Narrow"/>
                <w:sz w:val="20"/>
                <w:szCs w:val="20"/>
              </w:rPr>
              <w:t>wk</w:t>
            </w:r>
            <w:proofErr w:type="spellEnd"/>
          </w:p>
        </w:tc>
        <w:tc>
          <w:tcPr>
            <w:tcW w:w="851" w:type="dxa"/>
          </w:tcPr>
          <w:p w14:paraId="3361CD2A" w14:textId="356DE354" w:rsidR="001C2269" w:rsidRPr="00A002F2" w:rsidRDefault="00054CB5" w:rsidP="00157F3B">
            <w:pPr>
              <w:spacing w:before="0"/>
              <w:rPr>
                <w:rFonts w:ascii="Arial Narrow" w:hAnsi="Arial Narrow"/>
                <w:sz w:val="20"/>
                <w:szCs w:val="20"/>
              </w:rPr>
            </w:pPr>
            <w:r>
              <w:rPr>
                <w:rFonts w:ascii="Arial Narrow" w:hAnsi="Arial Narrow"/>
                <w:sz w:val="20"/>
                <w:szCs w:val="20"/>
              </w:rPr>
              <w:t>Low</w:t>
            </w:r>
          </w:p>
        </w:tc>
        <w:tc>
          <w:tcPr>
            <w:tcW w:w="1890" w:type="dxa"/>
          </w:tcPr>
          <w:p w14:paraId="4A08842C" w14:textId="72FFBBCF" w:rsidR="001C2269" w:rsidRPr="006759D6" w:rsidRDefault="007E42B2" w:rsidP="00157F3B">
            <w:pPr>
              <w:spacing w:before="0"/>
              <w:rPr>
                <w:rFonts w:ascii="Arial Narrow" w:hAnsi="Arial Narrow"/>
                <w:sz w:val="20"/>
                <w:szCs w:val="20"/>
              </w:rPr>
            </w:pPr>
            <w:r>
              <w:rPr>
                <w:rFonts w:ascii="Arial Narrow" w:hAnsi="Arial Narrow"/>
                <w:sz w:val="20"/>
                <w:szCs w:val="20"/>
              </w:rPr>
              <w:t>Ages 18-80; pes equino</w:t>
            </w:r>
            <w:r w:rsidR="006759D6">
              <w:rPr>
                <w:rFonts w:ascii="Arial Narrow" w:hAnsi="Arial Narrow"/>
                <w:sz w:val="20"/>
                <w:szCs w:val="20"/>
              </w:rPr>
              <w:t xml:space="preserve">varus due to stroke at least 3 m previously causing gait impairment; AS </w:t>
            </w:r>
            <w:r w:rsidR="006759D6">
              <w:rPr>
                <w:rFonts w:ascii="Arial Narrow" w:hAnsi="Arial Narrow"/>
                <w:sz w:val="20"/>
                <w:szCs w:val="20"/>
                <w:u w:val="single"/>
              </w:rPr>
              <w:t>&gt;</w:t>
            </w:r>
            <w:r w:rsidR="006759D6">
              <w:rPr>
                <w:rFonts w:ascii="Arial Narrow" w:hAnsi="Arial Narrow"/>
                <w:sz w:val="20"/>
                <w:szCs w:val="20"/>
              </w:rPr>
              <w:t>2 in plantar flexors</w:t>
            </w:r>
          </w:p>
        </w:tc>
        <w:tc>
          <w:tcPr>
            <w:tcW w:w="1559" w:type="dxa"/>
          </w:tcPr>
          <w:p w14:paraId="43C36380" w14:textId="418561BE" w:rsidR="001C2269" w:rsidRPr="00A002F2" w:rsidRDefault="00980CC5" w:rsidP="00157F3B">
            <w:pPr>
              <w:spacing w:before="0"/>
              <w:rPr>
                <w:rFonts w:ascii="Arial Narrow" w:hAnsi="Arial Narrow"/>
                <w:sz w:val="20"/>
                <w:szCs w:val="20"/>
              </w:rPr>
            </w:pPr>
            <w:r>
              <w:rPr>
                <w:rFonts w:ascii="Arial Narrow" w:hAnsi="Arial Narrow"/>
                <w:sz w:val="20"/>
                <w:szCs w:val="20"/>
              </w:rPr>
              <w:t xml:space="preserve">CFB in AS to 4 </w:t>
            </w:r>
            <w:proofErr w:type="spellStart"/>
            <w:r>
              <w:rPr>
                <w:rFonts w:ascii="Arial Narrow" w:hAnsi="Arial Narrow"/>
                <w:sz w:val="20"/>
                <w:szCs w:val="20"/>
              </w:rPr>
              <w:t>wk</w:t>
            </w:r>
            <w:proofErr w:type="spellEnd"/>
            <w:r>
              <w:rPr>
                <w:rFonts w:ascii="Arial Narrow" w:hAnsi="Arial Narrow"/>
                <w:sz w:val="20"/>
                <w:szCs w:val="20"/>
              </w:rPr>
              <w:t>; invest</w:t>
            </w:r>
            <w:r w:rsidR="003554EF">
              <w:rPr>
                <w:rFonts w:ascii="Arial Narrow" w:hAnsi="Arial Narrow"/>
                <w:sz w:val="20"/>
                <w:szCs w:val="20"/>
              </w:rPr>
              <w:t>i</w:t>
            </w:r>
            <w:r>
              <w:rPr>
                <w:rFonts w:ascii="Arial Narrow" w:hAnsi="Arial Narrow"/>
                <w:sz w:val="20"/>
                <w:szCs w:val="20"/>
              </w:rPr>
              <w:t xml:space="preserve">gator’s GAE at 12 </w:t>
            </w:r>
            <w:proofErr w:type="spellStart"/>
            <w:r>
              <w:rPr>
                <w:rFonts w:ascii="Arial Narrow" w:hAnsi="Arial Narrow"/>
                <w:sz w:val="20"/>
                <w:szCs w:val="20"/>
              </w:rPr>
              <w:t>wk</w:t>
            </w:r>
            <w:proofErr w:type="spellEnd"/>
          </w:p>
        </w:tc>
        <w:tc>
          <w:tcPr>
            <w:tcW w:w="1273" w:type="dxa"/>
          </w:tcPr>
          <w:p w14:paraId="39CD0556" w14:textId="21604176" w:rsidR="001C2269" w:rsidRPr="00A002F2" w:rsidRDefault="00980CC5" w:rsidP="00157F3B">
            <w:pPr>
              <w:spacing w:before="0"/>
              <w:rPr>
                <w:rFonts w:ascii="Arial Narrow" w:hAnsi="Arial Narrow"/>
                <w:sz w:val="20"/>
                <w:szCs w:val="20"/>
              </w:rPr>
            </w:pPr>
            <w:r>
              <w:rPr>
                <w:rFonts w:ascii="Arial Narrow" w:hAnsi="Arial Narrow"/>
                <w:sz w:val="20"/>
                <w:szCs w:val="20"/>
              </w:rPr>
              <w:t>Not used</w:t>
            </w:r>
          </w:p>
        </w:tc>
      </w:tr>
      <w:tr w:rsidR="00980CC5" w:rsidRPr="00A002F2" w14:paraId="2C7F9031" w14:textId="77777777">
        <w:trPr>
          <w:tblHeader/>
        </w:trPr>
        <w:tc>
          <w:tcPr>
            <w:tcW w:w="9112" w:type="dxa"/>
            <w:gridSpan w:val="7"/>
          </w:tcPr>
          <w:p w14:paraId="2AAF91F8" w14:textId="09DFB901" w:rsidR="00980CC5" w:rsidRPr="00980CC5" w:rsidRDefault="00980CC5" w:rsidP="00157F3B">
            <w:pPr>
              <w:spacing w:before="0"/>
              <w:rPr>
                <w:rFonts w:ascii="Arial Narrow" w:hAnsi="Arial Narrow"/>
                <w:b/>
                <w:bCs/>
                <w:sz w:val="20"/>
                <w:szCs w:val="20"/>
              </w:rPr>
            </w:pPr>
            <w:r>
              <w:rPr>
                <w:rFonts w:ascii="Arial Narrow" w:hAnsi="Arial Narrow"/>
                <w:b/>
                <w:bCs/>
                <w:sz w:val="20"/>
                <w:szCs w:val="20"/>
              </w:rPr>
              <w:t>Botox vs Placebo</w:t>
            </w:r>
          </w:p>
        </w:tc>
      </w:tr>
      <w:tr w:rsidR="00980CC5" w:rsidRPr="00A002F2" w14:paraId="08068872" w14:textId="77777777" w:rsidTr="00054CB5">
        <w:trPr>
          <w:tblHeader/>
        </w:trPr>
        <w:tc>
          <w:tcPr>
            <w:tcW w:w="1248" w:type="dxa"/>
          </w:tcPr>
          <w:p w14:paraId="09E462B5" w14:textId="50880246" w:rsidR="00980CC5" w:rsidRPr="00A002F2" w:rsidRDefault="00CF7CCF" w:rsidP="00157F3B">
            <w:pPr>
              <w:spacing w:before="0"/>
              <w:rPr>
                <w:rFonts w:ascii="Arial Narrow" w:hAnsi="Arial Narrow"/>
                <w:sz w:val="20"/>
                <w:szCs w:val="20"/>
              </w:rPr>
            </w:pPr>
            <w:r>
              <w:rPr>
                <w:rFonts w:ascii="Arial Narrow" w:hAnsi="Arial Narrow"/>
                <w:sz w:val="20"/>
                <w:szCs w:val="20"/>
              </w:rPr>
              <w:t>REFLEX</w:t>
            </w:r>
          </w:p>
        </w:tc>
        <w:tc>
          <w:tcPr>
            <w:tcW w:w="590" w:type="dxa"/>
          </w:tcPr>
          <w:p w14:paraId="19AB6058" w14:textId="7BACB51B" w:rsidR="00980CC5" w:rsidRPr="00A002F2" w:rsidRDefault="00CF7CCF" w:rsidP="00157F3B">
            <w:pPr>
              <w:spacing w:before="0"/>
              <w:rPr>
                <w:rFonts w:ascii="Arial Narrow" w:hAnsi="Arial Narrow"/>
                <w:sz w:val="20"/>
                <w:szCs w:val="20"/>
              </w:rPr>
            </w:pPr>
            <w:r>
              <w:rPr>
                <w:rFonts w:ascii="Arial Narrow" w:hAnsi="Arial Narrow"/>
                <w:sz w:val="20"/>
                <w:szCs w:val="20"/>
              </w:rPr>
              <w:t>468</w:t>
            </w:r>
          </w:p>
        </w:tc>
        <w:tc>
          <w:tcPr>
            <w:tcW w:w="1701" w:type="dxa"/>
          </w:tcPr>
          <w:p w14:paraId="5E9BD859" w14:textId="035E6E1B" w:rsidR="00980CC5" w:rsidRPr="00A002F2" w:rsidRDefault="007B4536" w:rsidP="00157F3B">
            <w:pPr>
              <w:spacing w:before="0"/>
              <w:rPr>
                <w:rFonts w:ascii="Arial Narrow" w:hAnsi="Arial Narrow"/>
                <w:sz w:val="20"/>
                <w:szCs w:val="20"/>
              </w:rPr>
            </w:pPr>
            <w:r>
              <w:rPr>
                <w:rFonts w:ascii="Arial Narrow" w:hAnsi="Arial Narrow"/>
                <w:sz w:val="20"/>
                <w:szCs w:val="20"/>
              </w:rPr>
              <w:t xml:space="preserve">R, DB, MC; 12 </w:t>
            </w:r>
            <w:proofErr w:type="spellStart"/>
            <w:r>
              <w:rPr>
                <w:rFonts w:ascii="Arial Narrow" w:hAnsi="Arial Narrow"/>
                <w:sz w:val="20"/>
                <w:szCs w:val="20"/>
              </w:rPr>
              <w:t>wk</w:t>
            </w:r>
            <w:proofErr w:type="spellEnd"/>
            <w:r>
              <w:rPr>
                <w:rFonts w:ascii="Arial Narrow" w:hAnsi="Arial Narrow"/>
                <w:sz w:val="20"/>
                <w:szCs w:val="20"/>
              </w:rPr>
              <w:t xml:space="preserve"> with OLE</w:t>
            </w:r>
          </w:p>
        </w:tc>
        <w:tc>
          <w:tcPr>
            <w:tcW w:w="851" w:type="dxa"/>
          </w:tcPr>
          <w:p w14:paraId="1BC7BA02" w14:textId="208ACCE0" w:rsidR="00980CC5" w:rsidRPr="00A002F2" w:rsidRDefault="007B4536" w:rsidP="00157F3B">
            <w:pPr>
              <w:spacing w:before="0"/>
              <w:rPr>
                <w:rFonts w:ascii="Arial Narrow" w:hAnsi="Arial Narrow"/>
                <w:sz w:val="20"/>
                <w:szCs w:val="20"/>
              </w:rPr>
            </w:pPr>
            <w:r>
              <w:rPr>
                <w:rFonts w:ascii="Arial Narrow" w:hAnsi="Arial Narrow"/>
                <w:sz w:val="20"/>
                <w:szCs w:val="20"/>
              </w:rPr>
              <w:t>low</w:t>
            </w:r>
          </w:p>
        </w:tc>
        <w:tc>
          <w:tcPr>
            <w:tcW w:w="1890" w:type="dxa"/>
          </w:tcPr>
          <w:p w14:paraId="583792E0" w14:textId="3B22EF24" w:rsidR="00980CC5" w:rsidRPr="007B4536" w:rsidRDefault="007B4536" w:rsidP="00157F3B">
            <w:pPr>
              <w:spacing w:before="0"/>
              <w:rPr>
                <w:rFonts w:ascii="Arial Narrow" w:hAnsi="Arial Narrow"/>
                <w:sz w:val="20"/>
                <w:szCs w:val="20"/>
              </w:rPr>
            </w:pPr>
            <w:r>
              <w:rPr>
                <w:rFonts w:ascii="Arial Narrow" w:hAnsi="Arial Narrow"/>
                <w:sz w:val="20"/>
                <w:szCs w:val="20"/>
              </w:rPr>
              <w:t xml:space="preserve">Ages 18-65; MAS </w:t>
            </w:r>
            <w:r>
              <w:rPr>
                <w:rFonts w:ascii="Arial Narrow" w:hAnsi="Arial Narrow"/>
                <w:sz w:val="20"/>
                <w:szCs w:val="20"/>
                <w:u w:val="single"/>
              </w:rPr>
              <w:t>&gt;</w:t>
            </w:r>
            <w:r>
              <w:rPr>
                <w:rFonts w:ascii="Arial Narrow" w:hAnsi="Arial Narrow"/>
                <w:sz w:val="20"/>
                <w:szCs w:val="20"/>
              </w:rPr>
              <w:t>3</w:t>
            </w:r>
            <w:r w:rsidR="003554EF">
              <w:rPr>
                <w:rFonts w:ascii="Arial Narrow" w:hAnsi="Arial Narrow"/>
                <w:sz w:val="20"/>
                <w:szCs w:val="20"/>
              </w:rPr>
              <w:t xml:space="preserve"> at least 3 m after stroke</w:t>
            </w:r>
          </w:p>
        </w:tc>
        <w:tc>
          <w:tcPr>
            <w:tcW w:w="1559" w:type="dxa"/>
          </w:tcPr>
          <w:p w14:paraId="670A8565" w14:textId="154F083E" w:rsidR="00980CC5" w:rsidRPr="00A002F2" w:rsidRDefault="003554EF" w:rsidP="00157F3B">
            <w:pPr>
              <w:spacing w:before="0"/>
              <w:rPr>
                <w:rFonts w:ascii="Arial Narrow" w:hAnsi="Arial Narrow"/>
                <w:sz w:val="20"/>
                <w:szCs w:val="20"/>
              </w:rPr>
            </w:pPr>
            <w:r>
              <w:rPr>
                <w:rFonts w:ascii="Arial Narrow" w:hAnsi="Arial Narrow"/>
                <w:sz w:val="20"/>
                <w:szCs w:val="20"/>
              </w:rPr>
              <w:t xml:space="preserve">CFB MAS mean score 4 and 6 </w:t>
            </w:r>
            <w:proofErr w:type="spellStart"/>
            <w:r>
              <w:rPr>
                <w:rFonts w:ascii="Arial Narrow" w:hAnsi="Arial Narrow"/>
                <w:sz w:val="20"/>
                <w:szCs w:val="20"/>
              </w:rPr>
              <w:t>wk</w:t>
            </w:r>
            <w:proofErr w:type="spellEnd"/>
            <w:r>
              <w:rPr>
                <w:rFonts w:ascii="Arial Narrow" w:hAnsi="Arial Narrow"/>
                <w:sz w:val="20"/>
                <w:szCs w:val="20"/>
              </w:rPr>
              <w:t>; investigator’s CGI change</w:t>
            </w:r>
          </w:p>
        </w:tc>
        <w:tc>
          <w:tcPr>
            <w:tcW w:w="1273" w:type="dxa"/>
          </w:tcPr>
          <w:p w14:paraId="19AC74B8" w14:textId="2813B481" w:rsidR="00980CC5" w:rsidRPr="00A002F2" w:rsidRDefault="003554EF" w:rsidP="00157F3B">
            <w:pPr>
              <w:spacing w:before="0"/>
              <w:rPr>
                <w:rFonts w:ascii="Arial Narrow" w:hAnsi="Arial Narrow"/>
                <w:sz w:val="20"/>
                <w:szCs w:val="20"/>
              </w:rPr>
            </w:pPr>
            <w:r>
              <w:rPr>
                <w:rFonts w:ascii="Arial Narrow" w:hAnsi="Arial Narrow"/>
                <w:sz w:val="20"/>
                <w:szCs w:val="20"/>
              </w:rPr>
              <w:t>Used</w:t>
            </w:r>
          </w:p>
        </w:tc>
      </w:tr>
      <w:tr w:rsidR="00157F3B" w:rsidRPr="00A002F2" w14:paraId="0D7F80A4" w14:textId="77777777" w:rsidTr="00054CB5">
        <w:trPr>
          <w:tblHeader/>
        </w:trPr>
        <w:tc>
          <w:tcPr>
            <w:tcW w:w="1248" w:type="dxa"/>
          </w:tcPr>
          <w:p w14:paraId="34CB6B03" w14:textId="7B75CF60" w:rsidR="001C2269" w:rsidRPr="00A002F2" w:rsidRDefault="00CF7CCF" w:rsidP="00157F3B">
            <w:pPr>
              <w:spacing w:before="0"/>
              <w:rPr>
                <w:rFonts w:ascii="Arial Narrow" w:hAnsi="Arial Narrow"/>
                <w:sz w:val="20"/>
                <w:szCs w:val="20"/>
              </w:rPr>
            </w:pPr>
            <w:r>
              <w:rPr>
                <w:rFonts w:ascii="Arial Narrow" w:hAnsi="Arial Narrow"/>
                <w:sz w:val="20"/>
                <w:szCs w:val="20"/>
              </w:rPr>
              <w:t>512</w:t>
            </w:r>
          </w:p>
        </w:tc>
        <w:tc>
          <w:tcPr>
            <w:tcW w:w="590" w:type="dxa"/>
          </w:tcPr>
          <w:p w14:paraId="7AD5294E" w14:textId="45C74EFF" w:rsidR="001C2269" w:rsidRPr="00A002F2" w:rsidRDefault="00CF7CCF" w:rsidP="00157F3B">
            <w:pPr>
              <w:spacing w:before="0"/>
              <w:rPr>
                <w:rFonts w:ascii="Arial Narrow" w:hAnsi="Arial Narrow"/>
                <w:sz w:val="20"/>
                <w:szCs w:val="20"/>
              </w:rPr>
            </w:pPr>
            <w:r>
              <w:rPr>
                <w:rFonts w:ascii="Arial Narrow" w:hAnsi="Arial Narrow"/>
                <w:sz w:val="20"/>
                <w:szCs w:val="20"/>
              </w:rPr>
              <w:t>120</w:t>
            </w:r>
          </w:p>
        </w:tc>
        <w:tc>
          <w:tcPr>
            <w:tcW w:w="1701" w:type="dxa"/>
          </w:tcPr>
          <w:p w14:paraId="5E9E7FA8" w14:textId="214C8345" w:rsidR="001C2269" w:rsidRPr="00A002F2" w:rsidRDefault="003554EF" w:rsidP="00157F3B">
            <w:pPr>
              <w:spacing w:before="0"/>
              <w:rPr>
                <w:rFonts w:ascii="Arial Narrow" w:hAnsi="Arial Narrow"/>
                <w:sz w:val="20"/>
                <w:szCs w:val="20"/>
              </w:rPr>
            </w:pPr>
            <w:r>
              <w:rPr>
                <w:rFonts w:ascii="Arial Narrow" w:hAnsi="Arial Narrow"/>
                <w:sz w:val="20"/>
                <w:szCs w:val="20"/>
              </w:rPr>
              <w:t>R (method not adequately described), DB, MC (all Japan); 300U across affected muscles</w:t>
            </w:r>
          </w:p>
        </w:tc>
        <w:tc>
          <w:tcPr>
            <w:tcW w:w="851" w:type="dxa"/>
          </w:tcPr>
          <w:p w14:paraId="019446A6" w14:textId="4CE72597" w:rsidR="001C2269" w:rsidRPr="00A002F2" w:rsidRDefault="003554EF" w:rsidP="00157F3B">
            <w:pPr>
              <w:spacing w:before="0"/>
              <w:rPr>
                <w:rFonts w:ascii="Arial Narrow" w:hAnsi="Arial Narrow"/>
                <w:sz w:val="20"/>
                <w:szCs w:val="20"/>
              </w:rPr>
            </w:pPr>
            <w:r>
              <w:rPr>
                <w:rFonts w:ascii="Arial Narrow" w:hAnsi="Arial Narrow"/>
                <w:sz w:val="20"/>
                <w:szCs w:val="20"/>
              </w:rPr>
              <w:t>unclear</w:t>
            </w:r>
          </w:p>
        </w:tc>
        <w:tc>
          <w:tcPr>
            <w:tcW w:w="1890" w:type="dxa"/>
          </w:tcPr>
          <w:p w14:paraId="3066F006" w14:textId="6D4090AD" w:rsidR="001C2269" w:rsidRPr="003554EF" w:rsidRDefault="003554EF" w:rsidP="00157F3B">
            <w:pPr>
              <w:spacing w:before="0"/>
              <w:rPr>
                <w:rFonts w:ascii="Arial Narrow" w:hAnsi="Arial Narrow"/>
                <w:sz w:val="20"/>
                <w:szCs w:val="20"/>
              </w:rPr>
            </w:pPr>
            <w:r>
              <w:rPr>
                <w:rFonts w:ascii="Arial Narrow" w:hAnsi="Arial Narrow"/>
                <w:sz w:val="20"/>
                <w:szCs w:val="20"/>
              </w:rPr>
              <w:t xml:space="preserve">Ages 20-80; pes </w:t>
            </w:r>
            <w:proofErr w:type="spellStart"/>
            <w:r>
              <w:rPr>
                <w:rFonts w:ascii="Arial Narrow" w:hAnsi="Arial Narrow"/>
                <w:sz w:val="20"/>
                <w:szCs w:val="20"/>
              </w:rPr>
              <w:t>equinus</w:t>
            </w:r>
            <w:proofErr w:type="spellEnd"/>
            <w:r>
              <w:rPr>
                <w:rFonts w:ascii="Arial Narrow" w:hAnsi="Arial Narrow"/>
                <w:sz w:val="20"/>
                <w:szCs w:val="20"/>
              </w:rPr>
              <w:t xml:space="preserve"> due to stroke </w:t>
            </w:r>
            <w:r>
              <w:rPr>
                <w:rFonts w:ascii="Arial Narrow" w:hAnsi="Arial Narrow"/>
                <w:sz w:val="20"/>
                <w:szCs w:val="20"/>
                <w:u w:val="single"/>
              </w:rPr>
              <w:t>&gt;</w:t>
            </w:r>
            <w:r>
              <w:rPr>
                <w:rFonts w:ascii="Arial Narrow" w:hAnsi="Arial Narrow"/>
                <w:sz w:val="20"/>
                <w:szCs w:val="20"/>
              </w:rPr>
              <w:t xml:space="preserve">6 m previously; MAS </w:t>
            </w:r>
            <w:r>
              <w:rPr>
                <w:rFonts w:ascii="Arial Narrow" w:hAnsi="Arial Narrow"/>
                <w:sz w:val="20"/>
                <w:szCs w:val="20"/>
                <w:u w:val="single"/>
              </w:rPr>
              <w:t>&gt;</w:t>
            </w:r>
            <w:r>
              <w:rPr>
                <w:rFonts w:ascii="Arial Narrow" w:hAnsi="Arial Narrow"/>
                <w:sz w:val="20"/>
                <w:szCs w:val="20"/>
              </w:rPr>
              <w:t>3 in ankle flexors</w:t>
            </w:r>
          </w:p>
        </w:tc>
        <w:tc>
          <w:tcPr>
            <w:tcW w:w="1559" w:type="dxa"/>
          </w:tcPr>
          <w:p w14:paraId="7812E5FA" w14:textId="0116AB87" w:rsidR="001C2269" w:rsidRPr="00A002F2" w:rsidRDefault="00803872" w:rsidP="00157F3B">
            <w:pPr>
              <w:spacing w:before="0"/>
              <w:rPr>
                <w:rFonts w:ascii="Arial Narrow" w:hAnsi="Arial Narrow"/>
                <w:sz w:val="20"/>
                <w:szCs w:val="20"/>
              </w:rPr>
            </w:pPr>
            <w:r>
              <w:rPr>
                <w:rFonts w:ascii="Arial Narrow" w:hAnsi="Arial Narrow"/>
                <w:sz w:val="20"/>
                <w:szCs w:val="20"/>
              </w:rPr>
              <w:t xml:space="preserve">CFB MAS AUC at 1,2,4,6,8,12 </w:t>
            </w:r>
            <w:proofErr w:type="spellStart"/>
            <w:r>
              <w:rPr>
                <w:rFonts w:ascii="Arial Narrow" w:hAnsi="Arial Narrow"/>
                <w:sz w:val="20"/>
                <w:szCs w:val="20"/>
              </w:rPr>
              <w:t>wk</w:t>
            </w:r>
            <w:proofErr w:type="spellEnd"/>
            <w:r>
              <w:rPr>
                <w:rFonts w:ascii="Arial Narrow" w:hAnsi="Arial Narrow"/>
                <w:sz w:val="20"/>
                <w:szCs w:val="20"/>
              </w:rPr>
              <w:t>; MAS CFB</w:t>
            </w:r>
          </w:p>
        </w:tc>
        <w:tc>
          <w:tcPr>
            <w:tcW w:w="1273" w:type="dxa"/>
          </w:tcPr>
          <w:p w14:paraId="080D9E53" w14:textId="77777777" w:rsidR="001C2269" w:rsidRPr="00A002F2" w:rsidRDefault="001C2269" w:rsidP="00157F3B">
            <w:pPr>
              <w:spacing w:before="0"/>
              <w:rPr>
                <w:rFonts w:ascii="Arial Narrow" w:hAnsi="Arial Narrow"/>
                <w:sz w:val="20"/>
                <w:szCs w:val="20"/>
              </w:rPr>
            </w:pPr>
          </w:p>
        </w:tc>
      </w:tr>
    </w:tbl>
    <w:p w14:paraId="0AAF648A" w14:textId="0AC48167" w:rsidR="003C7A53" w:rsidRPr="0098262F" w:rsidRDefault="003C7A53" w:rsidP="003C7A53">
      <w:pPr>
        <w:pStyle w:val="FooterTableFigure"/>
      </w:pPr>
      <w:r w:rsidRPr="0098262F">
        <w:t xml:space="preserve">Source: </w:t>
      </w:r>
      <w:r w:rsidR="007D4829">
        <w:t xml:space="preserve">Table 3, </w:t>
      </w:r>
      <w:r>
        <w:t xml:space="preserve">6.07 incobotulinumtoxinA </w:t>
      </w:r>
      <w:r w:rsidR="007E42B2">
        <w:t xml:space="preserve">COM 03-2026 </w:t>
      </w:r>
    </w:p>
    <w:p w14:paraId="05B0C0DA" w14:textId="77777777" w:rsidR="003C7A53" w:rsidRDefault="003C7A53" w:rsidP="003C7A53">
      <w:pPr>
        <w:pStyle w:val="FooterTableFigure"/>
      </w:pPr>
      <w:r>
        <w:t xml:space="preserve">AS = Ashworth score; AUC = area under curve; CFB = change from baseline; CGI = clinical global impression; </w:t>
      </w:r>
      <w:r w:rsidRPr="0098262F">
        <w:t xml:space="preserve">DB = double blind; </w:t>
      </w:r>
      <w:r>
        <w:t xml:space="preserve">m = month; MAS = modified Ashworth score; </w:t>
      </w:r>
      <w:r w:rsidRPr="0098262F">
        <w:t>MC = multi-centre; OL = open label; R = randomised</w:t>
      </w:r>
      <w:r>
        <w:t xml:space="preserve">; </w:t>
      </w:r>
      <w:proofErr w:type="spellStart"/>
      <w:r>
        <w:t>wk</w:t>
      </w:r>
      <w:proofErr w:type="spellEnd"/>
      <w:r>
        <w:t xml:space="preserve"> = week.</w:t>
      </w:r>
    </w:p>
    <w:p w14:paraId="3B9FC2AD" w14:textId="36ABBCF0" w:rsidR="00772829" w:rsidRPr="00CE28E3" w:rsidRDefault="00772829" w:rsidP="00EB3CE8">
      <w:pPr>
        <w:pStyle w:val="Heading2"/>
        <w:numPr>
          <w:ilvl w:val="0"/>
          <w:numId w:val="13"/>
        </w:numPr>
        <w:ind w:hanging="720"/>
      </w:pPr>
      <w:bookmarkStart w:id="16" w:name="_Toc69491423"/>
      <w:r w:rsidRPr="00CE28E3">
        <w:t>Comparative safety</w:t>
      </w:r>
      <w:bookmarkEnd w:id="16"/>
      <w:r w:rsidR="00DA6A6A">
        <w:t xml:space="preserve"> </w:t>
      </w:r>
    </w:p>
    <w:p w14:paraId="73B7233D" w14:textId="64F0C59A" w:rsidR="001259B8" w:rsidRDefault="003B3E26" w:rsidP="007D4829">
      <w:pPr>
        <w:pStyle w:val="Instructionaltext"/>
        <w:spacing w:after="0"/>
        <w:rPr>
          <w:color w:val="auto"/>
        </w:rPr>
      </w:pPr>
      <w:r>
        <w:rPr>
          <w:color w:val="auto"/>
        </w:rPr>
        <w:t xml:space="preserve">PBAC ESC considered the safety and harm evidence for incobotulinumtoxinA in detail and did not identify any significant safety concerns. Overall, the safety profile of incobotulinumtoxinA was considered comparable to placebo and to </w:t>
      </w:r>
      <w:r w:rsidR="004966E2">
        <w:rPr>
          <w:color w:val="auto"/>
        </w:rPr>
        <w:t>its comparators.</w:t>
      </w:r>
    </w:p>
    <w:p w14:paraId="62EB6C60" w14:textId="614C212F" w:rsidR="00FE7D58" w:rsidRDefault="00DD7727" w:rsidP="007D4829">
      <w:pPr>
        <w:pStyle w:val="Instructionaltext"/>
        <w:spacing w:after="0"/>
        <w:rPr>
          <w:color w:val="auto"/>
        </w:rPr>
      </w:pPr>
      <w:r>
        <w:rPr>
          <w:color w:val="auto"/>
        </w:rPr>
        <w:t>PBAC ESC noted that adverse events of special interest, defined as symptoms suggestive of muscle weakness beyond the target muscle group were reported</w:t>
      </w:r>
      <w:r w:rsidR="00913C7A">
        <w:rPr>
          <w:color w:val="auto"/>
        </w:rPr>
        <w:t xml:space="preserve"> in both double</w:t>
      </w:r>
      <w:r w:rsidR="00646836">
        <w:rPr>
          <w:color w:val="auto"/>
        </w:rPr>
        <w:t>-blind and open-label phases</w:t>
      </w:r>
      <w:r>
        <w:rPr>
          <w:color w:val="auto"/>
        </w:rPr>
        <w:t>. However, these events were non-serious, and causation in individual cases was uncertain</w:t>
      </w:r>
      <w:r w:rsidR="009303F8">
        <w:rPr>
          <w:color w:val="auto"/>
        </w:rPr>
        <w:t>.</w:t>
      </w:r>
    </w:p>
    <w:p w14:paraId="3717AA01" w14:textId="32C700A4" w:rsidR="00772829" w:rsidRPr="00CE28E3" w:rsidRDefault="00772829" w:rsidP="00EB3CE8">
      <w:pPr>
        <w:pStyle w:val="Heading2"/>
        <w:numPr>
          <w:ilvl w:val="0"/>
          <w:numId w:val="13"/>
        </w:numPr>
        <w:ind w:hanging="720"/>
      </w:pPr>
      <w:bookmarkStart w:id="17" w:name="_Toc69491424"/>
      <w:r w:rsidRPr="00CE28E3">
        <w:t>Comparative effectiveness</w:t>
      </w:r>
      <w:bookmarkEnd w:id="17"/>
    </w:p>
    <w:p w14:paraId="3131070A" w14:textId="37C0D1C4" w:rsidR="00C6191E" w:rsidRDefault="00DB7C60" w:rsidP="00E3004E">
      <w:pPr>
        <w:pStyle w:val="Guidelinescross-ref"/>
        <w:rPr>
          <w:b w:val="0"/>
          <w:bCs/>
          <w:color w:val="auto"/>
          <w:sz w:val="22"/>
          <w:szCs w:val="20"/>
        </w:rPr>
      </w:pPr>
      <w:r>
        <w:rPr>
          <w:b w:val="0"/>
          <w:bCs/>
          <w:color w:val="auto"/>
          <w:sz w:val="22"/>
          <w:szCs w:val="20"/>
        </w:rPr>
        <w:t xml:space="preserve">This section provides a high-level summary of the comparative effectiveness evidence, noting key </w:t>
      </w:r>
      <w:r w:rsidR="004D7078">
        <w:rPr>
          <w:b w:val="0"/>
          <w:bCs/>
          <w:color w:val="auto"/>
          <w:sz w:val="22"/>
          <w:szCs w:val="20"/>
        </w:rPr>
        <w:t xml:space="preserve">issues </w:t>
      </w:r>
      <w:r>
        <w:rPr>
          <w:b w:val="0"/>
          <w:bCs/>
          <w:color w:val="auto"/>
          <w:sz w:val="22"/>
          <w:szCs w:val="20"/>
        </w:rPr>
        <w:t xml:space="preserve">previously </w:t>
      </w:r>
      <w:r w:rsidR="003B3E26">
        <w:rPr>
          <w:b w:val="0"/>
          <w:bCs/>
          <w:color w:val="auto"/>
          <w:sz w:val="22"/>
          <w:szCs w:val="20"/>
        </w:rPr>
        <w:t>consider</w:t>
      </w:r>
      <w:r>
        <w:rPr>
          <w:b w:val="0"/>
          <w:bCs/>
          <w:color w:val="auto"/>
          <w:sz w:val="22"/>
          <w:szCs w:val="20"/>
        </w:rPr>
        <w:t>ed by PBAC</w:t>
      </w:r>
      <w:r w:rsidR="003B3E26">
        <w:rPr>
          <w:b w:val="0"/>
          <w:bCs/>
          <w:color w:val="auto"/>
          <w:sz w:val="22"/>
          <w:szCs w:val="20"/>
        </w:rPr>
        <w:t xml:space="preserve"> ESC</w:t>
      </w:r>
      <w:r w:rsidR="00EB52C9">
        <w:rPr>
          <w:b w:val="0"/>
          <w:bCs/>
          <w:color w:val="auto"/>
          <w:sz w:val="22"/>
          <w:szCs w:val="20"/>
        </w:rPr>
        <w:t xml:space="preserve">. </w:t>
      </w:r>
    </w:p>
    <w:p w14:paraId="5B6F3DC0" w14:textId="4F5EB44B" w:rsidR="00266A4A" w:rsidRDefault="00266A4A" w:rsidP="00266A4A">
      <w:pPr>
        <w:pStyle w:val="Guidelinescross-ref"/>
        <w:rPr>
          <w:b w:val="0"/>
          <w:bCs/>
          <w:color w:val="auto"/>
          <w:sz w:val="22"/>
          <w:szCs w:val="20"/>
        </w:rPr>
      </w:pPr>
      <w:r>
        <w:rPr>
          <w:b w:val="0"/>
          <w:bCs/>
          <w:color w:val="auto"/>
          <w:sz w:val="22"/>
          <w:szCs w:val="20"/>
        </w:rPr>
        <w:t>Overall, the available evidence indicates that incobotulinumtoxinA produces small, short-term reductions in lower-limb spasticity compared with placebo to a similar extent as other botulinum toxin products. However, these reductions are modest in magnitude, are not consistently maintained over time, and does not translate into clinically meaningful improvements in functional outcomes.</w:t>
      </w:r>
    </w:p>
    <w:p w14:paraId="5ECF46C3" w14:textId="199A6CD4" w:rsidR="00327859" w:rsidRDefault="00224281" w:rsidP="00327859">
      <w:pPr>
        <w:pStyle w:val="Guidelinescross-ref"/>
        <w:rPr>
          <w:b w:val="0"/>
          <w:bCs/>
          <w:color w:val="auto"/>
          <w:sz w:val="22"/>
          <w:szCs w:val="20"/>
        </w:rPr>
      </w:pPr>
      <w:r>
        <w:rPr>
          <w:b w:val="0"/>
          <w:bCs/>
          <w:color w:val="auto"/>
          <w:sz w:val="22"/>
          <w:szCs w:val="20"/>
        </w:rPr>
        <w:lastRenderedPageBreak/>
        <w:t>Com</w:t>
      </w:r>
      <w:r w:rsidR="00C85723">
        <w:rPr>
          <w:b w:val="0"/>
          <w:bCs/>
          <w:color w:val="auto"/>
          <w:sz w:val="22"/>
          <w:szCs w:val="20"/>
        </w:rPr>
        <w:t>pa</w:t>
      </w:r>
      <w:r>
        <w:rPr>
          <w:b w:val="0"/>
          <w:bCs/>
          <w:color w:val="auto"/>
          <w:sz w:val="22"/>
          <w:szCs w:val="20"/>
        </w:rPr>
        <w:t xml:space="preserve">rative effectiveness </w:t>
      </w:r>
      <w:r w:rsidR="00C85723">
        <w:rPr>
          <w:b w:val="0"/>
          <w:bCs/>
          <w:color w:val="auto"/>
          <w:sz w:val="22"/>
          <w:szCs w:val="20"/>
        </w:rPr>
        <w:t xml:space="preserve">between </w:t>
      </w:r>
      <w:proofErr w:type="spellStart"/>
      <w:r w:rsidR="00C85723">
        <w:rPr>
          <w:b w:val="0"/>
          <w:bCs/>
          <w:color w:val="auto"/>
          <w:sz w:val="22"/>
          <w:szCs w:val="20"/>
        </w:rPr>
        <w:t>Xeomin</w:t>
      </w:r>
      <w:proofErr w:type="spellEnd"/>
      <w:r w:rsidR="00C85723">
        <w:rPr>
          <w:b w:val="0"/>
          <w:bCs/>
          <w:color w:val="auto"/>
          <w:sz w:val="22"/>
          <w:szCs w:val="20"/>
        </w:rPr>
        <w:t xml:space="preserve"> and Botox was assessed using an indirect comparison anchored </w:t>
      </w:r>
      <w:r w:rsidR="005877C8">
        <w:rPr>
          <w:b w:val="0"/>
          <w:bCs/>
          <w:color w:val="auto"/>
          <w:sz w:val="22"/>
          <w:szCs w:val="20"/>
        </w:rPr>
        <w:t>on</w:t>
      </w:r>
      <w:r w:rsidR="00C85723">
        <w:rPr>
          <w:b w:val="0"/>
          <w:bCs/>
          <w:color w:val="auto"/>
          <w:sz w:val="22"/>
          <w:szCs w:val="20"/>
        </w:rPr>
        <w:t xml:space="preserve"> placebo. While this approach has been accepted in previous </w:t>
      </w:r>
      <w:r w:rsidR="00327859">
        <w:rPr>
          <w:b w:val="0"/>
          <w:bCs/>
          <w:color w:val="auto"/>
          <w:sz w:val="22"/>
          <w:szCs w:val="20"/>
        </w:rPr>
        <w:t>PBAC considerations</w:t>
      </w:r>
      <w:r w:rsidR="00C85723">
        <w:rPr>
          <w:b w:val="0"/>
          <w:bCs/>
          <w:color w:val="auto"/>
          <w:sz w:val="22"/>
          <w:szCs w:val="20"/>
        </w:rPr>
        <w:t>,</w:t>
      </w:r>
      <w:r w:rsidR="00327859">
        <w:rPr>
          <w:b w:val="0"/>
          <w:bCs/>
          <w:color w:val="auto"/>
          <w:sz w:val="22"/>
          <w:szCs w:val="20"/>
        </w:rPr>
        <w:t xml:space="preserve"> </w:t>
      </w:r>
      <w:r w:rsidR="00C85723">
        <w:rPr>
          <w:b w:val="0"/>
          <w:bCs/>
          <w:color w:val="auto"/>
          <w:sz w:val="22"/>
          <w:szCs w:val="20"/>
        </w:rPr>
        <w:t>includ</w:t>
      </w:r>
      <w:r w:rsidR="00327859">
        <w:rPr>
          <w:b w:val="0"/>
          <w:bCs/>
          <w:color w:val="auto"/>
          <w:sz w:val="22"/>
          <w:szCs w:val="20"/>
        </w:rPr>
        <w:t xml:space="preserve">ing comparison of Ashworth and MAS outcomes, more recent PBAC consideration has expressed reservations </w:t>
      </w:r>
      <w:r w:rsidR="000B2170">
        <w:rPr>
          <w:b w:val="0"/>
          <w:bCs/>
          <w:color w:val="auto"/>
          <w:sz w:val="22"/>
          <w:szCs w:val="20"/>
        </w:rPr>
        <w:t xml:space="preserve">regarding </w:t>
      </w:r>
      <w:r w:rsidR="00327859">
        <w:rPr>
          <w:b w:val="0"/>
          <w:bCs/>
          <w:color w:val="auto"/>
          <w:sz w:val="22"/>
          <w:szCs w:val="20"/>
        </w:rPr>
        <w:t>this approach</w:t>
      </w:r>
      <w:r w:rsidR="001C2F0C">
        <w:rPr>
          <w:b w:val="0"/>
          <w:bCs/>
          <w:color w:val="auto"/>
          <w:sz w:val="22"/>
          <w:szCs w:val="20"/>
        </w:rPr>
        <w:t>.</w:t>
      </w:r>
      <w:r w:rsidR="00327859">
        <w:rPr>
          <w:rStyle w:val="FootnoteReference"/>
          <w:b w:val="0"/>
          <w:bCs/>
          <w:color w:val="auto"/>
          <w:sz w:val="22"/>
          <w:szCs w:val="20"/>
        </w:rPr>
        <w:footnoteReference w:id="11"/>
      </w:r>
      <w:r w:rsidR="00327859">
        <w:rPr>
          <w:b w:val="0"/>
          <w:bCs/>
          <w:color w:val="auto"/>
          <w:sz w:val="22"/>
          <w:szCs w:val="20"/>
        </w:rPr>
        <w:t xml:space="preserve"> </w:t>
      </w:r>
    </w:p>
    <w:p w14:paraId="213924C6" w14:textId="2031911D" w:rsidR="00772829" w:rsidRPr="00230FB4" w:rsidRDefault="00772829" w:rsidP="00223664">
      <w:pPr>
        <w:tabs>
          <w:tab w:val="left" w:pos="720"/>
          <w:tab w:val="left" w:pos="1140"/>
        </w:tabs>
        <w:spacing w:before="240" w:after="120"/>
        <w:rPr>
          <w:b/>
          <w:bCs/>
          <w:sz w:val="24"/>
          <w:szCs w:val="24"/>
        </w:rPr>
      </w:pPr>
      <w:r w:rsidRPr="00230FB4">
        <w:rPr>
          <w:b/>
          <w:bCs/>
          <w:sz w:val="24"/>
          <w:szCs w:val="24"/>
        </w:rPr>
        <w:t>Clinical claim</w:t>
      </w:r>
    </w:p>
    <w:p w14:paraId="4EC07E5B" w14:textId="06CC83D8" w:rsidR="00EF35E6" w:rsidRDefault="000E2A2A" w:rsidP="00F3686B">
      <w:pPr>
        <w:pStyle w:val="Guidelinescross-ref"/>
        <w:rPr>
          <w:b w:val="0"/>
          <w:bCs/>
          <w:color w:val="auto"/>
          <w:sz w:val="22"/>
          <w:szCs w:val="20"/>
        </w:rPr>
      </w:pPr>
      <w:r>
        <w:rPr>
          <w:b w:val="0"/>
          <w:bCs/>
          <w:color w:val="auto"/>
          <w:sz w:val="22"/>
          <w:szCs w:val="20"/>
        </w:rPr>
        <w:t xml:space="preserve">The submission claims </w:t>
      </w:r>
      <w:r w:rsidR="00F266B1">
        <w:rPr>
          <w:b w:val="0"/>
          <w:bCs/>
          <w:color w:val="auto"/>
          <w:sz w:val="22"/>
          <w:szCs w:val="20"/>
        </w:rPr>
        <w:t>incobotulinumtoxinA (</w:t>
      </w:r>
      <w:proofErr w:type="spellStart"/>
      <w:r w:rsidR="00CA49FD">
        <w:rPr>
          <w:b w:val="0"/>
          <w:bCs/>
          <w:color w:val="auto"/>
          <w:sz w:val="22"/>
          <w:szCs w:val="20"/>
        </w:rPr>
        <w:t>Xeomin</w:t>
      </w:r>
      <w:proofErr w:type="spellEnd"/>
      <w:r w:rsidR="00F266B1">
        <w:rPr>
          <w:b w:val="0"/>
          <w:bCs/>
          <w:color w:val="auto"/>
          <w:sz w:val="22"/>
          <w:szCs w:val="20"/>
        </w:rPr>
        <w:t>)</w:t>
      </w:r>
      <w:r w:rsidR="00CA49FD">
        <w:rPr>
          <w:b w:val="0"/>
          <w:bCs/>
          <w:color w:val="auto"/>
          <w:sz w:val="22"/>
          <w:szCs w:val="20"/>
        </w:rPr>
        <w:t xml:space="preserve"> is non-inferior</w:t>
      </w:r>
      <w:r w:rsidR="00992DD5">
        <w:rPr>
          <w:b w:val="0"/>
          <w:bCs/>
          <w:color w:val="auto"/>
          <w:sz w:val="22"/>
          <w:szCs w:val="20"/>
        </w:rPr>
        <w:t xml:space="preserve"> </w:t>
      </w:r>
      <w:r w:rsidR="00F266B1">
        <w:rPr>
          <w:b w:val="0"/>
          <w:bCs/>
          <w:color w:val="auto"/>
          <w:sz w:val="22"/>
          <w:szCs w:val="20"/>
        </w:rPr>
        <w:t xml:space="preserve">to </w:t>
      </w:r>
      <w:proofErr w:type="spellStart"/>
      <w:r w:rsidR="00F266B1">
        <w:rPr>
          <w:b w:val="0"/>
          <w:bCs/>
          <w:color w:val="auto"/>
          <w:sz w:val="22"/>
          <w:szCs w:val="20"/>
        </w:rPr>
        <w:t>onabotulinumtoxinA</w:t>
      </w:r>
      <w:proofErr w:type="spellEnd"/>
      <w:r w:rsidR="00F266B1">
        <w:rPr>
          <w:b w:val="0"/>
          <w:bCs/>
          <w:color w:val="auto"/>
          <w:sz w:val="22"/>
          <w:szCs w:val="20"/>
        </w:rPr>
        <w:t xml:space="preserve"> (Botox) </w:t>
      </w:r>
      <w:r w:rsidR="00992DD5">
        <w:rPr>
          <w:b w:val="0"/>
          <w:bCs/>
          <w:color w:val="auto"/>
          <w:sz w:val="22"/>
          <w:szCs w:val="20"/>
        </w:rPr>
        <w:t xml:space="preserve">in terms of safety and effectiveness in </w:t>
      </w:r>
      <w:r w:rsidR="00402C5F">
        <w:rPr>
          <w:b w:val="0"/>
          <w:bCs/>
          <w:color w:val="auto"/>
          <w:sz w:val="22"/>
          <w:szCs w:val="20"/>
        </w:rPr>
        <w:t xml:space="preserve">post-stroke </w:t>
      </w:r>
      <w:r w:rsidR="00992DD5">
        <w:rPr>
          <w:b w:val="0"/>
          <w:bCs/>
          <w:color w:val="auto"/>
          <w:sz w:val="22"/>
          <w:szCs w:val="20"/>
        </w:rPr>
        <w:t>patients</w:t>
      </w:r>
      <w:r w:rsidR="00402C5F">
        <w:rPr>
          <w:b w:val="0"/>
          <w:bCs/>
          <w:color w:val="auto"/>
          <w:sz w:val="22"/>
          <w:szCs w:val="20"/>
        </w:rPr>
        <w:t xml:space="preserve"> </w:t>
      </w:r>
      <w:r w:rsidR="00992DD5">
        <w:rPr>
          <w:b w:val="0"/>
          <w:bCs/>
          <w:color w:val="auto"/>
          <w:sz w:val="22"/>
          <w:szCs w:val="20"/>
        </w:rPr>
        <w:t xml:space="preserve">with lower-limb spasticity. </w:t>
      </w:r>
      <w:proofErr w:type="gramStart"/>
      <w:r w:rsidR="007169CD">
        <w:rPr>
          <w:b w:val="0"/>
          <w:bCs/>
          <w:color w:val="auto"/>
          <w:sz w:val="22"/>
          <w:szCs w:val="20"/>
        </w:rPr>
        <w:t>On the basis of</w:t>
      </w:r>
      <w:proofErr w:type="gramEnd"/>
      <w:r w:rsidR="007169CD">
        <w:rPr>
          <w:b w:val="0"/>
          <w:bCs/>
          <w:color w:val="auto"/>
          <w:sz w:val="22"/>
          <w:szCs w:val="20"/>
        </w:rPr>
        <w:t xml:space="preserve"> this non-inferiority claim, the sponsor proposed </w:t>
      </w:r>
      <w:r w:rsidR="00957F21">
        <w:rPr>
          <w:b w:val="0"/>
          <w:bCs/>
          <w:color w:val="auto"/>
          <w:sz w:val="22"/>
          <w:szCs w:val="20"/>
        </w:rPr>
        <w:t xml:space="preserve">a </w:t>
      </w:r>
      <w:r w:rsidR="00402C5F">
        <w:rPr>
          <w:b w:val="0"/>
          <w:bCs/>
          <w:color w:val="auto"/>
          <w:sz w:val="22"/>
          <w:szCs w:val="20"/>
        </w:rPr>
        <w:t xml:space="preserve">cost-minimisation approach for this codependent </w:t>
      </w:r>
      <w:r w:rsidR="00E33B5A">
        <w:rPr>
          <w:b w:val="0"/>
          <w:bCs/>
          <w:color w:val="auto"/>
          <w:sz w:val="22"/>
          <w:szCs w:val="20"/>
        </w:rPr>
        <w:t>application</w:t>
      </w:r>
      <w:r w:rsidR="00957F21">
        <w:rPr>
          <w:b w:val="0"/>
          <w:bCs/>
          <w:color w:val="auto"/>
          <w:sz w:val="22"/>
          <w:szCs w:val="20"/>
        </w:rPr>
        <w:t>,</w:t>
      </w:r>
      <w:r w:rsidR="00E33B5A">
        <w:rPr>
          <w:b w:val="0"/>
          <w:bCs/>
          <w:color w:val="auto"/>
          <w:sz w:val="22"/>
          <w:szCs w:val="20"/>
        </w:rPr>
        <w:t xml:space="preserve"> using </w:t>
      </w:r>
      <w:r w:rsidR="008F22EF">
        <w:rPr>
          <w:b w:val="0"/>
          <w:bCs/>
          <w:color w:val="auto"/>
          <w:sz w:val="22"/>
          <w:szCs w:val="20"/>
        </w:rPr>
        <w:t xml:space="preserve">only </w:t>
      </w:r>
      <w:r w:rsidR="00E33B5A">
        <w:rPr>
          <w:b w:val="0"/>
          <w:bCs/>
          <w:color w:val="auto"/>
          <w:sz w:val="22"/>
          <w:szCs w:val="20"/>
        </w:rPr>
        <w:t xml:space="preserve">Botox as </w:t>
      </w:r>
      <w:r w:rsidR="00957F21">
        <w:rPr>
          <w:b w:val="0"/>
          <w:bCs/>
          <w:color w:val="auto"/>
          <w:sz w:val="22"/>
          <w:szCs w:val="20"/>
        </w:rPr>
        <w:t>the primary</w:t>
      </w:r>
      <w:r w:rsidR="00E33B5A">
        <w:rPr>
          <w:b w:val="0"/>
          <w:bCs/>
          <w:color w:val="auto"/>
          <w:sz w:val="22"/>
          <w:szCs w:val="20"/>
        </w:rPr>
        <w:t xml:space="preserve"> comparator.</w:t>
      </w:r>
    </w:p>
    <w:p w14:paraId="0D09C9E4" w14:textId="0C4BDD9D" w:rsidR="00772829" w:rsidRPr="00CE28E3" w:rsidRDefault="00772829" w:rsidP="00EB3CE8">
      <w:pPr>
        <w:pStyle w:val="Heading2"/>
        <w:numPr>
          <w:ilvl w:val="0"/>
          <w:numId w:val="13"/>
        </w:numPr>
        <w:ind w:hanging="720"/>
      </w:pPr>
      <w:bookmarkStart w:id="18" w:name="_Toc69491425"/>
      <w:r w:rsidRPr="00CE28E3">
        <w:t>Economic evaluation</w:t>
      </w:r>
      <w:bookmarkEnd w:id="18"/>
    </w:p>
    <w:p w14:paraId="35EDCCA8" w14:textId="0AB24EDA" w:rsidR="00FD5D34" w:rsidRDefault="003E3965" w:rsidP="00666912">
      <w:pPr>
        <w:pStyle w:val="Instructionaltext"/>
        <w:rPr>
          <w:color w:val="auto"/>
        </w:rPr>
      </w:pPr>
      <w:r>
        <w:rPr>
          <w:color w:val="auto"/>
        </w:rPr>
        <w:t xml:space="preserve">The submission </w:t>
      </w:r>
      <w:r w:rsidR="003863FE">
        <w:rPr>
          <w:color w:val="auto"/>
        </w:rPr>
        <w:t xml:space="preserve">considered that the PBS listing of </w:t>
      </w:r>
      <w:proofErr w:type="spellStart"/>
      <w:r w:rsidR="003863FE">
        <w:rPr>
          <w:color w:val="auto"/>
        </w:rPr>
        <w:t>Xeomin</w:t>
      </w:r>
      <w:proofErr w:type="spellEnd"/>
      <w:r w:rsidR="003863FE">
        <w:rPr>
          <w:color w:val="auto"/>
        </w:rPr>
        <w:t xml:space="preserve"> would not change the clinical management algorithm</w:t>
      </w:r>
      <w:r w:rsidR="00537F9B">
        <w:rPr>
          <w:color w:val="auto"/>
        </w:rPr>
        <w:t xml:space="preserve"> or the delivery of the injection service</w:t>
      </w:r>
      <w:r w:rsidR="00D6646F">
        <w:rPr>
          <w:color w:val="auto"/>
        </w:rPr>
        <w:t xml:space="preserve">. </w:t>
      </w:r>
      <w:proofErr w:type="spellStart"/>
      <w:r w:rsidR="00793C4E">
        <w:rPr>
          <w:color w:val="auto"/>
        </w:rPr>
        <w:t>Xeomin</w:t>
      </w:r>
      <w:proofErr w:type="spellEnd"/>
      <w:r w:rsidR="00793C4E">
        <w:rPr>
          <w:color w:val="auto"/>
        </w:rPr>
        <w:t xml:space="preserve"> w</w:t>
      </w:r>
      <w:r w:rsidR="00E03F6D">
        <w:rPr>
          <w:color w:val="auto"/>
        </w:rPr>
        <w:t>ould</w:t>
      </w:r>
      <w:r w:rsidR="00793C4E">
        <w:rPr>
          <w:color w:val="auto"/>
        </w:rPr>
        <w:t xml:space="preserve"> provide an alternative option for clinicians and patients to the currently listed botulinum toxin products</w:t>
      </w:r>
      <w:r w:rsidR="002D7E7F">
        <w:rPr>
          <w:color w:val="auto"/>
        </w:rPr>
        <w:t>,</w:t>
      </w:r>
      <w:r w:rsidR="00793C4E">
        <w:rPr>
          <w:color w:val="auto"/>
        </w:rPr>
        <w:t xml:space="preserve"> with injection</w:t>
      </w:r>
      <w:r w:rsidR="00DB5DA8">
        <w:rPr>
          <w:color w:val="auto"/>
        </w:rPr>
        <w:t>s delivered under the same MBS item and in the same clinical settings</w:t>
      </w:r>
      <w:r w:rsidR="00793C4E">
        <w:rPr>
          <w:color w:val="auto"/>
        </w:rPr>
        <w:t>.</w:t>
      </w:r>
      <w:r w:rsidR="00666912">
        <w:rPr>
          <w:color w:val="auto"/>
        </w:rPr>
        <w:t xml:space="preserve"> </w:t>
      </w:r>
      <w:r w:rsidR="00E74B8B">
        <w:rPr>
          <w:color w:val="auto"/>
        </w:rPr>
        <w:t>As t</w:t>
      </w:r>
      <w:r w:rsidR="00C0520F">
        <w:rPr>
          <w:color w:val="auto"/>
        </w:rPr>
        <w:t xml:space="preserve">he </w:t>
      </w:r>
      <w:r w:rsidR="00E74B8B">
        <w:rPr>
          <w:color w:val="auto"/>
        </w:rPr>
        <w:t xml:space="preserve">existing </w:t>
      </w:r>
      <w:r w:rsidR="00BE2341">
        <w:rPr>
          <w:color w:val="auto"/>
        </w:rPr>
        <w:t>MBS item</w:t>
      </w:r>
      <w:r w:rsidR="00C0520F">
        <w:rPr>
          <w:color w:val="auto"/>
        </w:rPr>
        <w:t xml:space="preserve"> would continue to be claimed regardless </w:t>
      </w:r>
      <w:r w:rsidR="00E74B8B">
        <w:rPr>
          <w:color w:val="auto"/>
        </w:rPr>
        <w:t xml:space="preserve">of </w:t>
      </w:r>
      <w:r w:rsidR="00C0520F">
        <w:rPr>
          <w:color w:val="auto"/>
        </w:rPr>
        <w:t xml:space="preserve">which </w:t>
      </w:r>
      <w:r w:rsidR="00842A64">
        <w:rPr>
          <w:color w:val="auto"/>
        </w:rPr>
        <w:t>PBS-subsidised botulinum toxin product is supplied</w:t>
      </w:r>
      <w:r w:rsidR="00E74B8B">
        <w:rPr>
          <w:color w:val="auto"/>
        </w:rPr>
        <w:t>, the inclusion of</w:t>
      </w:r>
      <w:r w:rsidR="005D7542">
        <w:rPr>
          <w:color w:val="auto"/>
        </w:rPr>
        <w:t xml:space="preserve"> </w:t>
      </w:r>
      <w:proofErr w:type="spellStart"/>
      <w:r w:rsidR="005D7542">
        <w:rPr>
          <w:color w:val="auto"/>
        </w:rPr>
        <w:t>Xeomin</w:t>
      </w:r>
      <w:proofErr w:type="spellEnd"/>
      <w:r w:rsidR="005D7542">
        <w:rPr>
          <w:color w:val="auto"/>
        </w:rPr>
        <w:t xml:space="preserve"> in the current item descriptor is not expected to result in </w:t>
      </w:r>
      <w:r w:rsidR="00C57086">
        <w:rPr>
          <w:color w:val="auto"/>
        </w:rPr>
        <w:t>additional costs per one botulinum toxin administration.</w:t>
      </w:r>
    </w:p>
    <w:p w14:paraId="25AE2BAC" w14:textId="43C56405" w:rsidR="00772829" w:rsidRPr="00CE28E3" w:rsidRDefault="00772829" w:rsidP="00EB3CE8">
      <w:pPr>
        <w:pStyle w:val="Heading2"/>
        <w:numPr>
          <w:ilvl w:val="0"/>
          <w:numId w:val="13"/>
        </w:numPr>
        <w:ind w:hanging="720"/>
      </w:pPr>
      <w:bookmarkStart w:id="19" w:name="_Toc69491426"/>
      <w:r w:rsidRPr="00CE28E3">
        <w:t>Financial/budgetary impacts</w:t>
      </w:r>
      <w:bookmarkEnd w:id="19"/>
    </w:p>
    <w:p w14:paraId="7DDA4FEF" w14:textId="40E5D4E1" w:rsidR="00102FD5" w:rsidRDefault="006C504F" w:rsidP="00760C54">
      <w:pPr>
        <w:pStyle w:val="Instructionaltext"/>
        <w:rPr>
          <w:iCs/>
          <w:color w:val="auto"/>
          <w:szCs w:val="24"/>
        </w:rPr>
      </w:pPr>
      <w:r>
        <w:rPr>
          <w:iCs/>
          <w:color w:val="auto"/>
          <w:szCs w:val="24"/>
        </w:rPr>
        <w:t>The</w:t>
      </w:r>
      <w:r w:rsidR="00102FD5">
        <w:rPr>
          <w:iCs/>
          <w:color w:val="auto"/>
          <w:szCs w:val="24"/>
        </w:rPr>
        <w:t xml:space="preserve"> financial impact was modelled as substitution from existing botulinum toxin products rather than expansion of the treated population. With Botox nominated as the dominant product in current use (78%)</w:t>
      </w:r>
      <w:r w:rsidR="00743D03">
        <w:rPr>
          <w:iCs/>
          <w:color w:val="auto"/>
          <w:szCs w:val="24"/>
        </w:rPr>
        <w:t xml:space="preserve">, most substitution </w:t>
      </w:r>
      <w:r w:rsidR="00444980">
        <w:rPr>
          <w:iCs/>
          <w:color w:val="auto"/>
          <w:szCs w:val="24"/>
        </w:rPr>
        <w:t xml:space="preserve">to </w:t>
      </w:r>
      <w:proofErr w:type="spellStart"/>
      <w:r w:rsidR="00444980">
        <w:rPr>
          <w:iCs/>
          <w:color w:val="auto"/>
          <w:szCs w:val="24"/>
        </w:rPr>
        <w:t>Xeomin</w:t>
      </w:r>
      <w:proofErr w:type="spellEnd"/>
      <w:r w:rsidR="00444980">
        <w:rPr>
          <w:iCs/>
          <w:color w:val="auto"/>
          <w:szCs w:val="24"/>
        </w:rPr>
        <w:t xml:space="preserve"> is expected to occur from Botox rather than Dysport. </w:t>
      </w:r>
      <w:r w:rsidR="00802499">
        <w:rPr>
          <w:iCs/>
          <w:color w:val="auto"/>
          <w:szCs w:val="24"/>
        </w:rPr>
        <w:t>The</w:t>
      </w:r>
      <w:r w:rsidR="00C81947">
        <w:rPr>
          <w:iCs/>
          <w:color w:val="auto"/>
          <w:szCs w:val="24"/>
        </w:rPr>
        <w:t xml:space="preserve"> financial estimates incorporated an annual market growth rate of </w:t>
      </w:r>
      <w:r w:rsidR="00A957A9">
        <w:rPr>
          <w:iCs/>
          <w:color w:val="auto"/>
          <w:szCs w:val="24"/>
        </w:rPr>
        <w:t xml:space="preserve">botulinum toxin products of 20.7% and a staged displacement profile for </w:t>
      </w:r>
      <w:proofErr w:type="spellStart"/>
      <w:r w:rsidR="00A957A9">
        <w:rPr>
          <w:iCs/>
          <w:color w:val="auto"/>
          <w:szCs w:val="24"/>
        </w:rPr>
        <w:t>Xeomin</w:t>
      </w:r>
      <w:proofErr w:type="spellEnd"/>
      <w:r w:rsidR="00A957A9">
        <w:rPr>
          <w:iCs/>
          <w:color w:val="auto"/>
          <w:szCs w:val="24"/>
        </w:rPr>
        <w:t xml:space="preserve"> in </w:t>
      </w:r>
      <w:r w:rsidR="00C511A7" w:rsidRPr="00C511A7">
        <w:rPr>
          <w:iCs/>
          <w:color w:val="auto"/>
          <w:szCs w:val="24"/>
        </w:rPr>
        <w:fldChar w:fldCharType="begin"/>
      </w:r>
      <w:r w:rsidR="00C511A7" w:rsidRPr="00C511A7">
        <w:rPr>
          <w:iCs/>
          <w:color w:val="auto"/>
          <w:szCs w:val="24"/>
        </w:rPr>
        <w:instrText xml:space="preserve"> REF _Ref223344240 \h </w:instrText>
      </w:r>
      <w:r w:rsidR="00C511A7" w:rsidRPr="00C511A7">
        <w:rPr>
          <w:iCs/>
          <w:color w:val="auto"/>
          <w:szCs w:val="24"/>
        </w:rPr>
      </w:r>
      <w:r w:rsidR="00C511A7" w:rsidRPr="00C511A7">
        <w:rPr>
          <w:iCs/>
          <w:color w:val="auto"/>
          <w:szCs w:val="24"/>
        </w:rPr>
        <w:fldChar w:fldCharType="separate"/>
      </w:r>
      <w:r w:rsidR="00C511A7" w:rsidRPr="00C511A7">
        <w:rPr>
          <w:color w:val="auto"/>
        </w:rPr>
        <w:t xml:space="preserve">Table </w:t>
      </w:r>
      <w:r w:rsidR="00C511A7" w:rsidRPr="00C511A7">
        <w:rPr>
          <w:noProof/>
          <w:color w:val="auto"/>
        </w:rPr>
        <w:t>3</w:t>
      </w:r>
      <w:r w:rsidR="00C511A7" w:rsidRPr="00C511A7">
        <w:rPr>
          <w:iCs/>
          <w:color w:val="auto"/>
          <w:szCs w:val="24"/>
        </w:rPr>
        <w:fldChar w:fldCharType="end"/>
      </w:r>
      <w:r w:rsidR="00A957A9">
        <w:rPr>
          <w:iCs/>
          <w:color w:val="auto"/>
          <w:szCs w:val="24"/>
        </w:rPr>
        <w:t>.</w:t>
      </w:r>
    </w:p>
    <w:p w14:paraId="6680C010" w14:textId="0FB1F16D" w:rsidR="00C511A7" w:rsidRDefault="00C511A7" w:rsidP="00C511A7">
      <w:pPr>
        <w:pStyle w:val="Caption"/>
      </w:pPr>
      <w:bookmarkStart w:id="20" w:name="_Ref223344240"/>
      <w:bookmarkStart w:id="21" w:name="_Ref221877823"/>
      <w:r>
        <w:t xml:space="preserve">Table </w:t>
      </w:r>
      <w:r>
        <w:fldChar w:fldCharType="begin"/>
      </w:r>
      <w:r>
        <w:instrText>SEQ Table \* ARABIC</w:instrText>
      </w:r>
      <w:r>
        <w:fldChar w:fldCharType="separate"/>
      </w:r>
      <w:r>
        <w:rPr>
          <w:noProof/>
        </w:rPr>
        <w:t>3</w:t>
      </w:r>
      <w:r>
        <w:fldChar w:fldCharType="end"/>
      </w:r>
      <w:bookmarkEnd w:id="20"/>
      <w:r>
        <w:t xml:space="preserve"> </w:t>
      </w:r>
      <w:proofErr w:type="spellStart"/>
      <w:r>
        <w:t>Xeomin</w:t>
      </w:r>
      <w:proofErr w:type="spellEnd"/>
      <w:r>
        <w:t xml:space="preserve"> displacement rate</w:t>
      </w:r>
    </w:p>
    <w:tbl>
      <w:tblPr>
        <w:tblStyle w:val="TableGrid"/>
        <w:tblW w:w="9356" w:type="dxa"/>
        <w:tblInd w:w="-5" w:type="dxa"/>
        <w:tblLayout w:type="fixed"/>
        <w:tblLook w:val="04A0" w:firstRow="1" w:lastRow="0" w:firstColumn="1" w:lastColumn="0" w:noHBand="0" w:noVBand="1"/>
      </w:tblPr>
      <w:tblGrid>
        <w:gridCol w:w="2552"/>
        <w:gridCol w:w="1134"/>
        <w:gridCol w:w="1134"/>
        <w:gridCol w:w="1134"/>
        <w:gridCol w:w="1134"/>
        <w:gridCol w:w="1134"/>
        <w:gridCol w:w="1134"/>
      </w:tblGrid>
      <w:tr w:rsidR="007F11E8" w:rsidRPr="0083438F" w14:paraId="35E9455F" w14:textId="77777777" w:rsidTr="00F70B89">
        <w:trPr>
          <w:trHeight w:val="512"/>
        </w:trPr>
        <w:tc>
          <w:tcPr>
            <w:tcW w:w="2552" w:type="dxa"/>
            <w:shd w:val="clear" w:color="auto" w:fill="D9D9D9" w:themeFill="background1" w:themeFillShade="D9"/>
          </w:tcPr>
          <w:bookmarkEnd w:id="21"/>
          <w:p w14:paraId="1C6E0ADA" w14:textId="77777777" w:rsidR="007F11E8" w:rsidRPr="0083438F" w:rsidRDefault="007F11E8">
            <w:pPr>
              <w:pStyle w:val="TableText"/>
              <w:jc w:val="center"/>
              <w:rPr>
                <w:b/>
                <w:bCs/>
              </w:rPr>
            </w:pPr>
            <w:r w:rsidRPr="0083438F">
              <w:rPr>
                <w:b/>
                <w:bCs/>
              </w:rPr>
              <w:t>Brand name, molecule name</w:t>
            </w:r>
          </w:p>
        </w:tc>
        <w:tc>
          <w:tcPr>
            <w:tcW w:w="1134" w:type="dxa"/>
            <w:shd w:val="clear" w:color="auto" w:fill="D9D9D9" w:themeFill="background1" w:themeFillShade="D9"/>
          </w:tcPr>
          <w:p w14:paraId="44A3162D" w14:textId="44211B13" w:rsidR="007F11E8" w:rsidRPr="0083438F" w:rsidRDefault="007F11E8">
            <w:pPr>
              <w:pStyle w:val="TableText"/>
              <w:jc w:val="center"/>
              <w:rPr>
                <w:b/>
                <w:bCs/>
              </w:rPr>
            </w:pPr>
            <w:r w:rsidRPr="0083438F">
              <w:rPr>
                <w:b/>
                <w:bCs/>
              </w:rPr>
              <w:t>202</w:t>
            </w:r>
            <w:r w:rsidR="007172CA">
              <w:rPr>
                <w:b/>
                <w:bCs/>
              </w:rPr>
              <w:t>5</w:t>
            </w:r>
          </w:p>
        </w:tc>
        <w:tc>
          <w:tcPr>
            <w:tcW w:w="1134" w:type="dxa"/>
            <w:shd w:val="clear" w:color="auto" w:fill="D9D9D9" w:themeFill="background1" w:themeFillShade="D9"/>
          </w:tcPr>
          <w:p w14:paraId="3F96930A" w14:textId="27C311C7" w:rsidR="007F11E8" w:rsidRPr="0083438F" w:rsidRDefault="007F11E8">
            <w:pPr>
              <w:pStyle w:val="TableText"/>
              <w:jc w:val="center"/>
              <w:rPr>
                <w:b/>
                <w:bCs/>
              </w:rPr>
            </w:pPr>
            <w:r w:rsidRPr="0083438F">
              <w:rPr>
                <w:b/>
                <w:bCs/>
              </w:rPr>
              <w:t>202</w:t>
            </w:r>
            <w:r w:rsidR="007172CA">
              <w:rPr>
                <w:b/>
                <w:bCs/>
              </w:rPr>
              <w:t>7</w:t>
            </w:r>
          </w:p>
        </w:tc>
        <w:tc>
          <w:tcPr>
            <w:tcW w:w="1134" w:type="dxa"/>
            <w:shd w:val="clear" w:color="auto" w:fill="D9D9D9" w:themeFill="background1" w:themeFillShade="D9"/>
          </w:tcPr>
          <w:p w14:paraId="0E93C68B" w14:textId="375FFB17" w:rsidR="007F11E8" w:rsidRPr="0083438F" w:rsidRDefault="007F11E8">
            <w:pPr>
              <w:pStyle w:val="TableText"/>
              <w:jc w:val="center"/>
              <w:rPr>
                <w:b/>
                <w:bCs/>
              </w:rPr>
            </w:pPr>
            <w:r w:rsidRPr="0083438F">
              <w:rPr>
                <w:b/>
                <w:bCs/>
              </w:rPr>
              <w:t>202</w:t>
            </w:r>
            <w:r w:rsidR="007172CA">
              <w:rPr>
                <w:b/>
                <w:bCs/>
              </w:rPr>
              <w:t>8</w:t>
            </w:r>
          </w:p>
        </w:tc>
        <w:tc>
          <w:tcPr>
            <w:tcW w:w="1134" w:type="dxa"/>
            <w:shd w:val="clear" w:color="auto" w:fill="D9D9D9" w:themeFill="background1" w:themeFillShade="D9"/>
          </w:tcPr>
          <w:p w14:paraId="56348927" w14:textId="72EB18BA" w:rsidR="007F11E8" w:rsidRPr="0083438F" w:rsidRDefault="007F11E8">
            <w:pPr>
              <w:pStyle w:val="TableText"/>
              <w:jc w:val="center"/>
              <w:rPr>
                <w:b/>
                <w:bCs/>
              </w:rPr>
            </w:pPr>
            <w:r w:rsidRPr="0083438F">
              <w:rPr>
                <w:b/>
                <w:bCs/>
              </w:rPr>
              <w:t>202</w:t>
            </w:r>
            <w:r w:rsidR="007172CA">
              <w:rPr>
                <w:b/>
                <w:bCs/>
              </w:rPr>
              <w:t>9</w:t>
            </w:r>
          </w:p>
        </w:tc>
        <w:tc>
          <w:tcPr>
            <w:tcW w:w="1134" w:type="dxa"/>
            <w:shd w:val="clear" w:color="auto" w:fill="D9D9D9" w:themeFill="background1" w:themeFillShade="D9"/>
          </w:tcPr>
          <w:p w14:paraId="387E8206" w14:textId="07B2083B" w:rsidR="007F11E8" w:rsidRPr="0083438F" w:rsidRDefault="007F11E8">
            <w:pPr>
              <w:pStyle w:val="TableText"/>
              <w:jc w:val="center"/>
              <w:rPr>
                <w:b/>
                <w:bCs/>
              </w:rPr>
            </w:pPr>
            <w:r w:rsidRPr="0083438F">
              <w:rPr>
                <w:b/>
                <w:bCs/>
              </w:rPr>
              <w:t>20</w:t>
            </w:r>
            <w:r w:rsidR="007172CA">
              <w:rPr>
                <w:b/>
                <w:bCs/>
              </w:rPr>
              <w:t>30</w:t>
            </w:r>
          </w:p>
        </w:tc>
        <w:tc>
          <w:tcPr>
            <w:tcW w:w="1134" w:type="dxa"/>
            <w:shd w:val="clear" w:color="auto" w:fill="D9D9D9" w:themeFill="background1" w:themeFillShade="D9"/>
          </w:tcPr>
          <w:p w14:paraId="684EE663" w14:textId="19FAE61E" w:rsidR="007F11E8" w:rsidRPr="0083438F" w:rsidRDefault="007F11E8">
            <w:pPr>
              <w:pStyle w:val="TableText"/>
              <w:jc w:val="center"/>
              <w:rPr>
                <w:b/>
                <w:bCs/>
              </w:rPr>
            </w:pPr>
            <w:r w:rsidRPr="0083438F">
              <w:rPr>
                <w:b/>
                <w:bCs/>
              </w:rPr>
              <w:t>203</w:t>
            </w:r>
            <w:r w:rsidR="007172CA">
              <w:rPr>
                <w:b/>
                <w:bCs/>
              </w:rPr>
              <w:t>1</w:t>
            </w:r>
          </w:p>
        </w:tc>
      </w:tr>
      <w:tr w:rsidR="00F70B89" w:rsidRPr="0083438F" w14:paraId="36C4683F" w14:textId="77777777" w:rsidTr="00F70B89">
        <w:trPr>
          <w:trHeight w:val="529"/>
        </w:trPr>
        <w:tc>
          <w:tcPr>
            <w:tcW w:w="2552" w:type="dxa"/>
          </w:tcPr>
          <w:p w14:paraId="51172C72" w14:textId="77777777" w:rsidR="00F70B89" w:rsidRPr="0083438F" w:rsidRDefault="00F70B89" w:rsidP="00F70B89">
            <w:pPr>
              <w:pStyle w:val="TableText"/>
            </w:pPr>
            <w:proofErr w:type="spellStart"/>
            <w:r w:rsidRPr="0083438F">
              <w:t>Xeomin</w:t>
            </w:r>
            <w:proofErr w:type="spellEnd"/>
            <w:r w:rsidRPr="0083438F">
              <w:t>, incobotulinumtoxinA</w:t>
            </w:r>
          </w:p>
        </w:tc>
        <w:tc>
          <w:tcPr>
            <w:tcW w:w="1134" w:type="dxa"/>
          </w:tcPr>
          <w:p w14:paraId="0110F094" w14:textId="01E3729B" w:rsidR="00F70B89" w:rsidRPr="00207730" w:rsidRDefault="00F70B89" w:rsidP="00F70B89">
            <w:pPr>
              <w:pStyle w:val="TableText"/>
              <w:jc w:val="right"/>
              <w:rPr>
                <w:vertAlign w:val="superscript"/>
              </w:rPr>
            </w:pPr>
            <w:r w:rsidRPr="00207730">
              <w:rPr>
                <w:b/>
                <w:bCs/>
              </w:rPr>
              <w:t>redacted</w:t>
            </w:r>
            <w:r w:rsidRPr="00207730">
              <w:t>%</w:t>
            </w:r>
            <w:r w:rsidRPr="00207730">
              <w:rPr>
                <w:vertAlign w:val="superscript"/>
              </w:rPr>
              <w:t>1</w:t>
            </w:r>
          </w:p>
        </w:tc>
        <w:tc>
          <w:tcPr>
            <w:tcW w:w="1134" w:type="dxa"/>
          </w:tcPr>
          <w:p w14:paraId="01EA051B" w14:textId="129AB79C" w:rsidR="00F70B89" w:rsidRPr="00207730" w:rsidRDefault="00F70B89" w:rsidP="00F70B89">
            <w:pPr>
              <w:pStyle w:val="TableText"/>
              <w:jc w:val="right"/>
            </w:pPr>
            <w:r w:rsidRPr="00207730">
              <w:rPr>
                <w:b/>
                <w:bCs/>
              </w:rPr>
              <w:t>redacted</w:t>
            </w:r>
            <w:r w:rsidRPr="00207730">
              <w:t>%</w:t>
            </w:r>
            <w:r w:rsidRPr="00207730">
              <w:rPr>
                <w:vertAlign w:val="superscript"/>
              </w:rPr>
              <w:t>1</w:t>
            </w:r>
          </w:p>
        </w:tc>
        <w:tc>
          <w:tcPr>
            <w:tcW w:w="1134" w:type="dxa"/>
          </w:tcPr>
          <w:p w14:paraId="09D29E27" w14:textId="74699C36" w:rsidR="00F70B89" w:rsidRPr="00207730" w:rsidRDefault="00F70B89" w:rsidP="00F70B89">
            <w:pPr>
              <w:pStyle w:val="TableText"/>
              <w:jc w:val="right"/>
            </w:pPr>
            <w:r w:rsidRPr="00207730">
              <w:rPr>
                <w:b/>
                <w:bCs/>
              </w:rPr>
              <w:t>redacted</w:t>
            </w:r>
            <w:r w:rsidRPr="00207730">
              <w:t>%</w:t>
            </w:r>
            <w:r w:rsidRPr="00207730">
              <w:rPr>
                <w:vertAlign w:val="superscript"/>
              </w:rPr>
              <w:t>1</w:t>
            </w:r>
          </w:p>
        </w:tc>
        <w:tc>
          <w:tcPr>
            <w:tcW w:w="1134" w:type="dxa"/>
          </w:tcPr>
          <w:p w14:paraId="7009E5C3" w14:textId="65933E23" w:rsidR="00F70B89" w:rsidRPr="00207730" w:rsidRDefault="00F70B89" w:rsidP="00F70B89">
            <w:pPr>
              <w:pStyle w:val="TableText"/>
              <w:jc w:val="right"/>
            </w:pPr>
            <w:r w:rsidRPr="00207730">
              <w:rPr>
                <w:b/>
                <w:bCs/>
              </w:rPr>
              <w:t>redacted</w:t>
            </w:r>
            <w:r w:rsidRPr="00207730">
              <w:t>%</w:t>
            </w:r>
            <w:r w:rsidRPr="00207730">
              <w:rPr>
                <w:vertAlign w:val="superscript"/>
              </w:rPr>
              <w:t>1</w:t>
            </w:r>
          </w:p>
        </w:tc>
        <w:tc>
          <w:tcPr>
            <w:tcW w:w="1134" w:type="dxa"/>
          </w:tcPr>
          <w:p w14:paraId="46C0661E" w14:textId="57B4DE9C" w:rsidR="00F70B89" w:rsidRPr="00207730" w:rsidRDefault="00F70B89" w:rsidP="00F70B89">
            <w:pPr>
              <w:pStyle w:val="TableText"/>
              <w:jc w:val="right"/>
            </w:pPr>
            <w:r w:rsidRPr="00207730">
              <w:rPr>
                <w:b/>
                <w:bCs/>
              </w:rPr>
              <w:t>redacted</w:t>
            </w:r>
            <w:r w:rsidRPr="00207730">
              <w:t>%</w:t>
            </w:r>
            <w:r w:rsidRPr="00207730">
              <w:rPr>
                <w:vertAlign w:val="superscript"/>
              </w:rPr>
              <w:t>1</w:t>
            </w:r>
          </w:p>
        </w:tc>
        <w:tc>
          <w:tcPr>
            <w:tcW w:w="1134" w:type="dxa"/>
          </w:tcPr>
          <w:p w14:paraId="5E1A6C95" w14:textId="6165D563" w:rsidR="00F70B89" w:rsidRPr="00207730" w:rsidRDefault="00F70B89" w:rsidP="00F70B89">
            <w:pPr>
              <w:pStyle w:val="TableText"/>
              <w:jc w:val="right"/>
            </w:pPr>
            <w:r w:rsidRPr="00207730">
              <w:rPr>
                <w:b/>
                <w:bCs/>
              </w:rPr>
              <w:t>redacted</w:t>
            </w:r>
            <w:r w:rsidRPr="00207730">
              <w:t>%</w:t>
            </w:r>
            <w:r w:rsidRPr="00207730">
              <w:rPr>
                <w:vertAlign w:val="superscript"/>
              </w:rPr>
              <w:t>1</w:t>
            </w:r>
          </w:p>
        </w:tc>
      </w:tr>
    </w:tbl>
    <w:p w14:paraId="09032D34" w14:textId="77777777" w:rsidR="00317F3F" w:rsidRDefault="00317F3F" w:rsidP="00317F3F">
      <w:pPr>
        <w:pStyle w:val="FooterTableFigure"/>
      </w:pPr>
      <w:r>
        <w:t>The redacted values corresponding to the following ranges</w:t>
      </w:r>
      <w:r w:rsidRPr="0098262F">
        <w:t xml:space="preserve">: </w:t>
      </w:r>
    </w:p>
    <w:p w14:paraId="59E9CFCC" w14:textId="77777777" w:rsidR="00317F3F" w:rsidRDefault="00317F3F" w:rsidP="00317F3F">
      <w:pPr>
        <w:pStyle w:val="FooterTableFigure"/>
      </w:pPr>
      <w:r>
        <w:rPr>
          <w:vertAlign w:val="superscript"/>
        </w:rPr>
        <w:t xml:space="preserve">1 </w:t>
      </w:r>
      <w:r>
        <w:t>&lt;500</w:t>
      </w:r>
    </w:p>
    <w:p w14:paraId="726F1CF6" w14:textId="4CFAC516" w:rsidR="006B23D5" w:rsidRPr="000660F7" w:rsidRDefault="00CE2EA8" w:rsidP="007B4F73">
      <w:pPr>
        <w:pStyle w:val="Instructionaltext"/>
        <w:rPr>
          <w:color w:val="auto"/>
          <w:szCs w:val="20"/>
        </w:rPr>
      </w:pPr>
      <w:r>
        <w:rPr>
          <w:iCs/>
          <w:color w:val="auto"/>
          <w:szCs w:val="24"/>
        </w:rPr>
        <w:t xml:space="preserve">The net cost benefit to MBS </w:t>
      </w:r>
      <w:r w:rsidR="000660F7">
        <w:rPr>
          <w:iCs/>
          <w:color w:val="auto"/>
          <w:szCs w:val="24"/>
        </w:rPr>
        <w:t xml:space="preserve">is </w:t>
      </w:r>
      <w:r w:rsidR="005277CC" w:rsidRPr="000660F7">
        <w:rPr>
          <w:color w:val="auto"/>
          <w:szCs w:val="20"/>
        </w:rPr>
        <w:t>presented in</w:t>
      </w:r>
      <w:r w:rsidR="00C511A7">
        <w:rPr>
          <w:color w:val="auto"/>
          <w:szCs w:val="20"/>
        </w:rPr>
        <w:t xml:space="preserve"> </w:t>
      </w:r>
      <w:r w:rsidR="00C511A7" w:rsidRPr="00C511A7">
        <w:rPr>
          <w:color w:val="auto"/>
          <w:szCs w:val="20"/>
        </w:rPr>
        <w:fldChar w:fldCharType="begin"/>
      </w:r>
      <w:r w:rsidR="00C511A7" w:rsidRPr="00C511A7">
        <w:rPr>
          <w:color w:val="auto"/>
          <w:szCs w:val="20"/>
        </w:rPr>
        <w:instrText xml:space="preserve"> REF _Ref223344240 \h </w:instrText>
      </w:r>
      <w:r w:rsidR="00C511A7" w:rsidRPr="00C511A7">
        <w:rPr>
          <w:color w:val="auto"/>
          <w:szCs w:val="20"/>
        </w:rPr>
      </w:r>
      <w:r w:rsidR="00C511A7" w:rsidRPr="00C511A7">
        <w:rPr>
          <w:color w:val="auto"/>
          <w:szCs w:val="20"/>
        </w:rPr>
        <w:fldChar w:fldCharType="separate"/>
      </w:r>
      <w:r w:rsidR="00C511A7" w:rsidRPr="00C511A7">
        <w:rPr>
          <w:color w:val="auto"/>
        </w:rPr>
        <w:t xml:space="preserve">Table </w:t>
      </w:r>
      <w:r w:rsidR="00C511A7" w:rsidRPr="00C511A7">
        <w:rPr>
          <w:noProof/>
          <w:color w:val="auto"/>
        </w:rPr>
        <w:t>3</w:t>
      </w:r>
      <w:r w:rsidR="00C511A7" w:rsidRPr="00C511A7">
        <w:rPr>
          <w:color w:val="auto"/>
          <w:szCs w:val="20"/>
        </w:rPr>
        <w:fldChar w:fldCharType="end"/>
      </w:r>
      <w:r w:rsidR="005277CC" w:rsidRPr="000660F7">
        <w:rPr>
          <w:color w:val="auto"/>
          <w:szCs w:val="20"/>
        </w:rPr>
        <w:t>.</w:t>
      </w:r>
    </w:p>
    <w:p w14:paraId="21DC90A3" w14:textId="478BDAD5" w:rsidR="00C511A7" w:rsidRDefault="00C511A7" w:rsidP="004A05F0">
      <w:pPr>
        <w:pStyle w:val="Caption"/>
        <w:keepLines/>
      </w:pPr>
      <w:bookmarkStart w:id="22" w:name="_Ref221878012"/>
      <w:r>
        <w:lastRenderedPageBreak/>
        <w:t xml:space="preserve">Table </w:t>
      </w:r>
      <w:r>
        <w:fldChar w:fldCharType="begin"/>
      </w:r>
      <w:r>
        <w:instrText>SEQ Table \* ARABIC</w:instrText>
      </w:r>
      <w:r>
        <w:fldChar w:fldCharType="separate"/>
      </w:r>
      <w:r>
        <w:rPr>
          <w:noProof/>
        </w:rPr>
        <w:t>4</w:t>
      </w:r>
      <w:r>
        <w:fldChar w:fldCharType="end"/>
      </w:r>
      <w:r>
        <w:t xml:space="preserve"> Financial impact of </w:t>
      </w:r>
      <w:proofErr w:type="spellStart"/>
      <w:r>
        <w:t>Xeomin</w:t>
      </w:r>
      <w:proofErr w:type="spellEnd"/>
      <w:r>
        <w:t xml:space="preserve"> on MBS</w:t>
      </w:r>
    </w:p>
    <w:bookmarkEnd w:id="2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3"/>
        <w:gridCol w:w="1101"/>
        <w:gridCol w:w="1102"/>
        <w:gridCol w:w="1102"/>
        <w:gridCol w:w="1102"/>
        <w:gridCol w:w="1102"/>
        <w:gridCol w:w="1104"/>
      </w:tblGrid>
      <w:tr w:rsidR="0025190C" w:rsidRPr="00255004" w14:paraId="7872305E" w14:textId="77777777" w:rsidTr="00753518">
        <w:trPr>
          <w:tblHeader/>
        </w:trPr>
        <w:tc>
          <w:tcPr>
            <w:tcW w:w="1333" w:type="pct"/>
            <w:vAlign w:val="center"/>
          </w:tcPr>
          <w:p w14:paraId="28D40615" w14:textId="77777777" w:rsidR="0025190C" w:rsidRPr="00255004" w:rsidRDefault="0025190C" w:rsidP="004A05F0">
            <w:pPr>
              <w:pStyle w:val="In-tableHeading"/>
              <w:keepLines/>
              <w:jc w:val="center"/>
              <w:rPr>
                <w:szCs w:val="20"/>
                <w:lang w:val="en-AU"/>
              </w:rPr>
            </w:pPr>
          </w:p>
        </w:tc>
        <w:tc>
          <w:tcPr>
            <w:tcW w:w="611" w:type="pct"/>
            <w:vAlign w:val="center"/>
          </w:tcPr>
          <w:p w14:paraId="68FA0A40" w14:textId="77777777" w:rsidR="0025190C" w:rsidRPr="00255004" w:rsidRDefault="0025190C" w:rsidP="004A05F0">
            <w:pPr>
              <w:pStyle w:val="In-tableHeading"/>
              <w:keepLines/>
              <w:jc w:val="center"/>
              <w:rPr>
                <w:szCs w:val="20"/>
                <w:lang w:val="en-AU"/>
              </w:rPr>
            </w:pPr>
            <w:r w:rsidRPr="00255004">
              <w:rPr>
                <w:szCs w:val="20"/>
                <w:lang w:val="en-AU"/>
              </w:rPr>
              <w:t>Year 1</w:t>
            </w:r>
          </w:p>
        </w:tc>
        <w:tc>
          <w:tcPr>
            <w:tcW w:w="611" w:type="pct"/>
            <w:vAlign w:val="center"/>
          </w:tcPr>
          <w:p w14:paraId="5B68230C" w14:textId="77777777" w:rsidR="0025190C" w:rsidRPr="00255004" w:rsidRDefault="0025190C" w:rsidP="004A05F0">
            <w:pPr>
              <w:pStyle w:val="In-tableHeading"/>
              <w:keepLines/>
              <w:jc w:val="center"/>
              <w:rPr>
                <w:szCs w:val="20"/>
                <w:lang w:val="en-AU"/>
              </w:rPr>
            </w:pPr>
            <w:r w:rsidRPr="00255004">
              <w:rPr>
                <w:szCs w:val="20"/>
                <w:lang w:val="en-AU"/>
              </w:rPr>
              <w:t>Year 2</w:t>
            </w:r>
          </w:p>
        </w:tc>
        <w:tc>
          <w:tcPr>
            <w:tcW w:w="611" w:type="pct"/>
            <w:vAlign w:val="center"/>
          </w:tcPr>
          <w:p w14:paraId="45156F7B" w14:textId="77777777" w:rsidR="0025190C" w:rsidRPr="00255004" w:rsidRDefault="0025190C" w:rsidP="004A05F0">
            <w:pPr>
              <w:pStyle w:val="In-tableHeading"/>
              <w:keepLines/>
              <w:jc w:val="center"/>
              <w:rPr>
                <w:szCs w:val="20"/>
                <w:lang w:val="en-AU"/>
              </w:rPr>
            </w:pPr>
            <w:r w:rsidRPr="00255004">
              <w:rPr>
                <w:szCs w:val="20"/>
                <w:lang w:val="en-AU"/>
              </w:rPr>
              <w:t>Year 3</w:t>
            </w:r>
          </w:p>
        </w:tc>
        <w:tc>
          <w:tcPr>
            <w:tcW w:w="611" w:type="pct"/>
            <w:vAlign w:val="center"/>
          </w:tcPr>
          <w:p w14:paraId="62629FA4" w14:textId="77777777" w:rsidR="0025190C" w:rsidRPr="00255004" w:rsidRDefault="0025190C" w:rsidP="004A05F0">
            <w:pPr>
              <w:pStyle w:val="In-tableHeading"/>
              <w:keepLines/>
              <w:jc w:val="center"/>
              <w:rPr>
                <w:szCs w:val="20"/>
                <w:lang w:val="en-AU"/>
              </w:rPr>
            </w:pPr>
            <w:r w:rsidRPr="00255004">
              <w:rPr>
                <w:szCs w:val="20"/>
                <w:lang w:val="en-AU"/>
              </w:rPr>
              <w:t>Year 4</w:t>
            </w:r>
          </w:p>
        </w:tc>
        <w:tc>
          <w:tcPr>
            <w:tcW w:w="611" w:type="pct"/>
            <w:vAlign w:val="center"/>
          </w:tcPr>
          <w:p w14:paraId="7C934E3C" w14:textId="77777777" w:rsidR="0025190C" w:rsidRPr="00255004" w:rsidRDefault="0025190C" w:rsidP="004A05F0">
            <w:pPr>
              <w:pStyle w:val="In-tableHeading"/>
              <w:keepLines/>
              <w:jc w:val="center"/>
              <w:rPr>
                <w:szCs w:val="20"/>
                <w:lang w:val="en-AU"/>
              </w:rPr>
            </w:pPr>
            <w:r w:rsidRPr="00255004">
              <w:rPr>
                <w:szCs w:val="20"/>
                <w:lang w:val="en-AU"/>
              </w:rPr>
              <w:t>Year 5</w:t>
            </w:r>
          </w:p>
        </w:tc>
        <w:tc>
          <w:tcPr>
            <w:tcW w:w="612" w:type="pct"/>
          </w:tcPr>
          <w:p w14:paraId="3A2D5712" w14:textId="77777777" w:rsidR="0025190C" w:rsidRPr="00255004" w:rsidRDefault="0025190C" w:rsidP="004A05F0">
            <w:pPr>
              <w:pStyle w:val="In-tableHeading"/>
              <w:keepLines/>
              <w:jc w:val="center"/>
              <w:rPr>
                <w:szCs w:val="20"/>
                <w:lang w:val="en-AU"/>
              </w:rPr>
            </w:pPr>
            <w:r w:rsidRPr="00255004">
              <w:rPr>
                <w:szCs w:val="20"/>
                <w:lang w:val="en-AU"/>
              </w:rPr>
              <w:t>Year 6</w:t>
            </w:r>
          </w:p>
        </w:tc>
      </w:tr>
      <w:tr w:rsidR="0025190C" w:rsidRPr="00255004" w14:paraId="25E8B811" w14:textId="77777777">
        <w:tc>
          <w:tcPr>
            <w:tcW w:w="5000" w:type="pct"/>
            <w:gridSpan w:val="7"/>
            <w:vAlign w:val="center"/>
          </w:tcPr>
          <w:p w14:paraId="4FB67664" w14:textId="6E566CED" w:rsidR="0025190C" w:rsidRPr="00255004" w:rsidRDefault="0025190C" w:rsidP="004A05F0">
            <w:pPr>
              <w:pStyle w:val="In-tableHeading"/>
              <w:keepLines/>
              <w:rPr>
                <w:bCs/>
                <w:color w:val="000000"/>
                <w:szCs w:val="20"/>
                <w:lang w:val="en-AU"/>
              </w:rPr>
            </w:pPr>
            <w:r w:rsidRPr="00255004">
              <w:rPr>
                <w:bCs/>
                <w:color w:val="000000"/>
                <w:szCs w:val="20"/>
                <w:lang w:val="en-AU"/>
              </w:rPr>
              <w:t xml:space="preserve">Estimated </w:t>
            </w:r>
            <w:r w:rsidR="00552DB4" w:rsidRPr="00255004">
              <w:rPr>
                <w:bCs/>
                <w:color w:val="000000"/>
                <w:szCs w:val="20"/>
                <w:lang w:val="en-AU"/>
              </w:rPr>
              <w:t>MBS service increase</w:t>
            </w:r>
          </w:p>
        </w:tc>
      </w:tr>
      <w:tr w:rsidR="0025190C" w:rsidRPr="00255004" w14:paraId="30A04BDD" w14:textId="77777777" w:rsidTr="00753518">
        <w:tc>
          <w:tcPr>
            <w:tcW w:w="1333" w:type="pct"/>
            <w:vAlign w:val="center"/>
          </w:tcPr>
          <w:p w14:paraId="6BEA2091" w14:textId="6E33BD3B" w:rsidR="0025190C" w:rsidRPr="00255004" w:rsidRDefault="00E467B8" w:rsidP="004A05F0">
            <w:pPr>
              <w:pStyle w:val="TableText"/>
              <w:keepNext/>
              <w:keepLines/>
              <w:rPr>
                <w:szCs w:val="20"/>
              </w:rPr>
            </w:pPr>
            <w:r w:rsidRPr="00255004">
              <w:rPr>
                <w:szCs w:val="20"/>
              </w:rPr>
              <w:t>E</w:t>
            </w:r>
            <w:r w:rsidR="00EC64A0" w:rsidRPr="00255004">
              <w:rPr>
                <w:szCs w:val="20"/>
              </w:rPr>
              <w:t>stimated MBS service</w:t>
            </w:r>
            <w:r w:rsidRPr="00255004">
              <w:rPr>
                <w:szCs w:val="20"/>
              </w:rPr>
              <w:t>s</w:t>
            </w:r>
            <w:r w:rsidR="00EC64A0" w:rsidRPr="00255004">
              <w:rPr>
                <w:szCs w:val="20"/>
              </w:rPr>
              <w:t xml:space="preserve"> increase</w:t>
            </w:r>
          </w:p>
        </w:tc>
        <w:tc>
          <w:tcPr>
            <w:tcW w:w="611" w:type="pct"/>
          </w:tcPr>
          <w:p w14:paraId="0FF043F4" w14:textId="51C52495" w:rsidR="0025190C" w:rsidRPr="00424AF5" w:rsidRDefault="00F70B89" w:rsidP="004A05F0">
            <w:pPr>
              <w:pStyle w:val="TableText"/>
              <w:keepNext/>
              <w:keepLines/>
              <w:rPr>
                <w:b/>
                <w:bCs/>
                <w:szCs w:val="20"/>
              </w:rPr>
            </w:pPr>
            <w:r w:rsidRPr="00424AF5">
              <w:rPr>
                <w:b/>
                <w:bCs/>
                <w:szCs w:val="20"/>
              </w:rPr>
              <w:t>redacted</w:t>
            </w:r>
            <w:r w:rsidR="009676F3" w:rsidRPr="00424AF5">
              <w:rPr>
                <w:b/>
                <w:bCs/>
                <w:szCs w:val="20"/>
                <w:vertAlign w:val="superscript"/>
              </w:rPr>
              <w:t>1</w:t>
            </w:r>
            <w:r w:rsidR="0025190C" w:rsidRPr="00424AF5">
              <w:rPr>
                <w:b/>
                <w:bCs/>
                <w:szCs w:val="20"/>
              </w:rPr>
              <w:t xml:space="preserve"> </w:t>
            </w:r>
          </w:p>
        </w:tc>
        <w:tc>
          <w:tcPr>
            <w:tcW w:w="611" w:type="pct"/>
          </w:tcPr>
          <w:p w14:paraId="0F6BA310" w14:textId="09B3290A" w:rsidR="0025190C" w:rsidRPr="00424AF5" w:rsidRDefault="00F70B89" w:rsidP="004A05F0">
            <w:pPr>
              <w:pStyle w:val="TableText"/>
              <w:keepNext/>
              <w:keepLines/>
              <w:rPr>
                <w:b/>
                <w:bCs/>
                <w:szCs w:val="20"/>
              </w:rPr>
            </w:pPr>
            <w:r w:rsidRPr="00424AF5">
              <w:rPr>
                <w:b/>
                <w:bCs/>
                <w:szCs w:val="20"/>
              </w:rPr>
              <w:t>redacted</w:t>
            </w:r>
            <w:r w:rsidR="009676F3" w:rsidRPr="00424AF5">
              <w:rPr>
                <w:b/>
                <w:bCs/>
                <w:szCs w:val="20"/>
                <w:vertAlign w:val="superscript"/>
              </w:rPr>
              <w:t>1</w:t>
            </w:r>
            <w:r w:rsidR="0025190C" w:rsidRPr="00424AF5">
              <w:rPr>
                <w:b/>
                <w:bCs/>
                <w:szCs w:val="20"/>
              </w:rPr>
              <w:t xml:space="preserve"> </w:t>
            </w:r>
          </w:p>
        </w:tc>
        <w:tc>
          <w:tcPr>
            <w:tcW w:w="611" w:type="pct"/>
          </w:tcPr>
          <w:p w14:paraId="2F5B51DD" w14:textId="2EC2839E" w:rsidR="0025190C" w:rsidRPr="00424AF5" w:rsidRDefault="00F70B89" w:rsidP="004A05F0">
            <w:pPr>
              <w:pStyle w:val="TableText"/>
              <w:keepNext/>
              <w:keepLines/>
              <w:rPr>
                <w:b/>
                <w:bCs/>
                <w:szCs w:val="20"/>
              </w:rPr>
            </w:pPr>
            <w:r w:rsidRPr="00424AF5">
              <w:rPr>
                <w:b/>
                <w:bCs/>
                <w:szCs w:val="20"/>
              </w:rPr>
              <w:t>redacted</w:t>
            </w:r>
            <w:r w:rsidR="009676F3" w:rsidRPr="00424AF5">
              <w:rPr>
                <w:b/>
                <w:bCs/>
                <w:szCs w:val="20"/>
                <w:vertAlign w:val="superscript"/>
              </w:rPr>
              <w:t>2</w:t>
            </w:r>
            <w:r w:rsidR="0025190C" w:rsidRPr="00424AF5">
              <w:rPr>
                <w:b/>
                <w:bCs/>
                <w:szCs w:val="20"/>
              </w:rPr>
              <w:t xml:space="preserve"> </w:t>
            </w:r>
          </w:p>
        </w:tc>
        <w:tc>
          <w:tcPr>
            <w:tcW w:w="611" w:type="pct"/>
          </w:tcPr>
          <w:p w14:paraId="5D6055D6" w14:textId="5E2E331A" w:rsidR="0025190C" w:rsidRPr="00424AF5" w:rsidRDefault="00F70B89" w:rsidP="004A05F0">
            <w:pPr>
              <w:pStyle w:val="TableText"/>
              <w:keepNext/>
              <w:keepLines/>
              <w:rPr>
                <w:b/>
                <w:bCs/>
                <w:szCs w:val="20"/>
              </w:rPr>
            </w:pPr>
            <w:r w:rsidRPr="00424AF5">
              <w:rPr>
                <w:b/>
                <w:bCs/>
                <w:szCs w:val="20"/>
              </w:rPr>
              <w:t>redacted</w:t>
            </w:r>
            <w:r w:rsidR="009676F3" w:rsidRPr="00424AF5">
              <w:rPr>
                <w:b/>
                <w:bCs/>
                <w:szCs w:val="20"/>
                <w:vertAlign w:val="superscript"/>
              </w:rPr>
              <w:t>2</w:t>
            </w:r>
            <w:r w:rsidR="0025190C" w:rsidRPr="00424AF5">
              <w:rPr>
                <w:b/>
                <w:bCs/>
                <w:szCs w:val="20"/>
              </w:rPr>
              <w:t xml:space="preserve"> </w:t>
            </w:r>
          </w:p>
        </w:tc>
        <w:tc>
          <w:tcPr>
            <w:tcW w:w="611" w:type="pct"/>
          </w:tcPr>
          <w:p w14:paraId="53C9E8AE" w14:textId="2DB81326" w:rsidR="0025190C" w:rsidRPr="00424AF5" w:rsidRDefault="00F70B89" w:rsidP="004A05F0">
            <w:pPr>
              <w:pStyle w:val="TableText"/>
              <w:keepNext/>
              <w:keepLines/>
              <w:rPr>
                <w:b/>
                <w:bCs/>
                <w:szCs w:val="20"/>
              </w:rPr>
            </w:pPr>
            <w:r w:rsidRPr="00424AF5">
              <w:rPr>
                <w:b/>
                <w:bCs/>
                <w:szCs w:val="20"/>
              </w:rPr>
              <w:t>redacted</w:t>
            </w:r>
            <w:r w:rsidR="009676F3" w:rsidRPr="00424AF5">
              <w:rPr>
                <w:b/>
                <w:bCs/>
                <w:szCs w:val="20"/>
                <w:vertAlign w:val="superscript"/>
              </w:rPr>
              <w:t>2</w:t>
            </w:r>
            <w:r w:rsidR="0025190C" w:rsidRPr="00424AF5">
              <w:rPr>
                <w:b/>
                <w:bCs/>
                <w:szCs w:val="20"/>
              </w:rPr>
              <w:t xml:space="preserve"> </w:t>
            </w:r>
          </w:p>
        </w:tc>
        <w:tc>
          <w:tcPr>
            <w:tcW w:w="612" w:type="pct"/>
          </w:tcPr>
          <w:p w14:paraId="03F0314F" w14:textId="0B6625B8" w:rsidR="0025190C" w:rsidRPr="00424AF5" w:rsidRDefault="00F70B89" w:rsidP="004A05F0">
            <w:pPr>
              <w:pStyle w:val="TableText"/>
              <w:keepNext/>
              <w:keepLines/>
              <w:rPr>
                <w:b/>
                <w:bCs/>
                <w:szCs w:val="20"/>
              </w:rPr>
            </w:pPr>
            <w:r w:rsidRPr="00424AF5">
              <w:rPr>
                <w:b/>
                <w:bCs/>
                <w:szCs w:val="20"/>
              </w:rPr>
              <w:t>redacted</w:t>
            </w:r>
            <w:r w:rsidR="009676F3" w:rsidRPr="00424AF5">
              <w:rPr>
                <w:b/>
                <w:bCs/>
                <w:szCs w:val="20"/>
                <w:vertAlign w:val="superscript"/>
              </w:rPr>
              <w:t>2</w:t>
            </w:r>
            <w:r w:rsidR="0025190C" w:rsidRPr="00424AF5">
              <w:rPr>
                <w:b/>
                <w:bCs/>
                <w:szCs w:val="20"/>
              </w:rPr>
              <w:t xml:space="preserve"> </w:t>
            </w:r>
          </w:p>
        </w:tc>
      </w:tr>
      <w:tr w:rsidR="009B059B" w:rsidRPr="00255004" w14:paraId="6341DA22" w14:textId="77777777" w:rsidTr="009B059B">
        <w:tc>
          <w:tcPr>
            <w:tcW w:w="5000" w:type="pct"/>
            <w:gridSpan w:val="7"/>
            <w:vAlign w:val="center"/>
          </w:tcPr>
          <w:p w14:paraId="41548A13" w14:textId="033FA85F" w:rsidR="009B059B" w:rsidRPr="00255004" w:rsidRDefault="009B059B" w:rsidP="004A05F0">
            <w:pPr>
              <w:pStyle w:val="TableText"/>
              <w:keepNext/>
              <w:keepLines/>
              <w:rPr>
                <w:b/>
                <w:bCs/>
                <w:szCs w:val="20"/>
              </w:rPr>
            </w:pPr>
            <w:r w:rsidRPr="00255004">
              <w:rPr>
                <w:b/>
                <w:bCs/>
                <w:szCs w:val="20"/>
              </w:rPr>
              <w:t>Estimated</w:t>
            </w:r>
            <w:r w:rsidR="00C45F74" w:rsidRPr="00255004">
              <w:rPr>
                <w:b/>
                <w:bCs/>
                <w:szCs w:val="20"/>
              </w:rPr>
              <w:t xml:space="preserve"> decrease of MBS service for Botox and Dysport</w:t>
            </w:r>
            <w:r w:rsidRPr="00255004">
              <w:rPr>
                <w:b/>
                <w:bCs/>
                <w:szCs w:val="20"/>
              </w:rPr>
              <w:t xml:space="preserve"> </w:t>
            </w:r>
          </w:p>
        </w:tc>
      </w:tr>
      <w:tr w:rsidR="00425A27" w:rsidRPr="00255004" w14:paraId="6BD94851" w14:textId="77777777" w:rsidTr="00753518">
        <w:tc>
          <w:tcPr>
            <w:tcW w:w="1333" w:type="pct"/>
            <w:vAlign w:val="center"/>
          </w:tcPr>
          <w:p w14:paraId="0086C445" w14:textId="491CB954" w:rsidR="00425A27" w:rsidRPr="00255004" w:rsidRDefault="00425A27" w:rsidP="00425A27">
            <w:pPr>
              <w:pStyle w:val="TableText"/>
              <w:keepNext/>
              <w:keepLines/>
              <w:rPr>
                <w:szCs w:val="20"/>
              </w:rPr>
            </w:pPr>
            <w:r w:rsidRPr="00255004">
              <w:rPr>
                <w:szCs w:val="20"/>
              </w:rPr>
              <w:t>Botox, 11751L</w:t>
            </w:r>
          </w:p>
        </w:tc>
        <w:tc>
          <w:tcPr>
            <w:tcW w:w="611" w:type="pct"/>
          </w:tcPr>
          <w:p w14:paraId="4D2447D5" w14:textId="0A5F3962"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1" w:type="pct"/>
          </w:tcPr>
          <w:p w14:paraId="03E49C23" w14:textId="3203A085"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1" w:type="pct"/>
          </w:tcPr>
          <w:p w14:paraId="74469CEA" w14:textId="2035194A" w:rsidR="00425A27" w:rsidRPr="00424AF5" w:rsidRDefault="00425A27" w:rsidP="00425A27">
            <w:pPr>
              <w:pStyle w:val="TableText"/>
              <w:keepNext/>
              <w:keepLines/>
              <w:rPr>
                <w:b/>
                <w:bCs/>
                <w:szCs w:val="20"/>
              </w:rPr>
            </w:pPr>
            <w:r w:rsidRPr="00424AF5">
              <w:rPr>
                <w:b/>
                <w:bCs/>
                <w:szCs w:val="20"/>
              </w:rPr>
              <w:t>-redacted</w:t>
            </w:r>
            <w:r w:rsidRPr="00425A27">
              <w:rPr>
                <w:b/>
                <w:bCs/>
                <w:szCs w:val="20"/>
                <w:vertAlign w:val="superscript"/>
              </w:rPr>
              <w:t>2</w:t>
            </w:r>
          </w:p>
        </w:tc>
        <w:tc>
          <w:tcPr>
            <w:tcW w:w="611" w:type="pct"/>
          </w:tcPr>
          <w:p w14:paraId="53FEB1AC" w14:textId="668D5166" w:rsidR="00425A27" w:rsidRPr="00424AF5" w:rsidRDefault="00425A27" w:rsidP="00425A27">
            <w:pPr>
              <w:pStyle w:val="TableText"/>
              <w:keepNext/>
              <w:keepLines/>
              <w:rPr>
                <w:b/>
                <w:bCs/>
                <w:szCs w:val="20"/>
              </w:rPr>
            </w:pPr>
            <w:r w:rsidRPr="00424AF5">
              <w:rPr>
                <w:b/>
                <w:bCs/>
                <w:szCs w:val="20"/>
              </w:rPr>
              <w:t>-redacted</w:t>
            </w:r>
            <w:r w:rsidRPr="00425A27">
              <w:rPr>
                <w:b/>
                <w:bCs/>
                <w:szCs w:val="20"/>
                <w:vertAlign w:val="superscript"/>
              </w:rPr>
              <w:t>2</w:t>
            </w:r>
          </w:p>
        </w:tc>
        <w:tc>
          <w:tcPr>
            <w:tcW w:w="611" w:type="pct"/>
          </w:tcPr>
          <w:p w14:paraId="6CF2E647" w14:textId="6EB2E221" w:rsidR="00425A27" w:rsidRPr="00424AF5" w:rsidRDefault="00425A27" w:rsidP="00425A27">
            <w:pPr>
              <w:pStyle w:val="TableText"/>
              <w:keepNext/>
              <w:keepLines/>
              <w:rPr>
                <w:b/>
                <w:bCs/>
                <w:szCs w:val="20"/>
              </w:rPr>
            </w:pPr>
            <w:r w:rsidRPr="00424AF5">
              <w:rPr>
                <w:b/>
                <w:bCs/>
                <w:szCs w:val="20"/>
              </w:rPr>
              <w:t>-redacted</w:t>
            </w:r>
            <w:r w:rsidRPr="00425A27">
              <w:rPr>
                <w:b/>
                <w:bCs/>
                <w:szCs w:val="20"/>
                <w:vertAlign w:val="superscript"/>
              </w:rPr>
              <w:t>2</w:t>
            </w:r>
          </w:p>
        </w:tc>
        <w:tc>
          <w:tcPr>
            <w:tcW w:w="612" w:type="pct"/>
          </w:tcPr>
          <w:p w14:paraId="3D7926FB" w14:textId="33EF4441" w:rsidR="00425A27" w:rsidRPr="00424AF5" w:rsidRDefault="00425A27" w:rsidP="00425A27">
            <w:pPr>
              <w:pStyle w:val="TableText"/>
              <w:keepNext/>
              <w:keepLines/>
              <w:rPr>
                <w:b/>
                <w:bCs/>
                <w:szCs w:val="20"/>
              </w:rPr>
            </w:pPr>
            <w:r w:rsidRPr="00424AF5">
              <w:rPr>
                <w:b/>
                <w:bCs/>
                <w:szCs w:val="20"/>
              </w:rPr>
              <w:t>-redacted</w:t>
            </w:r>
            <w:r w:rsidRPr="00425A27">
              <w:rPr>
                <w:b/>
                <w:bCs/>
                <w:szCs w:val="20"/>
                <w:vertAlign w:val="superscript"/>
              </w:rPr>
              <w:t>2</w:t>
            </w:r>
          </w:p>
        </w:tc>
      </w:tr>
      <w:tr w:rsidR="00425A27" w:rsidRPr="00255004" w14:paraId="32BFBCF9" w14:textId="77777777" w:rsidTr="00753518">
        <w:tc>
          <w:tcPr>
            <w:tcW w:w="1333" w:type="pct"/>
            <w:vAlign w:val="center"/>
          </w:tcPr>
          <w:p w14:paraId="4C618A0A" w14:textId="6DFEA056" w:rsidR="00425A27" w:rsidRPr="00255004" w:rsidRDefault="00425A27" w:rsidP="00425A27">
            <w:pPr>
              <w:pStyle w:val="TableText"/>
              <w:keepNext/>
              <w:keepLines/>
              <w:rPr>
                <w:szCs w:val="20"/>
              </w:rPr>
            </w:pPr>
            <w:r w:rsidRPr="00255004">
              <w:rPr>
                <w:szCs w:val="20"/>
              </w:rPr>
              <w:t>Dysport, 11831Q</w:t>
            </w:r>
          </w:p>
        </w:tc>
        <w:tc>
          <w:tcPr>
            <w:tcW w:w="611" w:type="pct"/>
          </w:tcPr>
          <w:p w14:paraId="54F990D3" w14:textId="7D785A0D"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1" w:type="pct"/>
          </w:tcPr>
          <w:p w14:paraId="0535DDC6" w14:textId="739ABED1"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1" w:type="pct"/>
          </w:tcPr>
          <w:p w14:paraId="7E89B6B7" w14:textId="462246C5"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1" w:type="pct"/>
          </w:tcPr>
          <w:p w14:paraId="043376C1" w14:textId="06B1AA65"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1" w:type="pct"/>
          </w:tcPr>
          <w:p w14:paraId="455F8FB9" w14:textId="689EECE1"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2" w:type="pct"/>
          </w:tcPr>
          <w:p w14:paraId="7E197C3A" w14:textId="43C801B4"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r>
      <w:tr w:rsidR="00425A27" w:rsidRPr="00255004" w14:paraId="6EE67CF6" w14:textId="77777777" w:rsidTr="00753518">
        <w:tc>
          <w:tcPr>
            <w:tcW w:w="1333" w:type="pct"/>
            <w:vAlign w:val="center"/>
          </w:tcPr>
          <w:p w14:paraId="1978A9C0" w14:textId="5C59E566" w:rsidR="00425A27" w:rsidRPr="00255004" w:rsidRDefault="00425A27" w:rsidP="00425A27">
            <w:pPr>
              <w:pStyle w:val="TableText"/>
              <w:keepNext/>
              <w:keepLines/>
              <w:rPr>
                <w:szCs w:val="20"/>
              </w:rPr>
            </w:pPr>
            <w:r w:rsidRPr="00255004">
              <w:rPr>
                <w:szCs w:val="20"/>
              </w:rPr>
              <w:t>Dysport, 11857C</w:t>
            </w:r>
          </w:p>
        </w:tc>
        <w:tc>
          <w:tcPr>
            <w:tcW w:w="611" w:type="pct"/>
          </w:tcPr>
          <w:p w14:paraId="4514EE43" w14:textId="2B136E80"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1" w:type="pct"/>
          </w:tcPr>
          <w:p w14:paraId="4F054D11" w14:textId="52CF1F27"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1" w:type="pct"/>
          </w:tcPr>
          <w:p w14:paraId="196A5F04" w14:textId="5CD898F3"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1" w:type="pct"/>
          </w:tcPr>
          <w:p w14:paraId="20CBEE21" w14:textId="59C06699"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1" w:type="pct"/>
          </w:tcPr>
          <w:p w14:paraId="4A7B1B04" w14:textId="770639D7"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c>
          <w:tcPr>
            <w:tcW w:w="612" w:type="pct"/>
          </w:tcPr>
          <w:p w14:paraId="6FC836AD" w14:textId="03DB5FA2" w:rsidR="00425A27" w:rsidRPr="00424AF5" w:rsidRDefault="00425A27" w:rsidP="00425A27">
            <w:pPr>
              <w:pStyle w:val="TableText"/>
              <w:keepNext/>
              <w:keepLines/>
              <w:rPr>
                <w:b/>
                <w:bCs/>
                <w:szCs w:val="20"/>
              </w:rPr>
            </w:pPr>
            <w:r w:rsidRPr="00424AF5">
              <w:rPr>
                <w:b/>
                <w:bCs/>
                <w:szCs w:val="20"/>
              </w:rPr>
              <w:t>-redacted</w:t>
            </w:r>
            <w:r w:rsidRPr="00424AF5">
              <w:rPr>
                <w:b/>
                <w:bCs/>
                <w:szCs w:val="20"/>
                <w:vertAlign w:val="superscript"/>
              </w:rPr>
              <w:t>1</w:t>
            </w:r>
          </w:p>
        </w:tc>
      </w:tr>
      <w:tr w:rsidR="00425A27" w:rsidRPr="00255004" w14:paraId="3EAA0DAD" w14:textId="77777777" w:rsidTr="00753518">
        <w:tc>
          <w:tcPr>
            <w:tcW w:w="1333" w:type="pct"/>
            <w:vAlign w:val="center"/>
          </w:tcPr>
          <w:p w14:paraId="1746BBE5" w14:textId="09D71B14" w:rsidR="00425A27" w:rsidRPr="00255004" w:rsidRDefault="00425A27" w:rsidP="00425A27">
            <w:pPr>
              <w:pStyle w:val="TableText"/>
              <w:keepNext/>
              <w:keepLines/>
              <w:rPr>
                <w:szCs w:val="20"/>
              </w:rPr>
            </w:pPr>
            <w:r w:rsidRPr="00255004">
              <w:rPr>
                <w:szCs w:val="20"/>
              </w:rPr>
              <w:t>Total changes</w:t>
            </w:r>
          </w:p>
        </w:tc>
        <w:tc>
          <w:tcPr>
            <w:tcW w:w="611" w:type="pct"/>
          </w:tcPr>
          <w:p w14:paraId="0FA2F864" w14:textId="215073F0" w:rsidR="00425A27" w:rsidRPr="00255004" w:rsidRDefault="00425A27" w:rsidP="00425A27">
            <w:pPr>
              <w:pStyle w:val="TableText"/>
              <w:keepNext/>
              <w:keepLines/>
              <w:rPr>
                <w:szCs w:val="20"/>
                <w:vertAlign w:val="superscript"/>
              </w:rPr>
            </w:pPr>
            <w:r w:rsidRPr="00424AF5">
              <w:rPr>
                <w:b/>
                <w:bCs/>
                <w:szCs w:val="20"/>
              </w:rPr>
              <w:t>-redacted</w:t>
            </w:r>
            <w:r w:rsidRPr="00424AF5">
              <w:rPr>
                <w:b/>
                <w:bCs/>
                <w:szCs w:val="20"/>
                <w:vertAlign w:val="superscript"/>
              </w:rPr>
              <w:t>1</w:t>
            </w:r>
          </w:p>
        </w:tc>
        <w:tc>
          <w:tcPr>
            <w:tcW w:w="611" w:type="pct"/>
          </w:tcPr>
          <w:p w14:paraId="7A1FD0A4" w14:textId="10F8C339" w:rsidR="00425A27" w:rsidRPr="00255004" w:rsidRDefault="00425A27" w:rsidP="00425A27">
            <w:pPr>
              <w:pStyle w:val="TableText"/>
              <w:keepNext/>
              <w:keepLines/>
              <w:rPr>
                <w:szCs w:val="20"/>
                <w:vertAlign w:val="superscript"/>
              </w:rPr>
            </w:pPr>
            <w:r w:rsidRPr="00424AF5">
              <w:rPr>
                <w:b/>
                <w:bCs/>
                <w:szCs w:val="20"/>
              </w:rPr>
              <w:t>-redacted</w:t>
            </w:r>
            <w:r w:rsidRPr="00424AF5">
              <w:rPr>
                <w:b/>
                <w:bCs/>
                <w:szCs w:val="20"/>
                <w:vertAlign w:val="superscript"/>
              </w:rPr>
              <w:t>1</w:t>
            </w:r>
          </w:p>
        </w:tc>
        <w:tc>
          <w:tcPr>
            <w:tcW w:w="611" w:type="pct"/>
          </w:tcPr>
          <w:p w14:paraId="31942C40" w14:textId="10359EEA" w:rsidR="00425A27" w:rsidRPr="00255004" w:rsidRDefault="00425A27" w:rsidP="00425A27">
            <w:pPr>
              <w:pStyle w:val="TableText"/>
              <w:keepNext/>
              <w:keepLines/>
              <w:rPr>
                <w:szCs w:val="20"/>
                <w:vertAlign w:val="superscript"/>
              </w:rPr>
            </w:pPr>
            <w:r w:rsidRPr="00255004">
              <w:rPr>
                <w:szCs w:val="20"/>
              </w:rPr>
              <w:t>-</w:t>
            </w:r>
            <w:r w:rsidRPr="00255004">
              <w:rPr>
                <w:b/>
                <w:bCs/>
                <w:szCs w:val="20"/>
              </w:rPr>
              <w:t>redacted</w:t>
            </w:r>
            <w:r w:rsidRPr="00255004">
              <w:rPr>
                <w:szCs w:val="20"/>
                <w:vertAlign w:val="superscript"/>
              </w:rPr>
              <w:t>2</w:t>
            </w:r>
          </w:p>
        </w:tc>
        <w:tc>
          <w:tcPr>
            <w:tcW w:w="611" w:type="pct"/>
          </w:tcPr>
          <w:p w14:paraId="1C7252B7" w14:textId="39A410FD" w:rsidR="00425A27" w:rsidRPr="00255004" w:rsidRDefault="00425A27" w:rsidP="00425A27">
            <w:pPr>
              <w:pStyle w:val="TableText"/>
              <w:keepNext/>
              <w:keepLines/>
              <w:rPr>
                <w:szCs w:val="20"/>
                <w:vertAlign w:val="superscript"/>
              </w:rPr>
            </w:pPr>
            <w:r w:rsidRPr="00255004">
              <w:rPr>
                <w:szCs w:val="20"/>
              </w:rPr>
              <w:t>-</w:t>
            </w:r>
            <w:r w:rsidRPr="00255004">
              <w:rPr>
                <w:b/>
                <w:bCs/>
                <w:szCs w:val="20"/>
              </w:rPr>
              <w:t>redacted</w:t>
            </w:r>
            <w:r w:rsidRPr="00255004">
              <w:rPr>
                <w:szCs w:val="20"/>
                <w:vertAlign w:val="superscript"/>
              </w:rPr>
              <w:t>2</w:t>
            </w:r>
          </w:p>
        </w:tc>
        <w:tc>
          <w:tcPr>
            <w:tcW w:w="611" w:type="pct"/>
          </w:tcPr>
          <w:p w14:paraId="68DC0A8C" w14:textId="57639BF7" w:rsidR="00425A27" w:rsidRPr="00255004" w:rsidRDefault="00425A27" w:rsidP="00425A27">
            <w:pPr>
              <w:pStyle w:val="TableText"/>
              <w:keepNext/>
              <w:keepLines/>
              <w:rPr>
                <w:szCs w:val="20"/>
                <w:vertAlign w:val="superscript"/>
              </w:rPr>
            </w:pPr>
            <w:r w:rsidRPr="00255004">
              <w:rPr>
                <w:szCs w:val="20"/>
              </w:rPr>
              <w:t>-</w:t>
            </w:r>
            <w:r w:rsidRPr="00255004">
              <w:rPr>
                <w:b/>
                <w:bCs/>
                <w:szCs w:val="20"/>
              </w:rPr>
              <w:t>redacted</w:t>
            </w:r>
            <w:r w:rsidRPr="00255004">
              <w:rPr>
                <w:szCs w:val="20"/>
                <w:vertAlign w:val="superscript"/>
              </w:rPr>
              <w:t>2</w:t>
            </w:r>
          </w:p>
        </w:tc>
        <w:tc>
          <w:tcPr>
            <w:tcW w:w="612" w:type="pct"/>
          </w:tcPr>
          <w:p w14:paraId="5C8D956B" w14:textId="2E641234" w:rsidR="00425A27" w:rsidRPr="00255004" w:rsidRDefault="00425A27" w:rsidP="00425A27">
            <w:pPr>
              <w:pStyle w:val="TableText"/>
              <w:keepNext/>
              <w:keepLines/>
              <w:rPr>
                <w:szCs w:val="20"/>
                <w:vertAlign w:val="superscript"/>
              </w:rPr>
            </w:pPr>
            <w:r w:rsidRPr="00255004">
              <w:rPr>
                <w:szCs w:val="20"/>
              </w:rPr>
              <w:t>-</w:t>
            </w:r>
            <w:r w:rsidRPr="00255004">
              <w:rPr>
                <w:b/>
                <w:bCs/>
                <w:szCs w:val="20"/>
              </w:rPr>
              <w:t>redacted</w:t>
            </w:r>
            <w:r w:rsidRPr="00255004">
              <w:rPr>
                <w:szCs w:val="20"/>
                <w:vertAlign w:val="superscript"/>
              </w:rPr>
              <w:t>2</w:t>
            </w:r>
          </w:p>
        </w:tc>
      </w:tr>
      <w:tr w:rsidR="0025190C" w:rsidRPr="00255004" w14:paraId="3D0352CD" w14:textId="77777777">
        <w:tc>
          <w:tcPr>
            <w:tcW w:w="5000" w:type="pct"/>
            <w:gridSpan w:val="7"/>
            <w:vAlign w:val="center"/>
          </w:tcPr>
          <w:p w14:paraId="47705F42" w14:textId="77777777" w:rsidR="0025190C" w:rsidRPr="00255004" w:rsidRDefault="0025190C" w:rsidP="004A05F0">
            <w:pPr>
              <w:pStyle w:val="In-tableHeading"/>
              <w:keepLines/>
              <w:rPr>
                <w:szCs w:val="20"/>
                <w:lang w:val="en-AU"/>
              </w:rPr>
            </w:pPr>
            <w:r w:rsidRPr="00255004">
              <w:rPr>
                <w:szCs w:val="20"/>
                <w:lang w:val="en-AU"/>
              </w:rPr>
              <w:t>Net financial implications</w:t>
            </w:r>
            <w:r w:rsidRPr="00255004">
              <w:rPr>
                <w:color w:val="4472C4" w:themeColor="accent5"/>
                <w:szCs w:val="20"/>
                <w:lang w:val="en-AU"/>
              </w:rPr>
              <w:t xml:space="preserve"> </w:t>
            </w:r>
          </w:p>
        </w:tc>
      </w:tr>
      <w:tr w:rsidR="009D2326" w:rsidRPr="00255004" w14:paraId="31947EF5" w14:textId="77777777" w:rsidTr="00753518">
        <w:tc>
          <w:tcPr>
            <w:tcW w:w="1333" w:type="pct"/>
            <w:vAlign w:val="center"/>
          </w:tcPr>
          <w:p w14:paraId="73FBC4D2" w14:textId="77777777" w:rsidR="009D2326" w:rsidRPr="00255004" w:rsidRDefault="009D2326" w:rsidP="009D2326">
            <w:pPr>
              <w:pStyle w:val="TableText"/>
              <w:keepNext/>
              <w:keepLines/>
              <w:rPr>
                <w:szCs w:val="20"/>
              </w:rPr>
            </w:pPr>
            <w:r w:rsidRPr="00255004">
              <w:rPr>
                <w:szCs w:val="20"/>
              </w:rPr>
              <w:t>Net cost to MBS</w:t>
            </w:r>
          </w:p>
        </w:tc>
        <w:tc>
          <w:tcPr>
            <w:tcW w:w="611" w:type="pct"/>
          </w:tcPr>
          <w:p w14:paraId="1CBAB509" w14:textId="1D59CB5E" w:rsidR="009D2326" w:rsidRPr="00255004" w:rsidRDefault="009D2326" w:rsidP="009D2326">
            <w:pPr>
              <w:pStyle w:val="TableText"/>
              <w:keepNext/>
              <w:keepLines/>
              <w:rPr>
                <w:szCs w:val="20"/>
                <w:vertAlign w:val="superscript"/>
              </w:rPr>
            </w:pPr>
            <w:r w:rsidRPr="00255004">
              <w:rPr>
                <w:szCs w:val="20"/>
              </w:rPr>
              <w:t>-$</w:t>
            </w:r>
            <w:r w:rsidRPr="00255004">
              <w:rPr>
                <w:b/>
                <w:bCs/>
                <w:szCs w:val="20"/>
              </w:rPr>
              <w:t>redacted</w:t>
            </w:r>
            <w:r w:rsidRPr="00255004">
              <w:rPr>
                <w:szCs w:val="20"/>
                <w:vertAlign w:val="superscript"/>
              </w:rPr>
              <w:t>3</w:t>
            </w:r>
          </w:p>
        </w:tc>
        <w:tc>
          <w:tcPr>
            <w:tcW w:w="611" w:type="pct"/>
          </w:tcPr>
          <w:p w14:paraId="41BFE0C7" w14:textId="41767A09" w:rsidR="009D2326" w:rsidRPr="00255004" w:rsidRDefault="009D2326" w:rsidP="009D2326">
            <w:pPr>
              <w:pStyle w:val="TableText"/>
              <w:keepNext/>
              <w:keepLines/>
              <w:rPr>
                <w:szCs w:val="20"/>
                <w:vertAlign w:val="superscript"/>
              </w:rPr>
            </w:pPr>
            <w:r w:rsidRPr="00255004">
              <w:rPr>
                <w:szCs w:val="20"/>
              </w:rPr>
              <w:t>-$</w:t>
            </w:r>
            <w:r w:rsidRPr="00255004">
              <w:rPr>
                <w:b/>
                <w:bCs/>
                <w:szCs w:val="20"/>
              </w:rPr>
              <w:t>redacted</w:t>
            </w:r>
            <w:r w:rsidRPr="00255004">
              <w:rPr>
                <w:szCs w:val="20"/>
                <w:vertAlign w:val="superscript"/>
              </w:rPr>
              <w:t>3</w:t>
            </w:r>
          </w:p>
        </w:tc>
        <w:tc>
          <w:tcPr>
            <w:tcW w:w="611" w:type="pct"/>
          </w:tcPr>
          <w:p w14:paraId="791F0935" w14:textId="6E95B855" w:rsidR="009D2326" w:rsidRPr="00255004" w:rsidRDefault="009D2326" w:rsidP="009D2326">
            <w:pPr>
              <w:pStyle w:val="TableText"/>
              <w:keepNext/>
              <w:keepLines/>
              <w:rPr>
                <w:szCs w:val="20"/>
                <w:vertAlign w:val="superscript"/>
              </w:rPr>
            </w:pPr>
            <w:r w:rsidRPr="00255004">
              <w:rPr>
                <w:szCs w:val="20"/>
              </w:rPr>
              <w:t>-$</w:t>
            </w:r>
            <w:r w:rsidRPr="00255004">
              <w:rPr>
                <w:b/>
                <w:bCs/>
                <w:szCs w:val="20"/>
              </w:rPr>
              <w:t>redacted</w:t>
            </w:r>
            <w:r w:rsidRPr="00255004">
              <w:rPr>
                <w:szCs w:val="20"/>
                <w:vertAlign w:val="superscript"/>
              </w:rPr>
              <w:t>3</w:t>
            </w:r>
          </w:p>
        </w:tc>
        <w:tc>
          <w:tcPr>
            <w:tcW w:w="611" w:type="pct"/>
          </w:tcPr>
          <w:p w14:paraId="36B12B11" w14:textId="693C1F9E" w:rsidR="009D2326" w:rsidRPr="00255004" w:rsidRDefault="009D2326" w:rsidP="009D2326">
            <w:pPr>
              <w:pStyle w:val="TableText"/>
              <w:keepNext/>
              <w:keepLines/>
              <w:rPr>
                <w:szCs w:val="20"/>
                <w:vertAlign w:val="superscript"/>
              </w:rPr>
            </w:pPr>
            <w:r w:rsidRPr="00255004">
              <w:rPr>
                <w:szCs w:val="20"/>
              </w:rPr>
              <w:t>-$</w:t>
            </w:r>
            <w:r w:rsidRPr="00255004">
              <w:rPr>
                <w:b/>
                <w:bCs/>
                <w:szCs w:val="20"/>
              </w:rPr>
              <w:t>redacted</w:t>
            </w:r>
            <w:r w:rsidRPr="00255004">
              <w:rPr>
                <w:szCs w:val="20"/>
                <w:vertAlign w:val="superscript"/>
              </w:rPr>
              <w:t>3</w:t>
            </w:r>
          </w:p>
        </w:tc>
        <w:tc>
          <w:tcPr>
            <w:tcW w:w="611" w:type="pct"/>
          </w:tcPr>
          <w:p w14:paraId="45CE0BE8" w14:textId="088D7704" w:rsidR="009D2326" w:rsidRPr="00255004" w:rsidRDefault="009D2326" w:rsidP="009D2326">
            <w:pPr>
              <w:pStyle w:val="TableText"/>
              <w:keepNext/>
              <w:keepLines/>
              <w:rPr>
                <w:szCs w:val="20"/>
                <w:vertAlign w:val="superscript"/>
              </w:rPr>
            </w:pPr>
            <w:r w:rsidRPr="00255004">
              <w:rPr>
                <w:szCs w:val="20"/>
              </w:rPr>
              <w:t>-$</w:t>
            </w:r>
            <w:r w:rsidRPr="00255004">
              <w:rPr>
                <w:b/>
                <w:bCs/>
                <w:szCs w:val="20"/>
              </w:rPr>
              <w:t>redacted</w:t>
            </w:r>
            <w:r w:rsidRPr="00255004">
              <w:rPr>
                <w:szCs w:val="20"/>
                <w:vertAlign w:val="superscript"/>
              </w:rPr>
              <w:t>3</w:t>
            </w:r>
          </w:p>
        </w:tc>
        <w:tc>
          <w:tcPr>
            <w:tcW w:w="612" w:type="pct"/>
          </w:tcPr>
          <w:p w14:paraId="0CABB03B" w14:textId="56C7E353" w:rsidR="009D2326" w:rsidRPr="00255004" w:rsidRDefault="009D2326" w:rsidP="009D2326">
            <w:pPr>
              <w:pStyle w:val="TableText"/>
              <w:keepNext/>
              <w:keepLines/>
              <w:rPr>
                <w:szCs w:val="20"/>
                <w:vertAlign w:val="superscript"/>
              </w:rPr>
            </w:pPr>
            <w:r w:rsidRPr="00255004">
              <w:rPr>
                <w:szCs w:val="20"/>
              </w:rPr>
              <w:t>-$</w:t>
            </w:r>
            <w:r w:rsidRPr="00255004">
              <w:rPr>
                <w:b/>
                <w:bCs/>
                <w:szCs w:val="20"/>
              </w:rPr>
              <w:t>redacted</w:t>
            </w:r>
            <w:r w:rsidRPr="00255004">
              <w:rPr>
                <w:szCs w:val="20"/>
                <w:vertAlign w:val="superscript"/>
              </w:rPr>
              <w:t>3</w:t>
            </w:r>
          </w:p>
        </w:tc>
      </w:tr>
    </w:tbl>
    <w:p w14:paraId="6B5A19F0" w14:textId="77777777" w:rsidR="00000500" w:rsidRDefault="00000500" w:rsidP="00000500">
      <w:pPr>
        <w:pStyle w:val="FooterTableFigure"/>
      </w:pPr>
      <w:bookmarkStart w:id="23" w:name="_Toc69491427"/>
      <w:r>
        <w:t>The redacted values corresponding to the following ranges</w:t>
      </w:r>
      <w:r w:rsidRPr="0098262F">
        <w:t xml:space="preserve">: </w:t>
      </w:r>
    </w:p>
    <w:p w14:paraId="00405097" w14:textId="6AA4B3A2" w:rsidR="00000500" w:rsidRDefault="00000500" w:rsidP="00000500">
      <w:pPr>
        <w:pStyle w:val="FooterTableFigure"/>
      </w:pPr>
      <w:r>
        <w:rPr>
          <w:vertAlign w:val="superscript"/>
        </w:rPr>
        <w:t>1</w:t>
      </w:r>
      <w:r w:rsidR="00A80A41">
        <w:rPr>
          <w:vertAlign w:val="superscript"/>
        </w:rPr>
        <w:t xml:space="preserve"> </w:t>
      </w:r>
      <w:r w:rsidR="00A80A41">
        <w:t>&lt;500</w:t>
      </w:r>
    </w:p>
    <w:p w14:paraId="239FD649" w14:textId="7C649A8B" w:rsidR="00F672B3" w:rsidRDefault="00F672B3" w:rsidP="00000500">
      <w:pPr>
        <w:pStyle w:val="FooterTableFigure"/>
      </w:pPr>
      <w:r>
        <w:rPr>
          <w:vertAlign w:val="superscript"/>
        </w:rPr>
        <w:t xml:space="preserve">2 </w:t>
      </w:r>
      <w:r w:rsidRPr="00F672B3">
        <w:t>500 to &lt;5,000</w:t>
      </w:r>
    </w:p>
    <w:p w14:paraId="69E194DC" w14:textId="5E22481B" w:rsidR="008A219B" w:rsidRPr="008A219B" w:rsidRDefault="008A219B" w:rsidP="00000500">
      <w:pPr>
        <w:pStyle w:val="FooterTableFigure"/>
        <w:rPr>
          <w:vertAlign w:val="superscript"/>
        </w:rPr>
      </w:pPr>
      <w:r>
        <w:rPr>
          <w:vertAlign w:val="superscript"/>
        </w:rPr>
        <w:t>3</w:t>
      </w:r>
      <w:r w:rsidR="009676F3">
        <w:rPr>
          <w:vertAlign w:val="superscript"/>
        </w:rPr>
        <w:t xml:space="preserve"> </w:t>
      </w:r>
      <w:r w:rsidR="009676F3" w:rsidRPr="009676F3">
        <w:t xml:space="preserve">$0 to </w:t>
      </w:r>
      <w:r w:rsidR="009676F3">
        <w:t xml:space="preserve">&lt; </w:t>
      </w:r>
      <w:r w:rsidR="009676F3" w:rsidRPr="009676F3">
        <w:t>$10 million</w:t>
      </w:r>
    </w:p>
    <w:p w14:paraId="7838A9FF" w14:textId="75EA3A02" w:rsidR="00772829" w:rsidRPr="00CE28E3" w:rsidRDefault="00772829" w:rsidP="00EB3CE8">
      <w:pPr>
        <w:pStyle w:val="Heading2"/>
        <w:numPr>
          <w:ilvl w:val="0"/>
          <w:numId w:val="13"/>
        </w:numPr>
        <w:ind w:hanging="720"/>
      </w:pPr>
      <w:r w:rsidRPr="00CE28E3">
        <w:t xml:space="preserve">Other relevant </w:t>
      </w:r>
      <w:bookmarkEnd w:id="23"/>
      <w:r w:rsidR="00FA5766">
        <w:t>information</w:t>
      </w:r>
    </w:p>
    <w:p w14:paraId="4E1F1CBF" w14:textId="58F40C61" w:rsidR="004B0E2F" w:rsidRDefault="004B0E2F" w:rsidP="004B0E2F">
      <w:pPr>
        <w:pStyle w:val="Instructionaltext"/>
        <w:rPr>
          <w:iCs/>
          <w:color w:val="auto"/>
          <w:szCs w:val="24"/>
        </w:rPr>
      </w:pPr>
      <w:r>
        <w:rPr>
          <w:iCs/>
          <w:color w:val="auto"/>
          <w:szCs w:val="24"/>
        </w:rPr>
        <w:t xml:space="preserve">In </w:t>
      </w:r>
      <w:r w:rsidR="00A56D86">
        <w:rPr>
          <w:iCs/>
          <w:color w:val="auto"/>
          <w:szCs w:val="24"/>
        </w:rPr>
        <w:t xml:space="preserve">the </w:t>
      </w:r>
      <w:r>
        <w:rPr>
          <w:iCs/>
          <w:color w:val="auto"/>
          <w:szCs w:val="24"/>
        </w:rPr>
        <w:t xml:space="preserve">related codependent PBS consideration, the PBAC commentary noted a three-way scope mismatch: the TGA approval is broader (spasticity regardless of cause), the proposed PBS restriction is narrower (stroke or other acute neurological event), and the submitted pivotal trials were narrower again (post-stroke populations only). The requested PBS wording is broader than the approved adult indication wording (see Section </w:t>
      </w:r>
      <w:r w:rsidR="004B38D7">
        <w:rPr>
          <w:iCs/>
          <w:color w:val="auto"/>
          <w:szCs w:val="24"/>
        </w:rPr>
        <w:t>5</w:t>
      </w:r>
      <w:r>
        <w:rPr>
          <w:iCs/>
          <w:color w:val="auto"/>
          <w:szCs w:val="24"/>
        </w:rPr>
        <w:t xml:space="preserve"> for approved TGA indication wording). </w:t>
      </w:r>
      <w:r w:rsidR="00D46730">
        <w:rPr>
          <w:iCs/>
          <w:color w:val="auto"/>
          <w:szCs w:val="24"/>
        </w:rPr>
        <w:t>This raises the question</w:t>
      </w:r>
      <w:r w:rsidR="00784B18">
        <w:rPr>
          <w:iCs/>
          <w:color w:val="auto"/>
          <w:szCs w:val="24"/>
        </w:rPr>
        <w:t xml:space="preserve"> to PBAC</w:t>
      </w:r>
      <w:r w:rsidR="00D46730">
        <w:rPr>
          <w:iCs/>
          <w:color w:val="auto"/>
          <w:szCs w:val="24"/>
        </w:rPr>
        <w:t xml:space="preserve"> whether the restriction </w:t>
      </w:r>
      <w:r w:rsidR="004E3462">
        <w:rPr>
          <w:iCs/>
          <w:color w:val="auto"/>
          <w:szCs w:val="24"/>
        </w:rPr>
        <w:t>should</w:t>
      </w:r>
      <w:r w:rsidR="00D46730">
        <w:rPr>
          <w:iCs/>
          <w:color w:val="auto"/>
          <w:szCs w:val="24"/>
        </w:rPr>
        <w:t xml:space="preserve"> be </w:t>
      </w:r>
      <w:r w:rsidR="00BA4CBC">
        <w:rPr>
          <w:iCs/>
          <w:color w:val="auto"/>
          <w:szCs w:val="24"/>
        </w:rPr>
        <w:t xml:space="preserve">framed more broadly, including for spasticity </w:t>
      </w:r>
      <w:r w:rsidR="00D46730">
        <w:rPr>
          <w:iCs/>
          <w:color w:val="auto"/>
          <w:szCs w:val="24"/>
        </w:rPr>
        <w:t>due to conditions such as multiple sclerosis and for adults with cerebral palsy.</w:t>
      </w:r>
      <w:r>
        <w:rPr>
          <w:iCs/>
          <w:color w:val="auto"/>
          <w:szCs w:val="24"/>
        </w:rPr>
        <w:t xml:space="preserve">  </w:t>
      </w:r>
    </w:p>
    <w:p w14:paraId="0AD6E3C1" w14:textId="2303483B" w:rsidR="005B39FE" w:rsidRDefault="00193AE2" w:rsidP="009950C9">
      <w:pPr>
        <w:pStyle w:val="Instructionaltext"/>
        <w:rPr>
          <w:iCs/>
          <w:color w:val="auto"/>
          <w:szCs w:val="24"/>
        </w:rPr>
      </w:pPr>
      <w:r>
        <w:rPr>
          <w:iCs/>
          <w:color w:val="auto"/>
          <w:szCs w:val="24"/>
        </w:rPr>
        <w:t xml:space="preserve">In </w:t>
      </w:r>
      <w:r w:rsidR="00C03B1D">
        <w:rPr>
          <w:iCs/>
          <w:color w:val="auto"/>
          <w:szCs w:val="24"/>
        </w:rPr>
        <w:t>pre-PBAC ESC response, t</w:t>
      </w:r>
      <w:r w:rsidR="004B0E2F">
        <w:rPr>
          <w:iCs/>
          <w:color w:val="auto"/>
          <w:szCs w:val="24"/>
        </w:rPr>
        <w:t>he sponso</w:t>
      </w:r>
      <w:r w:rsidR="00E85011">
        <w:rPr>
          <w:iCs/>
          <w:color w:val="auto"/>
          <w:szCs w:val="24"/>
        </w:rPr>
        <w:t xml:space="preserve">r </w:t>
      </w:r>
      <w:r w:rsidR="004E3462">
        <w:rPr>
          <w:iCs/>
          <w:color w:val="auto"/>
          <w:szCs w:val="24"/>
        </w:rPr>
        <w:t xml:space="preserve">clarified </w:t>
      </w:r>
      <w:r w:rsidR="00E85011">
        <w:rPr>
          <w:iCs/>
          <w:color w:val="auto"/>
          <w:szCs w:val="24"/>
        </w:rPr>
        <w:t xml:space="preserve">that </w:t>
      </w:r>
      <w:r w:rsidR="00C03B1D">
        <w:rPr>
          <w:iCs/>
          <w:color w:val="auto"/>
          <w:szCs w:val="24"/>
        </w:rPr>
        <w:t>the submission is</w:t>
      </w:r>
      <w:r w:rsidR="003E5F22">
        <w:rPr>
          <w:iCs/>
          <w:color w:val="auto"/>
          <w:szCs w:val="24"/>
        </w:rPr>
        <w:t xml:space="preserve"> for the same indication as the existing Botox and Dysport listing</w:t>
      </w:r>
      <w:r w:rsidR="000D1372">
        <w:rPr>
          <w:iCs/>
          <w:color w:val="auto"/>
          <w:szCs w:val="24"/>
        </w:rPr>
        <w:t xml:space="preserve">. The sponsor therefore contended that </w:t>
      </w:r>
      <w:r w:rsidR="003E5F22">
        <w:rPr>
          <w:iCs/>
          <w:color w:val="auto"/>
          <w:szCs w:val="24"/>
        </w:rPr>
        <w:t xml:space="preserve">extending the restriction </w:t>
      </w:r>
      <w:r w:rsidR="00486684">
        <w:rPr>
          <w:iCs/>
          <w:color w:val="auto"/>
          <w:szCs w:val="24"/>
        </w:rPr>
        <w:t xml:space="preserve">would not introduce new practice beyond what is already accepted on the PBS. The sponsor also noted that separate PBS listings already </w:t>
      </w:r>
      <w:r w:rsidR="009D7821">
        <w:rPr>
          <w:iCs/>
          <w:color w:val="auto"/>
          <w:szCs w:val="24"/>
        </w:rPr>
        <w:t>exist</w:t>
      </w:r>
      <w:r w:rsidR="00486684">
        <w:rPr>
          <w:iCs/>
          <w:color w:val="auto"/>
          <w:szCs w:val="24"/>
        </w:rPr>
        <w:t xml:space="preserve"> for botulinum toxin tr</w:t>
      </w:r>
      <w:r w:rsidR="000540C6">
        <w:rPr>
          <w:iCs/>
          <w:color w:val="auto"/>
          <w:szCs w:val="24"/>
        </w:rPr>
        <w:t xml:space="preserve">eatment of </w:t>
      </w:r>
      <w:r w:rsidR="00784B18">
        <w:rPr>
          <w:iCs/>
          <w:color w:val="auto"/>
          <w:szCs w:val="24"/>
        </w:rPr>
        <w:t>cerebral palsy associated spasticity.</w:t>
      </w:r>
    </w:p>
    <w:p w14:paraId="6E6A6632" w14:textId="77777777" w:rsidR="00EB3CE8" w:rsidRPr="005B6EFD" w:rsidRDefault="00EB3CE8" w:rsidP="00EB3CE8">
      <w:pPr>
        <w:pStyle w:val="Heading2"/>
        <w:numPr>
          <w:ilvl w:val="0"/>
          <w:numId w:val="13"/>
        </w:numPr>
        <w:ind w:hanging="720"/>
      </w:pPr>
      <w:bookmarkStart w:id="24" w:name="_Hlk213745948"/>
      <w:r w:rsidRPr="005B6EFD">
        <w:t>Applicant comments on MSAC’s Public Summary Document</w:t>
      </w:r>
    </w:p>
    <w:p w14:paraId="02DF8B3F" w14:textId="43DD2933" w:rsidR="00EB3CE8" w:rsidRPr="00CF1DD7" w:rsidRDefault="00CF1DD7" w:rsidP="00EB3CE8">
      <w:pPr>
        <w:spacing w:after="240"/>
        <w:rPr>
          <w:lang w:val="en-GB"/>
        </w:rPr>
      </w:pPr>
      <w:r w:rsidRPr="00CF1DD7">
        <w:t>The applicant had no comment.</w:t>
      </w:r>
    </w:p>
    <w:p w14:paraId="54EDA5C2" w14:textId="77777777" w:rsidR="00EB3CE8" w:rsidRPr="005B6EFD" w:rsidRDefault="00EB3CE8" w:rsidP="00EB3CE8">
      <w:pPr>
        <w:pStyle w:val="Heading2"/>
        <w:numPr>
          <w:ilvl w:val="0"/>
          <w:numId w:val="13"/>
        </w:numPr>
        <w:ind w:hanging="720"/>
      </w:pPr>
      <w:r w:rsidRPr="005B6EFD">
        <w:t>Further information on MSAC</w:t>
      </w:r>
    </w:p>
    <w:p w14:paraId="24F537CC" w14:textId="55D0B269" w:rsidR="00EB3CE8" w:rsidRPr="00EB3CE8" w:rsidRDefault="00EB3CE8" w:rsidP="00EB3CE8">
      <w:pPr>
        <w:keepLines/>
        <w:spacing w:before="0" w:line="269" w:lineRule="auto"/>
        <w:rPr>
          <w:rFonts w:eastAsia="Calibri" w:cs="Calibri"/>
        </w:rPr>
      </w:pPr>
      <w:r w:rsidRPr="005B6EFD">
        <w:rPr>
          <w:rFonts w:eastAsia="Calibri" w:cs="Calibri"/>
          <w:bCs/>
          <w:iCs/>
        </w:rPr>
        <w:t xml:space="preserve">MSAC Terms of Reference and other information are available on the MSAC Website: </w:t>
      </w:r>
      <w:hyperlink r:id="rId30" w:tooltip="Link to the MSAC website" w:history="1">
        <w:r w:rsidRPr="005B6EFD">
          <w:rPr>
            <w:rFonts w:eastAsia="Calibri" w:cs="Calibri"/>
            <w:iCs/>
            <w:color w:val="007BB8"/>
            <w:u w:val="single"/>
          </w:rPr>
          <w:t>visit the MSAC website</w:t>
        </w:r>
      </w:hyperlink>
      <w:bookmarkEnd w:id="24"/>
    </w:p>
    <w:sectPr w:rsidR="00EB3CE8" w:rsidRPr="00EB3CE8" w:rsidSect="00784341">
      <w:headerReference w:type="even" r:id="rId31"/>
      <w:headerReference w:type="default" r:id="rId32"/>
      <w:footerReference w:type="even" r:id="rId33"/>
      <w:footerReference w:type="default" r:id="rId34"/>
      <w:headerReference w:type="first" r:id="rId35"/>
      <w:footerReference w:type="first" r:id="rId36"/>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9B5D" w14:textId="77777777" w:rsidR="00292C1E" w:rsidRDefault="00292C1E" w:rsidP="00B62DF2">
      <w:pPr>
        <w:spacing w:after="0" w:line="240" w:lineRule="auto"/>
      </w:pPr>
      <w:r>
        <w:separator/>
      </w:r>
    </w:p>
  </w:endnote>
  <w:endnote w:type="continuationSeparator" w:id="0">
    <w:p w14:paraId="7E32BAAF" w14:textId="77777777" w:rsidR="00292C1E" w:rsidRDefault="00292C1E" w:rsidP="00B6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D499" w14:textId="4B465D63" w:rsidR="005947B5" w:rsidRDefault="00E85806" w:rsidP="007A135E">
    <w:pPr>
      <w:pStyle w:val="Footer"/>
      <w:jc w:val="right"/>
    </w:pPr>
    <w:r>
      <w:rPr>
        <w:noProof/>
      </w:rPr>
      <mc:AlternateContent>
        <mc:Choice Requires="wps">
          <w:drawing>
            <wp:anchor distT="0" distB="0" distL="0" distR="0" simplePos="0" relativeHeight="251658244" behindDoc="0" locked="0" layoutInCell="1" allowOverlap="1" wp14:anchorId="6579726F" wp14:editId="1ED40D0F">
              <wp:simplePos x="914400" y="10010775"/>
              <wp:positionH relativeFrom="page">
                <wp:align>center</wp:align>
              </wp:positionH>
              <wp:positionV relativeFrom="page">
                <wp:align>bottom</wp:align>
              </wp:positionV>
              <wp:extent cx="622300" cy="467360"/>
              <wp:effectExtent l="0" t="0" r="6350" b="0"/>
              <wp:wrapNone/>
              <wp:docPr id="90216558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3AB553E9" w14:textId="5960E663"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79726F" id="_x0000_t202" coordsize="21600,21600" o:spt="202" path="m,l,21600r21600,l21600,xe">
              <v:stroke joinstyle="miter"/>
              <v:path gradientshapeok="t" o:connecttype="rect"/>
            </v:shapetype>
            <v:shape id="Text Box 11" o:spid="_x0000_s1028" type="#_x0000_t202" alt="OFFICIAL" style="position:absolute;left:0;text-align:left;margin-left:0;margin-top:0;width:49pt;height:36.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UDgIAABw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d8tk4fQX1kZZCOPHtnVx31HojfHgSSATTtCTa&#10;8EhHo6EvOZwtzlrAH3/zx3zCnaKc9SSYkltSNGf6myU+orZGA0ejSsb0c/4hwmP35g5IhlN6EU4m&#10;k7wY9Gg2COaF5LyKjSgkrKR2Ja9G8y6clEvPQarVKiWRjJwIG7t1MpaOcEUsn4cXge4MeCCmHmBU&#10;kyhe4X7KjTe9W+0DoZ9IidCegDwjThJMXJ2fS9T4r/8p6/qolz8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8DdtUDgIAABwE&#10;AAAOAAAAAAAAAAAAAAAAAC4CAABkcnMvZTJvRG9jLnhtbFBLAQItABQABgAIAAAAIQCQpICC2gAA&#10;AAMBAAAPAAAAAAAAAAAAAAAAAGgEAABkcnMvZG93bnJldi54bWxQSwUGAAAAAAQABADzAAAAbwUA&#10;AAAA&#10;" filled="f" stroked="f">
              <v:textbox style="mso-fit-shape-to-text:t" inset="0,0,0,15pt">
                <w:txbxContent>
                  <w:p w14:paraId="3AB553E9" w14:textId="5960E663"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v:textbox>
              <w10:wrap anchorx="page" anchory="page"/>
            </v:shape>
          </w:pict>
        </mc:Fallback>
      </mc:AlternateContent>
    </w:r>
    <w:sdt>
      <w:sdtPr>
        <w:id w:val="1925460831"/>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22</w:t>
        </w:r>
        <w:r w:rsidR="005947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385A" w14:textId="1C84B611" w:rsidR="005947B5" w:rsidRDefault="00E85806" w:rsidP="00052DD3">
    <w:pPr>
      <w:pStyle w:val="Footer"/>
      <w:jc w:val="right"/>
    </w:pPr>
    <w:r>
      <w:rPr>
        <w:noProof/>
      </w:rPr>
      <mc:AlternateContent>
        <mc:Choice Requires="wps">
          <w:drawing>
            <wp:anchor distT="0" distB="0" distL="0" distR="0" simplePos="0" relativeHeight="251658245" behindDoc="0" locked="0" layoutInCell="1" allowOverlap="1" wp14:anchorId="2A49600D" wp14:editId="3FB93053">
              <wp:simplePos x="914400" y="10010775"/>
              <wp:positionH relativeFrom="page">
                <wp:align>center</wp:align>
              </wp:positionH>
              <wp:positionV relativeFrom="page">
                <wp:align>bottom</wp:align>
              </wp:positionV>
              <wp:extent cx="622300" cy="467360"/>
              <wp:effectExtent l="0" t="0" r="6350" b="0"/>
              <wp:wrapNone/>
              <wp:docPr id="194643695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1EF99C80" w14:textId="68F58E59"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49600D"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36.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BRsmlpDgIAABwE&#10;AAAOAAAAAAAAAAAAAAAAAC4CAABkcnMvZTJvRG9jLnhtbFBLAQItABQABgAIAAAAIQCQpICC2gAA&#10;AAMBAAAPAAAAAAAAAAAAAAAAAGgEAABkcnMvZG93bnJldi54bWxQSwUGAAAAAAQABADzAAAAbwUA&#10;AAAA&#10;" filled="f" stroked="f">
              <v:textbox style="mso-fit-shape-to-text:t" inset="0,0,0,15pt">
                <w:txbxContent>
                  <w:p w14:paraId="1EF99C80" w14:textId="68F58E59"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v:textbox>
              <w10:wrap anchorx="page" anchory="page"/>
            </v:shape>
          </w:pict>
        </mc:Fallback>
      </mc:AlternateContent>
    </w:r>
    <w:sdt>
      <w:sdtPr>
        <w:id w:val="-18244847"/>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21</w:t>
        </w:r>
        <w:r w:rsidR="005947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2301" w14:textId="15A9C510" w:rsidR="0099088A" w:rsidRDefault="00E85806">
    <w:pPr>
      <w:pStyle w:val="Footer"/>
    </w:pPr>
    <w:r>
      <w:rPr>
        <w:noProof/>
      </w:rPr>
      <mc:AlternateContent>
        <mc:Choice Requires="wps">
          <w:drawing>
            <wp:anchor distT="0" distB="0" distL="0" distR="0" simplePos="0" relativeHeight="251658243" behindDoc="0" locked="0" layoutInCell="1" allowOverlap="1" wp14:anchorId="2CF9BF7F" wp14:editId="79610F50">
              <wp:simplePos x="635" y="635"/>
              <wp:positionH relativeFrom="page">
                <wp:align>center</wp:align>
              </wp:positionH>
              <wp:positionV relativeFrom="page">
                <wp:align>bottom</wp:align>
              </wp:positionV>
              <wp:extent cx="622300" cy="467360"/>
              <wp:effectExtent l="0" t="0" r="6350" b="0"/>
              <wp:wrapNone/>
              <wp:docPr id="178645552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5FA0F208" w14:textId="3C72086E"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F9BF7F" id="_x0000_t202" coordsize="21600,21600" o:spt="202" path="m,l,21600r21600,l21600,xe">
              <v:stroke joinstyle="miter"/>
              <v:path gradientshapeok="t" o:connecttype="rect"/>
            </v:shapetype>
            <v:shape id="Text Box 10" o:spid="_x0000_s1031" type="#_x0000_t202" alt="OFFICIAL" style="position:absolute;margin-left:0;margin-top:0;width:49pt;height:36.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McbkDgIAABwE&#10;AAAOAAAAAAAAAAAAAAAAAC4CAABkcnMvZTJvRG9jLnhtbFBLAQItABQABgAIAAAAIQCQpICC2gAA&#10;AAMBAAAPAAAAAAAAAAAAAAAAAGgEAABkcnMvZG93bnJldi54bWxQSwUGAAAAAAQABADzAAAAbwUA&#10;AAAA&#10;" filled="f" stroked="f">
              <v:textbox style="mso-fit-shape-to-text:t" inset="0,0,0,15pt">
                <w:txbxContent>
                  <w:p w14:paraId="5FA0F208" w14:textId="3C72086E"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783CF" w14:textId="77777777" w:rsidR="00292C1E" w:rsidRDefault="00292C1E" w:rsidP="00B62DF2">
      <w:pPr>
        <w:spacing w:after="0" w:line="240" w:lineRule="auto"/>
      </w:pPr>
      <w:r>
        <w:separator/>
      </w:r>
    </w:p>
  </w:footnote>
  <w:footnote w:type="continuationSeparator" w:id="0">
    <w:p w14:paraId="6E12ECEB" w14:textId="77777777" w:rsidR="00292C1E" w:rsidRDefault="00292C1E" w:rsidP="00B62DF2">
      <w:pPr>
        <w:spacing w:after="0" w:line="240" w:lineRule="auto"/>
      </w:pPr>
      <w:r>
        <w:continuationSeparator/>
      </w:r>
    </w:p>
  </w:footnote>
  <w:footnote w:id="1">
    <w:p w14:paraId="548C5E95" w14:textId="5ADC1DEA" w:rsidR="008F4597" w:rsidRPr="00207298" w:rsidRDefault="008F4597" w:rsidP="00F75DEF">
      <w:pPr>
        <w:pStyle w:val="FootnoteText"/>
        <w:spacing w:before="0"/>
        <w:rPr>
          <w:color w:val="0070C0"/>
        </w:rPr>
      </w:pPr>
      <w:r w:rsidRPr="00207298">
        <w:rPr>
          <w:rStyle w:val="FootnoteReference"/>
          <w:color w:val="0070C0"/>
        </w:rPr>
        <w:footnoteRef/>
      </w:r>
      <w:r w:rsidRPr="00207298">
        <w:rPr>
          <w:color w:val="0070C0"/>
        </w:rPr>
        <w:t xml:space="preserve"> </w:t>
      </w:r>
      <w:hyperlink r:id="rId1" w:history="1">
        <w:r w:rsidRPr="00207298">
          <w:rPr>
            <w:rStyle w:val="Hyperlink"/>
          </w:rPr>
          <w:t>MBS Online - IncobotulinumtoxinA (Xeomin) injection for chronic sialorrhea treatment due to neurological or neurodevelopmental disorders</w:t>
        </w:r>
      </w:hyperlink>
    </w:p>
  </w:footnote>
  <w:footnote w:id="2">
    <w:p w14:paraId="06934237" w14:textId="36F6016B" w:rsidR="002A7B60" w:rsidRDefault="002A7B60" w:rsidP="00C26254">
      <w:pPr>
        <w:pStyle w:val="FootnoteText"/>
        <w:spacing w:before="0"/>
      </w:pPr>
      <w:r>
        <w:rPr>
          <w:rStyle w:val="FootnoteReference"/>
        </w:rPr>
        <w:footnoteRef/>
      </w:r>
      <w:r>
        <w:t xml:space="preserve"> </w:t>
      </w:r>
      <w:hyperlink r:id="rId2" w:history="1">
        <w:r w:rsidR="006C02C8" w:rsidRPr="00F75DEF">
          <w:rPr>
            <w:rStyle w:val="Hyperlink"/>
          </w:rPr>
          <w:t xml:space="preserve">MBS Online - </w:t>
        </w:r>
        <w:r w:rsidR="002A282C" w:rsidRPr="00F75DEF">
          <w:rPr>
            <w:rStyle w:val="Hyperlink"/>
          </w:rPr>
          <w:t>IncobotulinumtoxinA (Xeomin) injection for lower and upper limb spasticity due to cerebral palsy</w:t>
        </w:r>
      </w:hyperlink>
    </w:p>
  </w:footnote>
  <w:footnote w:id="3">
    <w:p w14:paraId="6F54C8B6" w14:textId="7F250731" w:rsidR="009D0AC7" w:rsidRDefault="009D0AC7" w:rsidP="00F75DEF">
      <w:pPr>
        <w:pStyle w:val="FootnoteText"/>
        <w:spacing w:before="0"/>
      </w:pPr>
      <w:r w:rsidRPr="00207298">
        <w:rPr>
          <w:rStyle w:val="FootnoteReference"/>
          <w:color w:val="0070C0"/>
        </w:rPr>
        <w:footnoteRef/>
      </w:r>
      <w:r w:rsidRPr="00207298">
        <w:rPr>
          <w:color w:val="0070C0"/>
        </w:rPr>
        <w:t xml:space="preserve"> </w:t>
      </w:r>
      <w:hyperlink r:id="rId3" w:history="1">
        <w:r w:rsidRPr="00207298">
          <w:rPr>
            <w:rStyle w:val="Hyperlink"/>
          </w:rPr>
          <w:t>Pharmaceutical Benefits Scheme (PBS) | Biological Medicines</w:t>
        </w:r>
      </w:hyperlink>
    </w:p>
  </w:footnote>
  <w:footnote w:id="4">
    <w:p w14:paraId="7DCFAEAF" w14:textId="25AB8E1A" w:rsidR="00C931B7" w:rsidRPr="00E035C5" w:rsidRDefault="00C931B7" w:rsidP="00A86E11">
      <w:pPr>
        <w:pStyle w:val="FootnoteText"/>
        <w:spacing w:before="0"/>
      </w:pPr>
      <w:r>
        <w:rPr>
          <w:rStyle w:val="FootnoteReference"/>
        </w:rPr>
        <w:footnoteRef/>
      </w:r>
      <w:r>
        <w:t xml:space="preserve"> Francisco, G.A. (2012) Poststroke </w:t>
      </w:r>
      <w:r w:rsidR="00E43C3F">
        <w:t>s</w:t>
      </w:r>
      <w:r>
        <w:t xml:space="preserve">pasticity management. </w:t>
      </w:r>
      <w:r>
        <w:rPr>
          <w:i/>
          <w:iCs/>
        </w:rPr>
        <w:t>Stroke</w:t>
      </w:r>
      <w:r>
        <w:t xml:space="preserve">, </w:t>
      </w:r>
      <w:r w:rsidR="00E035C5">
        <w:rPr>
          <w:i/>
          <w:iCs/>
        </w:rPr>
        <w:t>43</w:t>
      </w:r>
      <w:r w:rsidR="00E035C5">
        <w:t>(1), 3132-3136. doi:https://doi.org/10.1161/STROKEAHA.111.639</w:t>
      </w:r>
      <w:r w:rsidR="00C823E5">
        <w:t>831</w:t>
      </w:r>
    </w:p>
  </w:footnote>
  <w:footnote w:id="5">
    <w:p w14:paraId="19DCF2CF" w14:textId="056B86D6" w:rsidR="00C823E5" w:rsidRPr="001766A8" w:rsidRDefault="00C823E5" w:rsidP="00A86E11">
      <w:pPr>
        <w:pStyle w:val="FootnoteText"/>
        <w:spacing w:before="0"/>
      </w:pPr>
      <w:r>
        <w:rPr>
          <w:rStyle w:val="FootnoteReference"/>
        </w:rPr>
        <w:footnoteRef/>
      </w:r>
      <w:r>
        <w:t xml:space="preserve"> Li, S. (2020)</w:t>
      </w:r>
      <w:r w:rsidR="00E43C3F">
        <w:t xml:space="preserve"> Ankle and foot spasticity patterns in chronic stroke survivors with abnormal gait. </w:t>
      </w:r>
      <w:r w:rsidR="00E43C3F">
        <w:rPr>
          <w:i/>
          <w:iCs/>
        </w:rPr>
        <w:t>Toxins</w:t>
      </w:r>
      <w:r w:rsidR="001766A8">
        <w:rPr>
          <w:i/>
          <w:iCs/>
        </w:rPr>
        <w:t>, 12</w:t>
      </w:r>
      <w:r w:rsidR="001766A8">
        <w:t>(10), 646. doi:https://doi.org/10.3390/toxins12100646</w:t>
      </w:r>
    </w:p>
  </w:footnote>
  <w:footnote w:id="6">
    <w:p w14:paraId="28ACEA34" w14:textId="6105E36C" w:rsidR="0073320E" w:rsidRPr="001312F8" w:rsidRDefault="0073320E" w:rsidP="00A86E11">
      <w:pPr>
        <w:pStyle w:val="FootnoteText"/>
        <w:spacing w:before="0"/>
      </w:pPr>
      <w:r>
        <w:rPr>
          <w:rStyle w:val="FootnoteReference"/>
        </w:rPr>
        <w:footnoteRef/>
      </w:r>
      <w:r>
        <w:t xml:space="preserve"> Wissel, J.W. (2014) Post-stroke spasticity</w:t>
      </w:r>
      <w:r w:rsidR="00707EB7">
        <w:t xml:space="preserve">: predictors of early development and considerations for therapeutic intervention. </w:t>
      </w:r>
      <w:r w:rsidR="00707EB7">
        <w:rPr>
          <w:i/>
          <w:iCs/>
        </w:rPr>
        <w:t>PM&amp;R</w:t>
      </w:r>
      <w:r w:rsidR="001312F8">
        <w:rPr>
          <w:i/>
          <w:iCs/>
        </w:rPr>
        <w:t>, 7</w:t>
      </w:r>
      <w:r w:rsidR="001312F8">
        <w:t>(1), 60-67. doi:https://doi.org/10.1016/j.pmrj.2014.08.946</w:t>
      </w:r>
    </w:p>
  </w:footnote>
  <w:footnote w:id="7">
    <w:p w14:paraId="0BCBC920" w14:textId="39F2864B" w:rsidR="00B06075" w:rsidRPr="00B06075" w:rsidRDefault="00B06075" w:rsidP="00A86E11">
      <w:pPr>
        <w:pStyle w:val="FootnoteText"/>
        <w:spacing w:before="0"/>
      </w:pPr>
      <w:r>
        <w:rPr>
          <w:rStyle w:val="FootnoteReference"/>
        </w:rPr>
        <w:footnoteRef/>
      </w:r>
      <w:r>
        <w:t xml:space="preserve"> Stroke Foundation (2024) </w:t>
      </w:r>
      <w:r>
        <w:rPr>
          <w:i/>
          <w:iCs/>
        </w:rPr>
        <w:t xml:space="preserve">New report highlights number of stroke hits all-time high. </w:t>
      </w:r>
      <w:r>
        <w:t>Retrieved from https://storkefoundation.org.au/media-centre/media-releases/2024/09/new-report-highlights-number-of-strokes-hit</w:t>
      </w:r>
      <w:r w:rsidR="003C7A42">
        <w:t>-all-time-high</w:t>
      </w:r>
    </w:p>
  </w:footnote>
  <w:footnote w:id="8">
    <w:p w14:paraId="5F98C6C8" w14:textId="6EF848BD" w:rsidR="003C7A42" w:rsidRPr="00E87B75" w:rsidRDefault="003C7A42" w:rsidP="00A86E11">
      <w:pPr>
        <w:pStyle w:val="FootnoteText"/>
        <w:spacing w:before="0"/>
      </w:pPr>
      <w:r>
        <w:rPr>
          <w:rStyle w:val="FootnoteReference"/>
        </w:rPr>
        <w:footnoteRef/>
      </w:r>
      <w:r>
        <w:t xml:space="preserve"> </w:t>
      </w:r>
      <w:r w:rsidR="00E87B75">
        <w:t xml:space="preserve">AIHW (2025) </w:t>
      </w:r>
      <w:r w:rsidR="00E87B75">
        <w:rPr>
          <w:i/>
          <w:iCs/>
        </w:rPr>
        <w:t xml:space="preserve">Heart, stroke and vascular disease: Australian facts. </w:t>
      </w:r>
      <w:r w:rsidR="00E87B75">
        <w:t>Retrieved from https://www.aihw.gov.au/reports/heart-stroke-vascular-diseases/hsvd-facts</w:t>
      </w:r>
    </w:p>
  </w:footnote>
  <w:footnote w:id="9">
    <w:p w14:paraId="46BA774B" w14:textId="1AF6B983" w:rsidR="00E87B75" w:rsidRPr="0083609A" w:rsidRDefault="00E87B75" w:rsidP="00A86E11">
      <w:pPr>
        <w:pStyle w:val="FootnoteText"/>
        <w:spacing w:before="0"/>
      </w:pPr>
      <w:r>
        <w:rPr>
          <w:rStyle w:val="FootnoteReference"/>
        </w:rPr>
        <w:footnoteRef/>
      </w:r>
      <w:r>
        <w:t xml:space="preserve"> Wissel, J.S. (2010) </w:t>
      </w:r>
      <w:r w:rsidR="0083609A">
        <w:t xml:space="preserve">Early development of spasticity following stroke: a prospective, observational trial. </w:t>
      </w:r>
      <w:r w:rsidR="0083609A">
        <w:rPr>
          <w:i/>
          <w:iCs/>
        </w:rPr>
        <w:t xml:space="preserve">Journal of Neurology, 257, </w:t>
      </w:r>
      <w:r w:rsidR="0083609A">
        <w:t xml:space="preserve">1067-1072. </w:t>
      </w:r>
      <w:r w:rsidR="00207298">
        <w:t>Doi:https://doi.org/10.1007/s00415-010-5463-1</w:t>
      </w:r>
    </w:p>
  </w:footnote>
  <w:footnote w:id="10">
    <w:p w14:paraId="4CF706F3" w14:textId="18A7EA03" w:rsidR="00207298" w:rsidRDefault="00207298" w:rsidP="00A86E11">
      <w:pPr>
        <w:pStyle w:val="FootnoteText"/>
        <w:spacing w:before="0"/>
      </w:pPr>
      <w:r>
        <w:rPr>
          <w:rStyle w:val="FootnoteReference"/>
        </w:rPr>
        <w:footnoteRef/>
      </w:r>
      <w:r>
        <w:t xml:space="preserve"> Stroke </w:t>
      </w:r>
      <w:r w:rsidR="00AF78FB">
        <w:t>Foundation. Australian and New Zealand living clinical guidelines for stroke management</w:t>
      </w:r>
      <w:r w:rsidR="002C4A54">
        <w:t xml:space="preserve"> -Chapter 6: Managing complications. Retrieved 2 March 2026 from https://</w:t>
      </w:r>
      <w:r w:rsidR="00DA7C92">
        <w:t>app.magicapp.org/#/guideline/WE8wOn</w:t>
      </w:r>
      <w:r w:rsidR="00A86E11">
        <w:t>/section/ERRp1E</w:t>
      </w:r>
    </w:p>
  </w:footnote>
  <w:footnote w:id="11">
    <w:p w14:paraId="50DA8C4B" w14:textId="77777777" w:rsidR="00327859" w:rsidRDefault="00327859" w:rsidP="00327859">
      <w:pPr>
        <w:pStyle w:val="FootnoteText"/>
      </w:pPr>
      <w:r>
        <w:rPr>
          <w:rStyle w:val="FootnoteReference"/>
        </w:rPr>
        <w:footnoteRef/>
      </w:r>
      <w:r>
        <w:t xml:space="preserve"> </w:t>
      </w:r>
      <w:r w:rsidRPr="000B74AB">
        <w:rPr>
          <w:szCs w:val="16"/>
        </w:rPr>
        <w:t>MAS measures assess muscle tone rather than functional performance. PBAC has previously accepted MAS in indirect treatment comparison (Table 5, Paragraph 6.11, Table 7, Paragraph 6.17, Dysport PSD, July 2020 PBAC meeting). However, PBAC’s recent consideration expressed reservations about this approach (Paragraph 6.17, Xeomin PSD, July 2025 PBAC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1D8D" w14:textId="2B3AA9FF" w:rsidR="0099088A" w:rsidRDefault="00E85806">
    <w:pPr>
      <w:pStyle w:val="Header"/>
    </w:pPr>
    <w:r>
      <w:rPr>
        <w:noProof/>
      </w:rPr>
      <mc:AlternateContent>
        <mc:Choice Requires="wps">
          <w:drawing>
            <wp:anchor distT="0" distB="0" distL="0" distR="0" simplePos="0" relativeHeight="251658241" behindDoc="0" locked="0" layoutInCell="1" allowOverlap="1" wp14:anchorId="04985CFB" wp14:editId="2DB385B9">
              <wp:simplePos x="914400" y="447675"/>
              <wp:positionH relativeFrom="page">
                <wp:align>center</wp:align>
              </wp:positionH>
              <wp:positionV relativeFrom="page">
                <wp:align>top</wp:align>
              </wp:positionV>
              <wp:extent cx="622300" cy="467360"/>
              <wp:effectExtent l="0" t="0" r="6350" b="8890"/>
              <wp:wrapNone/>
              <wp:docPr id="69301187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FCB11B7" w14:textId="1C73611D"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985CFB" id="_x0000_t202" coordsize="21600,21600" o:spt="202" path="m,l,21600r21600,l21600,xe">
              <v:stroke joinstyle="miter"/>
              <v:path gradientshapeok="t" o:connecttype="rect"/>
            </v:shapetype>
            <v:shape id="Text Box 8" o:spid="_x0000_s1026" type="#_x0000_t202" alt="OFFICIAL" style="position:absolute;margin-left:0;margin-top:0;width:49pt;height:36.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3KCQIAABU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" filled="f" stroked="f">
              <v:textbox style="mso-fit-shape-to-text:t" inset="0,15pt,0,0">
                <w:txbxContent>
                  <w:p w14:paraId="2FCB11B7" w14:textId="1C73611D"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F5A1" w14:textId="214D19DE" w:rsidR="0099088A" w:rsidRDefault="00E85806">
    <w:pPr>
      <w:pStyle w:val="Header"/>
    </w:pPr>
    <w:r>
      <w:rPr>
        <w:noProof/>
      </w:rPr>
      <mc:AlternateContent>
        <mc:Choice Requires="wps">
          <w:drawing>
            <wp:anchor distT="0" distB="0" distL="0" distR="0" simplePos="0" relativeHeight="251658242" behindDoc="0" locked="0" layoutInCell="1" allowOverlap="1" wp14:anchorId="25E60FF9" wp14:editId="223E175E">
              <wp:simplePos x="914400" y="447675"/>
              <wp:positionH relativeFrom="page">
                <wp:align>center</wp:align>
              </wp:positionH>
              <wp:positionV relativeFrom="page">
                <wp:align>top</wp:align>
              </wp:positionV>
              <wp:extent cx="622300" cy="467360"/>
              <wp:effectExtent l="0" t="0" r="6350" b="8890"/>
              <wp:wrapNone/>
              <wp:docPr id="8143993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387932D8" w14:textId="1CA064EF"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E60FF9" id="_x0000_t202" coordsize="21600,21600" o:spt="202" path="m,l,21600r21600,l21600,xe">
              <v:stroke joinstyle="miter"/>
              <v:path gradientshapeok="t" o:connecttype="rect"/>
            </v:shapetype>
            <v:shape id="Text Box 9" o:spid="_x0000_s1027" type="#_x0000_t202" alt="OFFICIAL" style="position:absolute;margin-left:0;margin-top:0;width:49pt;height:36.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AVC12mDAIAABwEAAAO&#10;AAAAAAAAAAAAAAAAAC4CAABkcnMvZTJvRG9jLnhtbFBLAQItABQABgAIAAAAIQBzV1w92QAAAAMB&#10;AAAPAAAAAAAAAAAAAAAAAGYEAABkcnMvZG93bnJldi54bWxQSwUGAAAAAAQABADzAAAAbAUAAAAA&#10;" filled="f" stroked="f">
              <v:textbox style="mso-fit-shape-to-text:t" inset="0,15pt,0,0">
                <w:txbxContent>
                  <w:p w14:paraId="387932D8" w14:textId="1CA064EF"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422F" w14:textId="1E6E2D3B" w:rsidR="0099088A" w:rsidRDefault="00E85806">
    <w:pPr>
      <w:pStyle w:val="Header"/>
    </w:pPr>
    <w:r>
      <w:rPr>
        <w:noProof/>
      </w:rPr>
      <mc:AlternateContent>
        <mc:Choice Requires="wps">
          <w:drawing>
            <wp:anchor distT="0" distB="0" distL="0" distR="0" simplePos="0" relativeHeight="251658240" behindDoc="0" locked="0" layoutInCell="1" allowOverlap="1" wp14:anchorId="03C9E796" wp14:editId="2B5F4C37">
              <wp:simplePos x="635" y="635"/>
              <wp:positionH relativeFrom="page">
                <wp:align>center</wp:align>
              </wp:positionH>
              <wp:positionV relativeFrom="page">
                <wp:align>top</wp:align>
              </wp:positionV>
              <wp:extent cx="622300" cy="467360"/>
              <wp:effectExtent l="0" t="0" r="6350" b="8890"/>
              <wp:wrapNone/>
              <wp:docPr id="17499666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0FECC876" w14:textId="09D3113D"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9E796" id="_x0000_t202" coordsize="21600,21600" o:spt="202" path="m,l,21600r21600,l21600,xe">
              <v:stroke joinstyle="miter"/>
              <v:path gradientshapeok="t" o:connecttype="rect"/>
            </v:shapetype>
            <v:shape id="Text Box 7" o:spid="_x0000_s1030" type="#_x0000_t202" alt="OFFICIAL" style="position:absolute;margin-left:0;margin-top:0;width:49pt;height:36.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t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NR+n30F1oqU8nPkOTq4bar0RAZ+EJ4JpWhIt&#10;PtKhDXQlh8HirAb/42/+mE+4U5SzjgRTckuK5sx8s8RH1FYypp/zDxEMP7p3o2EP7R2QDKf0IpxM&#10;ZsxDM5raQ/tCcl7FRhQSVlK7kuNo3uFZufQcpFqtUhLJyAnc2K2TsXSEK2L53L8I7wbAkZh6gFFN&#10;oniF+zk33gxudUBCP5ESoT0DOSBOEkxcDc8lavzX/5R1fdTLnwA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zEklbQ0CAAAcBAAA&#10;DgAAAAAAAAAAAAAAAAAuAgAAZHJzL2Uyb0RvYy54bWxQSwECLQAUAAYACAAAACEAc1dcPdkAAAAD&#10;AQAADwAAAAAAAAAAAAAAAABnBAAAZHJzL2Rvd25yZXYueG1sUEsFBgAAAAAEAAQA8wAAAG0FAAAA&#10;AA==&#10;" filled="f" stroked="f">
              <v:textbox style="mso-fit-shape-to-text:t" inset="0,15pt,0,0">
                <w:txbxContent>
                  <w:p w14:paraId="0FECC876" w14:textId="09D3113D" w:rsidR="00E85806" w:rsidRPr="00E85806" w:rsidRDefault="00E85806" w:rsidP="00E85806">
                    <w:pPr>
                      <w:spacing w:after="0"/>
                      <w:rPr>
                        <w:rFonts w:ascii="Aptos" w:eastAsia="Aptos" w:hAnsi="Aptos" w:cs="Aptos"/>
                        <w:noProof/>
                        <w:color w:val="FF0000"/>
                        <w:sz w:val="24"/>
                        <w:szCs w:val="24"/>
                      </w:rPr>
                    </w:pPr>
                    <w:r w:rsidRPr="00E85806">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A37"/>
    <w:multiLevelType w:val="hybridMultilevel"/>
    <w:tmpl w:val="E3D8781C"/>
    <w:lvl w:ilvl="0" w:tplc="5C080E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800E80"/>
    <w:multiLevelType w:val="multilevel"/>
    <w:tmpl w:val="0052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1B752D"/>
    <w:multiLevelType w:val="multilevel"/>
    <w:tmpl w:val="097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5"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2B604D75"/>
    <w:multiLevelType w:val="hybridMultilevel"/>
    <w:tmpl w:val="7DB02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pStyle w:val="Heading2"/>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827CB8"/>
    <w:multiLevelType w:val="multilevel"/>
    <w:tmpl w:val="EB58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8EB273A"/>
    <w:multiLevelType w:val="hybridMultilevel"/>
    <w:tmpl w:val="32E25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F51D4D"/>
    <w:multiLevelType w:val="hybridMultilevel"/>
    <w:tmpl w:val="3BCA12AC"/>
    <w:lvl w:ilvl="0" w:tplc="F2BEE4D4">
      <w:start w:val="1"/>
      <w:numFmt w:val="lowerRoman"/>
      <w:lvlText w:val="(%1)"/>
      <w:lvlJc w:val="left"/>
      <w:pPr>
        <w:ind w:left="1026" w:hanging="720"/>
      </w:pPr>
      <w:rPr>
        <w:rFonts w:hint="default"/>
      </w:rPr>
    </w:lvl>
    <w:lvl w:ilvl="1" w:tplc="0C090019" w:tentative="1">
      <w:start w:val="1"/>
      <w:numFmt w:val="lowerLetter"/>
      <w:lvlText w:val="%2."/>
      <w:lvlJc w:val="left"/>
      <w:pPr>
        <w:ind w:left="1386" w:hanging="360"/>
      </w:pPr>
    </w:lvl>
    <w:lvl w:ilvl="2" w:tplc="0C09001B" w:tentative="1">
      <w:start w:val="1"/>
      <w:numFmt w:val="lowerRoman"/>
      <w:lvlText w:val="%3."/>
      <w:lvlJc w:val="right"/>
      <w:pPr>
        <w:ind w:left="2106" w:hanging="180"/>
      </w:pPr>
    </w:lvl>
    <w:lvl w:ilvl="3" w:tplc="0C09000F" w:tentative="1">
      <w:start w:val="1"/>
      <w:numFmt w:val="decimal"/>
      <w:lvlText w:val="%4."/>
      <w:lvlJc w:val="left"/>
      <w:pPr>
        <w:ind w:left="2826" w:hanging="360"/>
      </w:pPr>
    </w:lvl>
    <w:lvl w:ilvl="4" w:tplc="0C090019" w:tentative="1">
      <w:start w:val="1"/>
      <w:numFmt w:val="lowerLetter"/>
      <w:lvlText w:val="%5."/>
      <w:lvlJc w:val="left"/>
      <w:pPr>
        <w:ind w:left="3546" w:hanging="360"/>
      </w:pPr>
    </w:lvl>
    <w:lvl w:ilvl="5" w:tplc="0C09001B" w:tentative="1">
      <w:start w:val="1"/>
      <w:numFmt w:val="lowerRoman"/>
      <w:lvlText w:val="%6."/>
      <w:lvlJc w:val="right"/>
      <w:pPr>
        <w:ind w:left="4266" w:hanging="180"/>
      </w:pPr>
    </w:lvl>
    <w:lvl w:ilvl="6" w:tplc="0C09000F" w:tentative="1">
      <w:start w:val="1"/>
      <w:numFmt w:val="decimal"/>
      <w:lvlText w:val="%7."/>
      <w:lvlJc w:val="left"/>
      <w:pPr>
        <w:ind w:left="4986" w:hanging="360"/>
      </w:pPr>
    </w:lvl>
    <w:lvl w:ilvl="7" w:tplc="0C090019" w:tentative="1">
      <w:start w:val="1"/>
      <w:numFmt w:val="lowerLetter"/>
      <w:lvlText w:val="%8."/>
      <w:lvlJc w:val="left"/>
      <w:pPr>
        <w:ind w:left="5706" w:hanging="360"/>
      </w:pPr>
    </w:lvl>
    <w:lvl w:ilvl="8" w:tplc="0C09001B" w:tentative="1">
      <w:start w:val="1"/>
      <w:numFmt w:val="lowerRoman"/>
      <w:lvlText w:val="%9."/>
      <w:lvlJc w:val="right"/>
      <w:pPr>
        <w:ind w:left="6426" w:hanging="180"/>
      </w:pPr>
    </w:lvl>
  </w:abstractNum>
  <w:abstractNum w:abstractNumId="14" w15:restartNumberingAfterBreak="0">
    <w:nsid w:val="59957FA3"/>
    <w:multiLevelType w:val="multilevel"/>
    <w:tmpl w:val="C700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F43868"/>
    <w:multiLevelType w:val="multilevel"/>
    <w:tmpl w:val="427A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1749109160">
    <w:abstractNumId w:val="9"/>
  </w:num>
  <w:num w:numId="2" w16cid:durableId="1270162788">
    <w:abstractNumId w:val="17"/>
  </w:num>
  <w:num w:numId="3" w16cid:durableId="1754930659">
    <w:abstractNumId w:val="2"/>
  </w:num>
  <w:num w:numId="4" w16cid:durableId="410388863">
    <w:abstractNumId w:val="4"/>
  </w:num>
  <w:num w:numId="5" w16cid:durableId="1821774551">
    <w:abstractNumId w:val="16"/>
  </w:num>
  <w:num w:numId="6" w16cid:durableId="758334604">
    <w:abstractNumId w:val="5"/>
  </w:num>
  <w:num w:numId="7" w16cid:durableId="1414619933">
    <w:abstractNumId w:val="6"/>
  </w:num>
  <w:num w:numId="8" w16cid:durableId="747844684">
    <w:abstractNumId w:val="8"/>
  </w:num>
  <w:num w:numId="9" w16cid:durableId="1180662619">
    <w:abstractNumId w:val="11"/>
  </w:num>
  <w:num w:numId="10" w16cid:durableId="103156680">
    <w:abstractNumId w:val="7"/>
  </w:num>
  <w:num w:numId="11" w16cid:durableId="876160583">
    <w:abstractNumId w:val="0"/>
  </w:num>
  <w:num w:numId="12" w16cid:durableId="1022050911">
    <w:abstractNumId w:val="13"/>
  </w:num>
  <w:num w:numId="13" w16cid:durableId="1486585365">
    <w:abstractNumId w:val="12"/>
  </w:num>
  <w:num w:numId="14" w16cid:durableId="178469376">
    <w:abstractNumId w:val="3"/>
  </w:num>
  <w:num w:numId="15" w16cid:durableId="38627301">
    <w:abstractNumId w:val="14"/>
  </w:num>
  <w:num w:numId="16" w16cid:durableId="1532524786">
    <w:abstractNumId w:val="1"/>
  </w:num>
  <w:num w:numId="17" w16cid:durableId="1369572888">
    <w:abstractNumId w:val="10"/>
  </w:num>
  <w:num w:numId="18" w16cid:durableId="134925630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1"/>
    <w:rsid w:val="00000500"/>
    <w:rsid w:val="0000109A"/>
    <w:rsid w:val="000011A3"/>
    <w:rsid w:val="00001AE6"/>
    <w:rsid w:val="00001D55"/>
    <w:rsid w:val="00003289"/>
    <w:rsid w:val="000032C1"/>
    <w:rsid w:val="00004515"/>
    <w:rsid w:val="00004D69"/>
    <w:rsid w:val="00004EFE"/>
    <w:rsid w:val="00004F7F"/>
    <w:rsid w:val="000054C9"/>
    <w:rsid w:val="000109AA"/>
    <w:rsid w:val="00011568"/>
    <w:rsid w:val="000128DF"/>
    <w:rsid w:val="000130C5"/>
    <w:rsid w:val="00014974"/>
    <w:rsid w:val="00015456"/>
    <w:rsid w:val="0001558E"/>
    <w:rsid w:val="0001578D"/>
    <w:rsid w:val="00015CBD"/>
    <w:rsid w:val="00016643"/>
    <w:rsid w:val="00020875"/>
    <w:rsid w:val="000210E8"/>
    <w:rsid w:val="00021719"/>
    <w:rsid w:val="000228B8"/>
    <w:rsid w:val="000235C2"/>
    <w:rsid w:val="0002381B"/>
    <w:rsid w:val="00024EA5"/>
    <w:rsid w:val="00024F89"/>
    <w:rsid w:val="00025726"/>
    <w:rsid w:val="00026D86"/>
    <w:rsid w:val="0002755F"/>
    <w:rsid w:val="00030141"/>
    <w:rsid w:val="00030E84"/>
    <w:rsid w:val="00031619"/>
    <w:rsid w:val="000321A5"/>
    <w:rsid w:val="000321F4"/>
    <w:rsid w:val="00033530"/>
    <w:rsid w:val="0003423A"/>
    <w:rsid w:val="0003477F"/>
    <w:rsid w:val="0003543B"/>
    <w:rsid w:val="00035D1F"/>
    <w:rsid w:val="00036AD8"/>
    <w:rsid w:val="00036F32"/>
    <w:rsid w:val="00037037"/>
    <w:rsid w:val="00037302"/>
    <w:rsid w:val="0004005D"/>
    <w:rsid w:val="00040638"/>
    <w:rsid w:val="0004079E"/>
    <w:rsid w:val="00040ADF"/>
    <w:rsid w:val="00040E13"/>
    <w:rsid w:val="00040FB4"/>
    <w:rsid w:val="0004178C"/>
    <w:rsid w:val="00041830"/>
    <w:rsid w:val="00041F5D"/>
    <w:rsid w:val="0004238E"/>
    <w:rsid w:val="00043A10"/>
    <w:rsid w:val="00044346"/>
    <w:rsid w:val="000443A6"/>
    <w:rsid w:val="000449D1"/>
    <w:rsid w:val="00045B8D"/>
    <w:rsid w:val="00045CC5"/>
    <w:rsid w:val="00046B6A"/>
    <w:rsid w:val="000472D4"/>
    <w:rsid w:val="0005048F"/>
    <w:rsid w:val="000505DA"/>
    <w:rsid w:val="00050799"/>
    <w:rsid w:val="00050B4C"/>
    <w:rsid w:val="0005187F"/>
    <w:rsid w:val="00052DB7"/>
    <w:rsid w:val="00052DD3"/>
    <w:rsid w:val="0005310F"/>
    <w:rsid w:val="0005326D"/>
    <w:rsid w:val="00053F6C"/>
    <w:rsid w:val="000540C6"/>
    <w:rsid w:val="000540CE"/>
    <w:rsid w:val="00054CB5"/>
    <w:rsid w:val="000572ED"/>
    <w:rsid w:val="000606CD"/>
    <w:rsid w:val="00061DF3"/>
    <w:rsid w:val="00062BE3"/>
    <w:rsid w:val="0006331D"/>
    <w:rsid w:val="0006339C"/>
    <w:rsid w:val="00063B7F"/>
    <w:rsid w:val="00063BF7"/>
    <w:rsid w:val="00064184"/>
    <w:rsid w:val="00064485"/>
    <w:rsid w:val="00064636"/>
    <w:rsid w:val="00064783"/>
    <w:rsid w:val="000647C2"/>
    <w:rsid w:val="00064DAD"/>
    <w:rsid w:val="000660F7"/>
    <w:rsid w:val="00067DCA"/>
    <w:rsid w:val="0007021F"/>
    <w:rsid w:val="000709A0"/>
    <w:rsid w:val="00070E6B"/>
    <w:rsid w:val="00072183"/>
    <w:rsid w:val="000721CF"/>
    <w:rsid w:val="0007245A"/>
    <w:rsid w:val="00073988"/>
    <w:rsid w:val="00074199"/>
    <w:rsid w:val="00076A86"/>
    <w:rsid w:val="00076CF2"/>
    <w:rsid w:val="0007706A"/>
    <w:rsid w:val="0007778E"/>
    <w:rsid w:val="00077856"/>
    <w:rsid w:val="00080241"/>
    <w:rsid w:val="00081136"/>
    <w:rsid w:val="00081778"/>
    <w:rsid w:val="0008324E"/>
    <w:rsid w:val="00084AF0"/>
    <w:rsid w:val="000870B6"/>
    <w:rsid w:val="000870EB"/>
    <w:rsid w:val="00087A25"/>
    <w:rsid w:val="00090056"/>
    <w:rsid w:val="00090562"/>
    <w:rsid w:val="00090613"/>
    <w:rsid w:val="00090671"/>
    <w:rsid w:val="00090A18"/>
    <w:rsid w:val="00090BD1"/>
    <w:rsid w:val="00091857"/>
    <w:rsid w:val="000918E6"/>
    <w:rsid w:val="00091C59"/>
    <w:rsid w:val="00092A21"/>
    <w:rsid w:val="00092BC3"/>
    <w:rsid w:val="00092FC1"/>
    <w:rsid w:val="000939AB"/>
    <w:rsid w:val="00093D9A"/>
    <w:rsid w:val="00094656"/>
    <w:rsid w:val="000948A9"/>
    <w:rsid w:val="00094EEB"/>
    <w:rsid w:val="00095236"/>
    <w:rsid w:val="000966CE"/>
    <w:rsid w:val="00096B52"/>
    <w:rsid w:val="00096E0C"/>
    <w:rsid w:val="000A103C"/>
    <w:rsid w:val="000A10BF"/>
    <w:rsid w:val="000A1554"/>
    <w:rsid w:val="000A2ACD"/>
    <w:rsid w:val="000A2B65"/>
    <w:rsid w:val="000A2DA8"/>
    <w:rsid w:val="000A3135"/>
    <w:rsid w:val="000A4954"/>
    <w:rsid w:val="000A5C47"/>
    <w:rsid w:val="000A629E"/>
    <w:rsid w:val="000A6AF0"/>
    <w:rsid w:val="000A6B30"/>
    <w:rsid w:val="000A7EBE"/>
    <w:rsid w:val="000B09E2"/>
    <w:rsid w:val="000B2170"/>
    <w:rsid w:val="000B2891"/>
    <w:rsid w:val="000B3330"/>
    <w:rsid w:val="000B65DA"/>
    <w:rsid w:val="000B6CF0"/>
    <w:rsid w:val="000B720C"/>
    <w:rsid w:val="000B74AB"/>
    <w:rsid w:val="000B7665"/>
    <w:rsid w:val="000C010E"/>
    <w:rsid w:val="000C03CA"/>
    <w:rsid w:val="000C0A31"/>
    <w:rsid w:val="000C0F06"/>
    <w:rsid w:val="000C1A78"/>
    <w:rsid w:val="000C20BE"/>
    <w:rsid w:val="000C279A"/>
    <w:rsid w:val="000C3B48"/>
    <w:rsid w:val="000C3FF7"/>
    <w:rsid w:val="000C44D0"/>
    <w:rsid w:val="000C4F0E"/>
    <w:rsid w:val="000C5446"/>
    <w:rsid w:val="000C64A0"/>
    <w:rsid w:val="000C70F4"/>
    <w:rsid w:val="000C7A8D"/>
    <w:rsid w:val="000C7C46"/>
    <w:rsid w:val="000D0985"/>
    <w:rsid w:val="000D1372"/>
    <w:rsid w:val="000D1A7B"/>
    <w:rsid w:val="000D1B52"/>
    <w:rsid w:val="000D333B"/>
    <w:rsid w:val="000D414E"/>
    <w:rsid w:val="000D4C1B"/>
    <w:rsid w:val="000D5523"/>
    <w:rsid w:val="000D6D9D"/>
    <w:rsid w:val="000D7840"/>
    <w:rsid w:val="000E0173"/>
    <w:rsid w:val="000E03DC"/>
    <w:rsid w:val="000E1067"/>
    <w:rsid w:val="000E1124"/>
    <w:rsid w:val="000E17A8"/>
    <w:rsid w:val="000E1A99"/>
    <w:rsid w:val="000E273C"/>
    <w:rsid w:val="000E2A2A"/>
    <w:rsid w:val="000E2E96"/>
    <w:rsid w:val="000E41CB"/>
    <w:rsid w:val="000E52E3"/>
    <w:rsid w:val="000E5531"/>
    <w:rsid w:val="000E5C35"/>
    <w:rsid w:val="000E5C5F"/>
    <w:rsid w:val="000E5EE9"/>
    <w:rsid w:val="000E6410"/>
    <w:rsid w:val="000E678B"/>
    <w:rsid w:val="000E772A"/>
    <w:rsid w:val="000E7D70"/>
    <w:rsid w:val="000F1EFE"/>
    <w:rsid w:val="000F2E01"/>
    <w:rsid w:val="000F3002"/>
    <w:rsid w:val="000F3C5E"/>
    <w:rsid w:val="000F52A4"/>
    <w:rsid w:val="000F5A54"/>
    <w:rsid w:val="000F5A89"/>
    <w:rsid w:val="000F7987"/>
    <w:rsid w:val="000F7C6E"/>
    <w:rsid w:val="0010051C"/>
    <w:rsid w:val="00100CF5"/>
    <w:rsid w:val="0010141B"/>
    <w:rsid w:val="00101C89"/>
    <w:rsid w:val="00102890"/>
    <w:rsid w:val="00102FD5"/>
    <w:rsid w:val="0010448B"/>
    <w:rsid w:val="001047EC"/>
    <w:rsid w:val="001051B1"/>
    <w:rsid w:val="0010521F"/>
    <w:rsid w:val="001057E3"/>
    <w:rsid w:val="00105B44"/>
    <w:rsid w:val="0010625A"/>
    <w:rsid w:val="00106D68"/>
    <w:rsid w:val="00107524"/>
    <w:rsid w:val="00107DCD"/>
    <w:rsid w:val="00107EF0"/>
    <w:rsid w:val="001109B0"/>
    <w:rsid w:val="0011110E"/>
    <w:rsid w:val="00111417"/>
    <w:rsid w:val="00111B00"/>
    <w:rsid w:val="00113C60"/>
    <w:rsid w:val="00113DFA"/>
    <w:rsid w:val="001142B2"/>
    <w:rsid w:val="00114C3B"/>
    <w:rsid w:val="00115691"/>
    <w:rsid w:val="00115A39"/>
    <w:rsid w:val="00116EF0"/>
    <w:rsid w:val="00117039"/>
    <w:rsid w:val="00117482"/>
    <w:rsid w:val="00117F04"/>
    <w:rsid w:val="001207C5"/>
    <w:rsid w:val="00120BD3"/>
    <w:rsid w:val="00122175"/>
    <w:rsid w:val="00122447"/>
    <w:rsid w:val="001225C9"/>
    <w:rsid w:val="00122911"/>
    <w:rsid w:val="00122AE3"/>
    <w:rsid w:val="00122EE1"/>
    <w:rsid w:val="00123658"/>
    <w:rsid w:val="00123692"/>
    <w:rsid w:val="001237AF"/>
    <w:rsid w:val="00124251"/>
    <w:rsid w:val="00124575"/>
    <w:rsid w:val="001247EB"/>
    <w:rsid w:val="001248B7"/>
    <w:rsid w:val="00124A1F"/>
    <w:rsid w:val="00124F3C"/>
    <w:rsid w:val="001251B2"/>
    <w:rsid w:val="0012571B"/>
    <w:rsid w:val="0012595D"/>
    <w:rsid w:val="001259B8"/>
    <w:rsid w:val="00125B61"/>
    <w:rsid w:val="00126122"/>
    <w:rsid w:val="00127ED6"/>
    <w:rsid w:val="00130BE2"/>
    <w:rsid w:val="00130DED"/>
    <w:rsid w:val="001312F8"/>
    <w:rsid w:val="00131C40"/>
    <w:rsid w:val="00131D45"/>
    <w:rsid w:val="001320F0"/>
    <w:rsid w:val="001333D6"/>
    <w:rsid w:val="001336E0"/>
    <w:rsid w:val="00133F34"/>
    <w:rsid w:val="00134541"/>
    <w:rsid w:val="00135273"/>
    <w:rsid w:val="00135F55"/>
    <w:rsid w:val="00135FC9"/>
    <w:rsid w:val="001362D8"/>
    <w:rsid w:val="00136B1D"/>
    <w:rsid w:val="00136EB7"/>
    <w:rsid w:val="001371DD"/>
    <w:rsid w:val="0013777E"/>
    <w:rsid w:val="0014025A"/>
    <w:rsid w:val="00140619"/>
    <w:rsid w:val="00142921"/>
    <w:rsid w:val="00143345"/>
    <w:rsid w:val="00143478"/>
    <w:rsid w:val="00143B76"/>
    <w:rsid w:val="00143EC4"/>
    <w:rsid w:val="00143F2F"/>
    <w:rsid w:val="00144056"/>
    <w:rsid w:val="001440F1"/>
    <w:rsid w:val="00145DDA"/>
    <w:rsid w:val="00146624"/>
    <w:rsid w:val="00147172"/>
    <w:rsid w:val="001473F9"/>
    <w:rsid w:val="00150376"/>
    <w:rsid w:val="001511C7"/>
    <w:rsid w:val="0015174A"/>
    <w:rsid w:val="00151DBD"/>
    <w:rsid w:val="00151FC9"/>
    <w:rsid w:val="00152C4B"/>
    <w:rsid w:val="001531D6"/>
    <w:rsid w:val="0015386B"/>
    <w:rsid w:val="00155434"/>
    <w:rsid w:val="00155B4C"/>
    <w:rsid w:val="00155BDA"/>
    <w:rsid w:val="00156FA7"/>
    <w:rsid w:val="001572CB"/>
    <w:rsid w:val="001579D9"/>
    <w:rsid w:val="00157B97"/>
    <w:rsid w:val="00157F3B"/>
    <w:rsid w:val="0016023A"/>
    <w:rsid w:val="001618FD"/>
    <w:rsid w:val="00161F20"/>
    <w:rsid w:val="00162A8F"/>
    <w:rsid w:val="00162DBF"/>
    <w:rsid w:val="00164074"/>
    <w:rsid w:val="00164CF8"/>
    <w:rsid w:val="001653AE"/>
    <w:rsid w:val="00167369"/>
    <w:rsid w:val="00170D5B"/>
    <w:rsid w:val="00172346"/>
    <w:rsid w:val="00172B8F"/>
    <w:rsid w:val="0017347A"/>
    <w:rsid w:val="001736F8"/>
    <w:rsid w:val="00173742"/>
    <w:rsid w:val="00173D83"/>
    <w:rsid w:val="00173D85"/>
    <w:rsid w:val="00174955"/>
    <w:rsid w:val="00174FD4"/>
    <w:rsid w:val="00175038"/>
    <w:rsid w:val="001757F6"/>
    <w:rsid w:val="00175C1C"/>
    <w:rsid w:val="001766A8"/>
    <w:rsid w:val="00176C45"/>
    <w:rsid w:val="00177636"/>
    <w:rsid w:val="0018061F"/>
    <w:rsid w:val="00180A1F"/>
    <w:rsid w:val="00181513"/>
    <w:rsid w:val="001818AF"/>
    <w:rsid w:val="00181BC8"/>
    <w:rsid w:val="00182CE1"/>
    <w:rsid w:val="001848B1"/>
    <w:rsid w:val="00184BAE"/>
    <w:rsid w:val="00185954"/>
    <w:rsid w:val="00185E5C"/>
    <w:rsid w:val="001863AF"/>
    <w:rsid w:val="00190DDD"/>
    <w:rsid w:val="001912CA"/>
    <w:rsid w:val="00192DDE"/>
    <w:rsid w:val="00192EE2"/>
    <w:rsid w:val="0019362A"/>
    <w:rsid w:val="00193AE2"/>
    <w:rsid w:val="00193FC9"/>
    <w:rsid w:val="0019474E"/>
    <w:rsid w:val="00194787"/>
    <w:rsid w:val="00195728"/>
    <w:rsid w:val="00195788"/>
    <w:rsid w:val="00195A46"/>
    <w:rsid w:val="00195DFB"/>
    <w:rsid w:val="00196FB7"/>
    <w:rsid w:val="001970C0"/>
    <w:rsid w:val="0019730A"/>
    <w:rsid w:val="001A014B"/>
    <w:rsid w:val="001A041E"/>
    <w:rsid w:val="001A1CB7"/>
    <w:rsid w:val="001A213A"/>
    <w:rsid w:val="001A420B"/>
    <w:rsid w:val="001A4B97"/>
    <w:rsid w:val="001A4ED4"/>
    <w:rsid w:val="001A4F7D"/>
    <w:rsid w:val="001A55AD"/>
    <w:rsid w:val="001A587B"/>
    <w:rsid w:val="001A7B42"/>
    <w:rsid w:val="001A7D8F"/>
    <w:rsid w:val="001B01F5"/>
    <w:rsid w:val="001B0B2A"/>
    <w:rsid w:val="001B2467"/>
    <w:rsid w:val="001B2A97"/>
    <w:rsid w:val="001B2CC1"/>
    <w:rsid w:val="001B2CD4"/>
    <w:rsid w:val="001B3E37"/>
    <w:rsid w:val="001B7329"/>
    <w:rsid w:val="001B77E0"/>
    <w:rsid w:val="001C08E5"/>
    <w:rsid w:val="001C12C8"/>
    <w:rsid w:val="001C174A"/>
    <w:rsid w:val="001C1D05"/>
    <w:rsid w:val="001C2269"/>
    <w:rsid w:val="001C2A48"/>
    <w:rsid w:val="001C2F0C"/>
    <w:rsid w:val="001C392A"/>
    <w:rsid w:val="001C5098"/>
    <w:rsid w:val="001C5A81"/>
    <w:rsid w:val="001C5D33"/>
    <w:rsid w:val="001C69E3"/>
    <w:rsid w:val="001C6DFD"/>
    <w:rsid w:val="001C7C74"/>
    <w:rsid w:val="001D03EE"/>
    <w:rsid w:val="001D05F6"/>
    <w:rsid w:val="001D0B09"/>
    <w:rsid w:val="001D0F01"/>
    <w:rsid w:val="001D1035"/>
    <w:rsid w:val="001D1357"/>
    <w:rsid w:val="001D32C0"/>
    <w:rsid w:val="001D3624"/>
    <w:rsid w:val="001D378B"/>
    <w:rsid w:val="001D3A64"/>
    <w:rsid w:val="001D433F"/>
    <w:rsid w:val="001D5793"/>
    <w:rsid w:val="001D64D3"/>
    <w:rsid w:val="001D6530"/>
    <w:rsid w:val="001D74A7"/>
    <w:rsid w:val="001D74D5"/>
    <w:rsid w:val="001E15F2"/>
    <w:rsid w:val="001E1ACB"/>
    <w:rsid w:val="001E21A6"/>
    <w:rsid w:val="001E22F7"/>
    <w:rsid w:val="001E465F"/>
    <w:rsid w:val="001E53AF"/>
    <w:rsid w:val="001E59AE"/>
    <w:rsid w:val="001E6C0D"/>
    <w:rsid w:val="001F0545"/>
    <w:rsid w:val="001F0E9B"/>
    <w:rsid w:val="001F1138"/>
    <w:rsid w:val="001F2902"/>
    <w:rsid w:val="001F2AD8"/>
    <w:rsid w:val="001F3F36"/>
    <w:rsid w:val="001F3F37"/>
    <w:rsid w:val="001F4649"/>
    <w:rsid w:val="001F5277"/>
    <w:rsid w:val="001F658C"/>
    <w:rsid w:val="001F675C"/>
    <w:rsid w:val="001F6AF7"/>
    <w:rsid w:val="001F6F44"/>
    <w:rsid w:val="001F7563"/>
    <w:rsid w:val="0020055C"/>
    <w:rsid w:val="00201167"/>
    <w:rsid w:val="00201590"/>
    <w:rsid w:val="00202758"/>
    <w:rsid w:val="002039E1"/>
    <w:rsid w:val="002047EC"/>
    <w:rsid w:val="00204970"/>
    <w:rsid w:val="00206502"/>
    <w:rsid w:val="00207298"/>
    <w:rsid w:val="0020743F"/>
    <w:rsid w:val="00207730"/>
    <w:rsid w:val="00207F59"/>
    <w:rsid w:val="00211DC3"/>
    <w:rsid w:val="00213697"/>
    <w:rsid w:val="00214631"/>
    <w:rsid w:val="00214FEB"/>
    <w:rsid w:val="002155B6"/>
    <w:rsid w:val="002157E4"/>
    <w:rsid w:val="00215AFB"/>
    <w:rsid w:val="00215DEA"/>
    <w:rsid w:val="00216341"/>
    <w:rsid w:val="00216B91"/>
    <w:rsid w:val="002200D8"/>
    <w:rsid w:val="00220E62"/>
    <w:rsid w:val="00221AA5"/>
    <w:rsid w:val="00222258"/>
    <w:rsid w:val="00223664"/>
    <w:rsid w:val="0022385B"/>
    <w:rsid w:val="00223A56"/>
    <w:rsid w:val="002241E5"/>
    <w:rsid w:val="00224281"/>
    <w:rsid w:val="00224FDB"/>
    <w:rsid w:val="00225833"/>
    <w:rsid w:val="00226095"/>
    <w:rsid w:val="00227852"/>
    <w:rsid w:val="00227B89"/>
    <w:rsid w:val="00227D87"/>
    <w:rsid w:val="00227F43"/>
    <w:rsid w:val="00230FB4"/>
    <w:rsid w:val="0023114A"/>
    <w:rsid w:val="002319C4"/>
    <w:rsid w:val="00231AF7"/>
    <w:rsid w:val="00232BC7"/>
    <w:rsid w:val="00234640"/>
    <w:rsid w:val="00234A1A"/>
    <w:rsid w:val="00235114"/>
    <w:rsid w:val="0023569B"/>
    <w:rsid w:val="0023586A"/>
    <w:rsid w:val="00236BE7"/>
    <w:rsid w:val="00237C88"/>
    <w:rsid w:val="0024009C"/>
    <w:rsid w:val="00240106"/>
    <w:rsid w:val="002411C7"/>
    <w:rsid w:val="00242CDA"/>
    <w:rsid w:val="00242F4E"/>
    <w:rsid w:val="00243DD0"/>
    <w:rsid w:val="00244041"/>
    <w:rsid w:val="002451C5"/>
    <w:rsid w:val="002452A0"/>
    <w:rsid w:val="00245890"/>
    <w:rsid w:val="00246340"/>
    <w:rsid w:val="002463A6"/>
    <w:rsid w:val="00246ADB"/>
    <w:rsid w:val="00246FF5"/>
    <w:rsid w:val="0024749A"/>
    <w:rsid w:val="002502B1"/>
    <w:rsid w:val="002505C7"/>
    <w:rsid w:val="002517A5"/>
    <w:rsid w:val="0025190C"/>
    <w:rsid w:val="002519AD"/>
    <w:rsid w:val="00251F6C"/>
    <w:rsid w:val="0025249C"/>
    <w:rsid w:val="00252A1C"/>
    <w:rsid w:val="00252A84"/>
    <w:rsid w:val="00252DAF"/>
    <w:rsid w:val="002539ED"/>
    <w:rsid w:val="00254037"/>
    <w:rsid w:val="0025440D"/>
    <w:rsid w:val="0025450E"/>
    <w:rsid w:val="00255004"/>
    <w:rsid w:val="00255152"/>
    <w:rsid w:val="0025554E"/>
    <w:rsid w:val="002557A2"/>
    <w:rsid w:val="00257C15"/>
    <w:rsid w:val="00260A16"/>
    <w:rsid w:val="00260FFD"/>
    <w:rsid w:val="00261099"/>
    <w:rsid w:val="002617EF"/>
    <w:rsid w:val="0026360E"/>
    <w:rsid w:val="002638F4"/>
    <w:rsid w:val="002652DB"/>
    <w:rsid w:val="002667BA"/>
    <w:rsid w:val="00266A4A"/>
    <w:rsid w:val="00270061"/>
    <w:rsid w:val="0027157B"/>
    <w:rsid w:val="00271586"/>
    <w:rsid w:val="0027160C"/>
    <w:rsid w:val="002751D1"/>
    <w:rsid w:val="00275209"/>
    <w:rsid w:val="0027562F"/>
    <w:rsid w:val="00276858"/>
    <w:rsid w:val="002769DF"/>
    <w:rsid w:val="00277B4C"/>
    <w:rsid w:val="00277B6A"/>
    <w:rsid w:val="00277BFA"/>
    <w:rsid w:val="00280BED"/>
    <w:rsid w:val="00281053"/>
    <w:rsid w:val="00281629"/>
    <w:rsid w:val="00281931"/>
    <w:rsid w:val="00281E59"/>
    <w:rsid w:val="00282077"/>
    <w:rsid w:val="00283431"/>
    <w:rsid w:val="00284340"/>
    <w:rsid w:val="0028522A"/>
    <w:rsid w:val="00285A2A"/>
    <w:rsid w:val="00286ADE"/>
    <w:rsid w:val="00286E78"/>
    <w:rsid w:val="00287792"/>
    <w:rsid w:val="00287E78"/>
    <w:rsid w:val="00290676"/>
    <w:rsid w:val="00291462"/>
    <w:rsid w:val="00291572"/>
    <w:rsid w:val="00292C1E"/>
    <w:rsid w:val="00293F50"/>
    <w:rsid w:val="00294293"/>
    <w:rsid w:val="0029468C"/>
    <w:rsid w:val="00294861"/>
    <w:rsid w:val="002976E2"/>
    <w:rsid w:val="00297C03"/>
    <w:rsid w:val="002A01E6"/>
    <w:rsid w:val="002A04B4"/>
    <w:rsid w:val="002A145B"/>
    <w:rsid w:val="002A18BE"/>
    <w:rsid w:val="002A282C"/>
    <w:rsid w:val="002A36F6"/>
    <w:rsid w:val="002A4084"/>
    <w:rsid w:val="002A43F1"/>
    <w:rsid w:val="002A4A31"/>
    <w:rsid w:val="002A4AD6"/>
    <w:rsid w:val="002A4BB3"/>
    <w:rsid w:val="002A7196"/>
    <w:rsid w:val="002A7497"/>
    <w:rsid w:val="002A7595"/>
    <w:rsid w:val="002A76AE"/>
    <w:rsid w:val="002A79AB"/>
    <w:rsid w:val="002A7A65"/>
    <w:rsid w:val="002A7B60"/>
    <w:rsid w:val="002B1384"/>
    <w:rsid w:val="002B1AA5"/>
    <w:rsid w:val="002B296D"/>
    <w:rsid w:val="002B34B7"/>
    <w:rsid w:val="002B34C7"/>
    <w:rsid w:val="002B3681"/>
    <w:rsid w:val="002B4EFD"/>
    <w:rsid w:val="002B5527"/>
    <w:rsid w:val="002B59B2"/>
    <w:rsid w:val="002B667C"/>
    <w:rsid w:val="002B67A5"/>
    <w:rsid w:val="002C11CA"/>
    <w:rsid w:val="002C1B42"/>
    <w:rsid w:val="002C24AF"/>
    <w:rsid w:val="002C3111"/>
    <w:rsid w:val="002C3511"/>
    <w:rsid w:val="002C39DF"/>
    <w:rsid w:val="002C3ABB"/>
    <w:rsid w:val="002C45E8"/>
    <w:rsid w:val="002C4A54"/>
    <w:rsid w:val="002C54A2"/>
    <w:rsid w:val="002C5B12"/>
    <w:rsid w:val="002C6BF3"/>
    <w:rsid w:val="002C6E3E"/>
    <w:rsid w:val="002C701C"/>
    <w:rsid w:val="002C7023"/>
    <w:rsid w:val="002C70CE"/>
    <w:rsid w:val="002C7527"/>
    <w:rsid w:val="002D00BB"/>
    <w:rsid w:val="002D2474"/>
    <w:rsid w:val="002D26DC"/>
    <w:rsid w:val="002D27FA"/>
    <w:rsid w:val="002D2B8F"/>
    <w:rsid w:val="002D3BC0"/>
    <w:rsid w:val="002D41CE"/>
    <w:rsid w:val="002D5097"/>
    <w:rsid w:val="002D55B1"/>
    <w:rsid w:val="002D55E4"/>
    <w:rsid w:val="002D5F70"/>
    <w:rsid w:val="002D690D"/>
    <w:rsid w:val="002D6E4F"/>
    <w:rsid w:val="002D76A9"/>
    <w:rsid w:val="002D7E7F"/>
    <w:rsid w:val="002E1AF9"/>
    <w:rsid w:val="002E5E35"/>
    <w:rsid w:val="002E63BE"/>
    <w:rsid w:val="002E668B"/>
    <w:rsid w:val="002E7775"/>
    <w:rsid w:val="002E7AD2"/>
    <w:rsid w:val="002F1399"/>
    <w:rsid w:val="002F250A"/>
    <w:rsid w:val="002F32FB"/>
    <w:rsid w:val="002F5611"/>
    <w:rsid w:val="002F5E3C"/>
    <w:rsid w:val="002F5F5E"/>
    <w:rsid w:val="002F5F85"/>
    <w:rsid w:val="002F693F"/>
    <w:rsid w:val="002F6E3D"/>
    <w:rsid w:val="002F7685"/>
    <w:rsid w:val="003008CC"/>
    <w:rsid w:val="00300D49"/>
    <w:rsid w:val="003013F4"/>
    <w:rsid w:val="00301526"/>
    <w:rsid w:val="00301763"/>
    <w:rsid w:val="00301D78"/>
    <w:rsid w:val="00302252"/>
    <w:rsid w:val="00303802"/>
    <w:rsid w:val="00303C60"/>
    <w:rsid w:val="00303F11"/>
    <w:rsid w:val="00304011"/>
    <w:rsid w:val="00304949"/>
    <w:rsid w:val="00304FB8"/>
    <w:rsid w:val="00305C27"/>
    <w:rsid w:val="00307299"/>
    <w:rsid w:val="00310B71"/>
    <w:rsid w:val="00310B9B"/>
    <w:rsid w:val="00310C3F"/>
    <w:rsid w:val="00310CBF"/>
    <w:rsid w:val="003121B3"/>
    <w:rsid w:val="00313404"/>
    <w:rsid w:val="003137EC"/>
    <w:rsid w:val="003140D2"/>
    <w:rsid w:val="0031496C"/>
    <w:rsid w:val="00316085"/>
    <w:rsid w:val="00316D36"/>
    <w:rsid w:val="00316F19"/>
    <w:rsid w:val="00316F4F"/>
    <w:rsid w:val="00317714"/>
    <w:rsid w:val="00317F3F"/>
    <w:rsid w:val="00320A17"/>
    <w:rsid w:val="00320CB3"/>
    <w:rsid w:val="00321086"/>
    <w:rsid w:val="00321110"/>
    <w:rsid w:val="00322DA9"/>
    <w:rsid w:val="00322E23"/>
    <w:rsid w:val="003232C4"/>
    <w:rsid w:val="0032353B"/>
    <w:rsid w:val="00323AF6"/>
    <w:rsid w:val="003251C2"/>
    <w:rsid w:val="00325778"/>
    <w:rsid w:val="00325FA0"/>
    <w:rsid w:val="00326626"/>
    <w:rsid w:val="00326CC5"/>
    <w:rsid w:val="00326F1C"/>
    <w:rsid w:val="00327162"/>
    <w:rsid w:val="00327859"/>
    <w:rsid w:val="00330A0A"/>
    <w:rsid w:val="00330ED2"/>
    <w:rsid w:val="00331542"/>
    <w:rsid w:val="003321C7"/>
    <w:rsid w:val="003328A9"/>
    <w:rsid w:val="00333164"/>
    <w:rsid w:val="00333567"/>
    <w:rsid w:val="00334196"/>
    <w:rsid w:val="00334DA1"/>
    <w:rsid w:val="00334DE2"/>
    <w:rsid w:val="00334E27"/>
    <w:rsid w:val="00335AFD"/>
    <w:rsid w:val="003371B5"/>
    <w:rsid w:val="00337BAF"/>
    <w:rsid w:val="00337DB7"/>
    <w:rsid w:val="00340149"/>
    <w:rsid w:val="00340341"/>
    <w:rsid w:val="0034039F"/>
    <w:rsid w:val="003417CB"/>
    <w:rsid w:val="003435A9"/>
    <w:rsid w:val="00343A7D"/>
    <w:rsid w:val="00344649"/>
    <w:rsid w:val="00344A82"/>
    <w:rsid w:val="00344FEC"/>
    <w:rsid w:val="00345496"/>
    <w:rsid w:val="003457A8"/>
    <w:rsid w:val="00345BCF"/>
    <w:rsid w:val="003466F9"/>
    <w:rsid w:val="00346BC0"/>
    <w:rsid w:val="0034749E"/>
    <w:rsid w:val="003476D1"/>
    <w:rsid w:val="003478C5"/>
    <w:rsid w:val="00350092"/>
    <w:rsid w:val="00350997"/>
    <w:rsid w:val="003519AD"/>
    <w:rsid w:val="00351E0E"/>
    <w:rsid w:val="003530BD"/>
    <w:rsid w:val="00354AD6"/>
    <w:rsid w:val="00354D34"/>
    <w:rsid w:val="00354EB4"/>
    <w:rsid w:val="00355326"/>
    <w:rsid w:val="003554EF"/>
    <w:rsid w:val="00356386"/>
    <w:rsid w:val="00356D29"/>
    <w:rsid w:val="003571C2"/>
    <w:rsid w:val="003572D6"/>
    <w:rsid w:val="003627B3"/>
    <w:rsid w:val="003635F3"/>
    <w:rsid w:val="00363B54"/>
    <w:rsid w:val="003640A7"/>
    <w:rsid w:val="00364D65"/>
    <w:rsid w:val="00365447"/>
    <w:rsid w:val="003660BC"/>
    <w:rsid w:val="00366A11"/>
    <w:rsid w:val="00366C3F"/>
    <w:rsid w:val="0036701E"/>
    <w:rsid w:val="0036794E"/>
    <w:rsid w:val="00367AB1"/>
    <w:rsid w:val="00370483"/>
    <w:rsid w:val="0037169D"/>
    <w:rsid w:val="00371BE0"/>
    <w:rsid w:val="00372644"/>
    <w:rsid w:val="00373F23"/>
    <w:rsid w:val="0037447B"/>
    <w:rsid w:val="0037512C"/>
    <w:rsid w:val="00376828"/>
    <w:rsid w:val="00377356"/>
    <w:rsid w:val="003773A4"/>
    <w:rsid w:val="0038027E"/>
    <w:rsid w:val="0038146C"/>
    <w:rsid w:val="00382609"/>
    <w:rsid w:val="00384CAA"/>
    <w:rsid w:val="00386124"/>
    <w:rsid w:val="003863FE"/>
    <w:rsid w:val="003864D5"/>
    <w:rsid w:val="00390567"/>
    <w:rsid w:val="00391891"/>
    <w:rsid w:val="00392D36"/>
    <w:rsid w:val="00393189"/>
    <w:rsid w:val="00393F94"/>
    <w:rsid w:val="00395CD2"/>
    <w:rsid w:val="003966F6"/>
    <w:rsid w:val="0039677D"/>
    <w:rsid w:val="00396921"/>
    <w:rsid w:val="0039724F"/>
    <w:rsid w:val="00397307"/>
    <w:rsid w:val="003A0660"/>
    <w:rsid w:val="003A0CD7"/>
    <w:rsid w:val="003A0D52"/>
    <w:rsid w:val="003A11D5"/>
    <w:rsid w:val="003A2BEA"/>
    <w:rsid w:val="003A2ED1"/>
    <w:rsid w:val="003A309B"/>
    <w:rsid w:val="003A4C47"/>
    <w:rsid w:val="003A6724"/>
    <w:rsid w:val="003A6E1A"/>
    <w:rsid w:val="003A6EBF"/>
    <w:rsid w:val="003A70AF"/>
    <w:rsid w:val="003B0B6C"/>
    <w:rsid w:val="003B0BA1"/>
    <w:rsid w:val="003B3E26"/>
    <w:rsid w:val="003B4599"/>
    <w:rsid w:val="003B4F69"/>
    <w:rsid w:val="003B61B7"/>
    <w:rsid w:val="003C0130"/>
    <w:rsid w:val="003C07D4"/>
    <w:rsid w:val="003C0A62"/>
    <w:rsid w:val="003C1059"/>
    <w:rsid w:val="003C1301"/>
    <w:rsid w:val="003C1AE2"/>
    <w:rsid w:val="003C224E"/>
    <w:rsid w:val="003C3476"/>
    <w:rsid w:val="003C372E"/>
    <w:rsid w:val="003C4F8F"/>
    <w:rsid w:val="003C5F7D"/>
    <w:rsid w:val="003C6B59"/>
    <w:rsid w:val="003C7A42"/>
    <w:rsid w:val="003C7A53"/>
    <w:rsid w:val="003D1985"/>
    <w:rsid w:val="003D2913"/>
    <w:rsid w:val="003D299E"/>
    <w:rsid w:val="003D2AB8"/>
    <w:rsid w:val="003D3610"/>
    <w:rsid w:val="003D55E1"/>
    <w:rsid w:val="003D5C32"/>
    <w:rsid w:val="003D641A"/>
    <w:rsid w:val="003D6922"/>
    <w:rsid w:val="003D6B1D"/>
    <w:rsid w:val="003D71EB"/>
    <w:rsid w:val="003E08EE"/>
    <w:rsid w:val="003E0DAE"/>
    <w:rsid w:val="003E22CB"/>
    <w:rsid w:val="003E2343"/>
    <w:rsid w:val="003E23E8"/>
    <w:rsid w:val="003E2DB6"/>
    <w:rsid w:val="003E3965"/>
    <w:rsid w:val="003E406B"/>
    <w:rsid w:val="003E4172"/>
    <w:rsid w:val="003E42A8"/>
    <w:rsid w:val="003E4F96"/>
    <w:rsid w:val="003E5318"/>
    <w:rsid w:val="003E5CCA"/>
    <w:rsid w:val="003E5F22"/>
    <w:rsid w:val="003E69FF"/>
    <w:rsid w:val="003E7773"/>
    <w:rsid w:val="003E7B3A"/>
    <w:rsid w:val="003E7C9F"/>
    <w:rsid w:val="003F115E"/>
    <w:rsid w:val="003F11A8"/>
    <w:rsid w:val="003F14C2"/>
    <w:rsid w:val="003F1750"/>
    <w:rsid w:val="003F1B1C"/>
    <w:rsid w:val="003F1BD6"/>
    <w:rsid w:val="003F2210"/>
    <w:rsid w:val="003F4136"/>
    <w:rsid w:val="003F535C"/>
    <w:rsid w:val="003F628B"/>
    <w:rsid w:val="003F6841"/>
    <w:rsid w:val="003F7196"/>
    <w:rsid w:val="003F73CD"/>
    <w:rsid w:val="003F7A8B"/>
    <w:rsid w:val="004008AF"/>
    <w:rsid w:val="00400AD2"/>
    <w:rsid w:val="00400B5F"/>
    <w:rsid w:val="00401DBF"/>
    <w:rsid w:val="00402C5F"/>
    <w:rsid w:val="00402FDA"/>
    <w:rsid w:val="004033D9"/>
    <w:rsid w:val="00404692"/>
    <w:rsid w:val="00404A94"/>
    <w:rsid w:val="0040551F"/>
    <w:rsid w:val="00405FF6"/>
    <w:rsid w:val="00406FC3"/>
    <w:rsid w:val="0040771F"/>
    <w:rsid w:val="00407780"/>
    <w:rsid w:val="004111F7"/>
    <w:rsid w:val="0041217D"/>
    <w:rsid w:val="004125C6"/>
    <w:rsid w:val="0041275F"/>
    <w:rsid w:val="0041349E"/>
    <w:rsid w:val="00413883"/>
    <w:rsid w:val="00416B65"/>
    <w:rsid w:val="00416D51"/>
    <w:rsid w:val="00417884"/>
    <w:rsid w:val="00420396"/>
    <w:rsid w:val="0042096D"/>
    <w:rsid w:val="004213C5"/>
    <w:rsid w:val="004218A8"/>
    <w:rsid w:val="00421A89"/>
    <w:rsid w:val="00421D76"/>
    <w:rsid w:val="00421EBC"/>
    <w:rsid w:val="004222FE"/>
    <w:rsid w:val="00422494"/>
    <w:rsid w:val="0042304B"/>
    <w:rsid w:val="00423B4F"/>
    <w:rsid w:val="00424084"/>
    <w:rsid w:val="00424703"/>
    <w:rsid w:val="00424AF5"/>
    <w:rsid w:val="0042515C"/>
    <w:rsid w:val="00425298"/>
    <w:rsid w:val="00425A27"/>
    <w:rsid w:val="004273AD"/>
    <w:rsid w:val="004305AE"/>
    <w:rsid w:val="00430895"/>
    <w:rsid w:val="00431331"/>
    <w:rsid w:val="00431800"/>
    <w:rsid w:val="00431F25"/>
    <w:rsid w:val="004321D1"/>
    <w:rsid w:val="0043311E"/>
    <w:rsid w:val="0043338E"/>
    <w:rsid w:val="00433541"/>
    <w:rsid w:val="00433B7E"/>
    <w:rsid w:val="00434AFE"/>
    <w:rsid w:val="00434E4B"/>
    <w:rsid w:val="00435446"/>
    <w:rsid w:val="004358A9"/>
    <w:rsid w:val="00435B8A"/>
    <w:rsid w:val="00435B96"/>
    <w:rsid w:val="00436514"/>
    <w:rsid w:val="00436BF0"/>
    <w:rsid w:val="00440A95"/>
    <w:rsid w:val="00440F6A"/>
    <w:rsid w:val="00440FCE"/>
    <w:rsid w:val="004413D9"/>
    <w:rsid w:val="004423F7"/>
    <w:rsid w:val="00442A49"/>
    <w:rsid w:val="00444980"/>
    <w:rsid w:val="004458B3"/>
    <w:rsid w:val="00445EFE"/>
    <w:rsid w:val="0044690B"/>
    <w:rsid w:val="00446BBE"/>
    <w:rsid w:val="00447776"/>
    <w:rsid w:val="0044782C"/>
    <w:rsid w:val="00447F37"/>
    <w:rsid w:val="0045070C"/>
    <w:rsid w:val="00450846"/>
    <w:rsid w:val="0045093D"/>
    <w:rsid w:val="0045142B"/>
    <w:rsid w:val="00451645"/>
    <w:rsid w:val="00451D05"/>
    <w:rsid w:val="00453205"/>
    <w:rsid w:val="00453C51"/>
    <w:rsid w:val="00454F8E"/>
    <w:rsid w:val="00457216"/>
    <w:rsid w:val="00462133"/>
    <w:rsid w:val="00462778"/>
    <w:rsid w:val="00462787"/>
    <w:rsid w:val="00463454"/>
    <w:rsid w:val="00464F6C"/>
    <w:rsid w:val="00465600"/>
    <w:rsid w:val="00466B70"/>
    <w:rsid w:val="0046750B"/>
    <w:rsid w:val="004678DD"/>
    <w:rsid w:val="004716BC"/>
    <w:rsid w:val="00471D0D"/>
    <w:rsid w:val="00472FF8"/>
    <w:rsid w:val="0047485C"/>
    <w:rsid w:val="00474E01"/>
    <w:rsid w:val="00474E0F"/>
    <w:rsid w:val="0047693C"/>
    <w:rsid w:val="00476CE1"/>
    <w:rsid w:val="00477B0F"/>
    <w:rsid w:val="00481571"/>
    <w:rsid w:val="00482804"/>
    <w:rsid w:val="00482B47"/>
    <w:rsid w:val="0048323E"/>
    <w:rsid w:val="00484DC5"/>
    <w:rsid w:val="00485675"/>
    <w:rsid w:val="00485D6A"/>
    <w:rsid w:val="00485E53"/>
    <w:rsid w:val="00486684"/>
    <w:rsid w:val="00487390"/>
    <w:rsid w:val="00487C85"/>
    <w:rsid w:val="00487CD0"/>
    <w:rsid w:val="004900B4"/>
    <w:rsid w:val="00490DC4"/>
    <w:rsid w:val="004930BB"/>
    <w:rsid w:val="0049317F"/>
    <w:rsid w:val="00493C57"/>
    <w:rsid w:val="00493DF6"/>
    <w:rsid w:val="00494263"/>
    <w:rsid w:val="004943BC"/>
    <w:rsid w:val="00494F64"/>
    <w:rsid w:val="00495102"/>
    <w:rsid w:val="00496151"/>
    <w:rsid w:val="004966E2"/>
    <w:rsid w:val="00497B9F"/>
    <w:rsid w:val="004A05F0"/>
    <w:rsid w:val="004A1785"/>
    <w:rsid w:val="004A19F9"/>
    <w:rsid w:val="004A2084"/>
    <w:rsid w:val="004A2A05"/>
    <w:rsid w:val="004A411F"/>
    <w:rsid w:val="004A4430"/>
    <w:rsid w:val="004A49A1"/>
    <w:rsid w:val="004A4FDF"/>
    <w:rsid w:val="004A5489"/>
    <w:rsid w:val="004A54F9"/>
    <w:rsid w:val="004A57EC"/>
    <w:rsid w:val="004A5E73"/>
    <w:rsid w:val="004A7A52"/>
    <w:rsid w:val="004B00DB"/>
    <w:rsid w:val="004B0381"/>
    <w:rsid w:val="004B0E2F"/>
    <w:rsid w:val="004B19FE"/>
    <w:rsid w:val="004B1B3E"/>
    <w:rsid w:val="004B1D8D"/>
    <w:rsid w:val="004B2A4D"/>
    <w:rsid w:val="004B2F45"/>
    <w:rsid w:val="004B33C2"/>
    <w:rsid w:val="004B38D7"/>
    <w:rsid w:val="004B3D78"/>
    <w:rsid w:val="004B4214"/>
    <w:rsid w:val="004B50EF"/>
    <w:rsid w:val="004B664E"/>
    <w:rsid w:val="004B689D"/>
    <w:rsid w:val="004B6C6E"/>
    <w:rsid w:val="004C0115"/>
    <w:rsid w:val="004C09B3"/>
    <w:rsid w:val="004C0E97"/>
    <w:rsid w:val="004C364D"/>
    <w:rsid w:val="004C48C8"/>
    <w:rsid w:val="004C598D"/>
    <w:rsid w:val="004C5AF9"/>
    <w:rsid w:val="004C6200"/>
    <w:rsid w:val="004C792A"/>
    <w:rsid w:val="004D035F"/>
    <w:rsid w:val="004D0F9B"/>
    <w:rsid w:val="004D108D"/>
    <w:rsid w:val="004D1A4E"/>
    <w:rsid w:val="004D218F"/>
    <w:rsid w:val="004D3262"/>
    <w:rsid w:val="004D3897"/>
    <w:rsid w:val="004D3B60"/>
    <w:rsid w:val="004D3CB5"/>
    <w:rsid w:val="004D3F87"/>
    <w:rsid w:val="004D40E8"/>
    <w:rsid w:val="004D4425"/>
    <w:rsid w:val="004D4648"/>
    <w:rsid w:val="004D5897"/>
    <w:rsid w:val="004D5A26"/>
    <w:rsid w:val="004D7078"/>
    <w:rsid w:val="004D79AE"/>
    <w:rsid w:val="004E02B2"/>
    <w:rsid w:val="004E14F0"/>
    <w:rsid w:val="004E1B35"/>
    <w:rsid w:val="004E2BD6"/>
    <w:rsid w:val="004E31A3"/>
    <w:rsid w:val="004E3462"/>
    <w:rsid w:val="004E3740"/>
    <w:rsid w:val="004E3A67"/>
    <w:rsid w:val="004E4C24"/>
    <w:rsid w:val="004E595D"/>
    <w:rsid w:val="004E6784"/>
    <w:rsid w:val="004F0E4F"/>
    <w:rsid w:val="004F1C6C"/>
    <w:rsid w:val="004F32C3"/>
    <w:rsid w:val="004F3FDD"/>
    <w:rsid w:val="004F415E"/>
    <w:rsid w:val="004F47E9"/>
    <w:rsid w:val="004F5B1A"/>
    <w:rsid w:val="004F5BAF"/>
    <w:rsid w:val="004F6095"/>
    <w:rsid w:val="004F6AD3"/>
    <w:rsid w:val="004F70DE"/>
    <w:rsid w:val="00500146"/>
    <w:rsid w:val="005012D4"/>
    <w:rsid w:val="00501386"/>
    <w:rsid w:val="00501701"/>
    <w:rsid w:val="00501BD9"/>
    <w:rsid w:val="00501C25"/>
    <w:rsid w:val="005027A6"/>
    <w:rsid w:val="00502DAE"/>
    <w:rsid w:val="00502FFB"/>
    <w:rsid w:val="0050347C"/>
    <w:rsid w:val="005038A0"/>
    <w:rsid w:val="00504A82"/>
    <w:rsid w:val="00505E19"/>
    <w:rsid w:val="005103C5"/>
    <w:rsid w:val="005111B2"/>
    <w:rsid w:val="005131D3"/>
    <w:rsid w:val="0051352C"/>
    <w:rsid w:val="00513C4B"/>
    <w:rsid w:val="00514327"/>
    <w:rsid w:val="005145BA"/>
    <w:rsid w:val="00514A5B"/>
    <w:rsid w:val="00514C1C"/>
    <w:rsid w:val="00514FC2"/>
    <w:rsid w:val="0051554A"/>
    <w:rsid w:val="00515BFA"/>
    <w:rsid w:val="0051619C"/>
    <w:rsid w:val="00517013"/>
    <w:rsid w:val="005171C7"/>
    <w:rsid w:val="00517A86"/>
    <w:rsid w:val="00521085"/>
    <w:rsid w:val="005224C5"/>
    <w:rsid w:val="0052349D"/>
    <w:rsid w:val="005248E1"/>
    <w:rsid w:val="00524BE8"/>
    <w:rsid w:val="00524D64"/>
    <w:rsid w:val="0052575D"/>
    <w:rsid w:val="00526487"/>
    <w:rsid w:val="00526C92"/>
    <w:rsid w:val="00526D13"/>
    <w:rsid w:val="00526E97"/>
    <w:rsid w:val="00526EB5"/>
    <w:rsid w:val="005275FC"/>
    <w:rsid w:val="0052768C"/>
    <w:rsid w:val="005277CC"/>
    <w:rsid w:val="00527891"/>
    <w:rsid w:val="00530896"/>
    <w:rsid w:val="00530D55"/>
    <w:rsid w:val="005310AF"/>
    <w:rsid w:val="00531B35"/>
    <w:rsid w:val="0053370C"/>
    <w:rsid w:val="0053407E"/>
    <w:rsid w:val="005342C3"/>
    <w:rsid w:val="00535B01"/>
    <w:rsid w:val="005362F5"/>
    <w:rsid w:val="005369B9"/>
    <w:rsid w:val="0053725B"/>
    <w:rsid w:val="00537F9B"/>
    <w:rsid w:val="005407B1"/>
    <w:rsid w:val="00540993"/>
    <w:rsid w:val="00540C57"/>
    <w:rsid w:val="00541E2A"/>
    <w:rsid w:val="005436B5"/>
    <w:rsid w:val="00547153"/>
    <w:rsid w:val="00550AF8"/>
    <w:rsid w:val="00551991"/>
    <w:rsid w:val="0055296D"/>
    <w:rsid w:val="00552DB4"/>
    <w:rsid w:val="005531BD"/>
    <w:rsid w:val="00553706"/>
    <w:rsid w:val="00554AA3"/>
    <w:rsid w:val="0055583E"/>
    <w:rsid w:val="005558DA"/>
    <w:rsid w:val="00555CFE"/>
    <w:rsid w:val="00555FB1"/>
    <w:rsid w:val="00556259"/>
    <w:rsid w:val="005567B2"/>
    <w:rsid w:val="00557474"/>
    <w:rsid w:val="00557870"/>
    <w:rsid w:val="00557AF0"/>
    <w:rsid w:val="00560277"/>
    <w:rsid w:val="00560938"/>
    <w:rsid w:val="00560AF1"/>
    <w:rsid w:val="00561562"/>
    <w:rsid w:val="00562F29"/>
    <w:rsid w:val="00563951"/>
    <w:rsid w:val="00563DE6"/>
    <w:rsid w:val="00563F17"/>
    <w:rsid w:val="00564F8C"/>
    <w:rsid w:val="0056516F"/>
    <w:rsid w:val="0056528D"/>
    <w:rsid w:val="005657B1"/>
    <w:rsid w:val="00565C0A"/>
    <w:rsid w:val="0056628B"/>
    <w:rsid w:val="00566298"/>
    <w:rsid w:val="00567BA0"/>
    <w:rsid w:val="00570445"/>
    <w:rsid w:val="0057091E"/>
    <w:rsid w:val="005723D6"/>
    <w:rsid w:val="005726C5"/>
    <w:rsid w:val="00572E59"/>
    <w:rsid w:val="00573631"/>
    <w:rsid w:val="00573EE0"/>
    <w:rsid w:val="0057431D"/>
    <w:rsid w:val="00574477"/>
    <w:rsid w:val="00574A6E"/>
    <w:rsid w:val="00574BD4"/>
    <w:rsid w:val="00577145"/>
    <w:rsid w:val="00577168"/>
    <w:rsid w:val="005773BE"/>
    <w:rsid w:val="005773DE"/>
    <w:rsid w:val="005775B8"/>
    <w:rsid w:val="00581FC0"/>
    <w:rsid w:val="00582365"/>
    <w:rsid w:val="00584D19"/>
    <w:rsid w:val="00585C1B"/>
    <w:rsid w:val="005861A2"/>
    <w:rsid w:val="00586BC0"/>
    <w:rsid w:val="005870E5"/>
    <w:rsid w:val="00587390"/>
    <w:rsid w:val="00587639"/>
    <w:rsid w:val="00587757"/>
    <w:rsid w:val="005877C8"/>
    <w:rsid w:val="00592638"/>
    <w:rsid w:val="00593138"/>
    <w:rsid w:val="00593A33"/>
    <w:rsid w:val="005947B5"/>
    <w:rsid w:val="0059543D"/>
    <w:rsid w:val="005958C1"/>
    <w:rsid w:val="005960BB"/>
    <w:rsid w:val="00597407"/>
    <w:rsid w:val="00597EC8"/>
    <w:rsid w:val="005A0496"/>
    <w:rsid w:val="005A2409"/>
    <w:rsid w:val="005A3A51"/>
    <w:rsid w:val="005A3B1D"/>
    <w:rsid w:val="005A3D3B"/>
    <w:rsid w:val="005A4047"/>
    <w:rsid w:val="005A41F9"/>
    <w:rsid w:val="005A4384"/>
    <w:rsid w:val="005A45E5"/>
    <w:rsid w:val="005A498F"/>
    <w:rsid w:val="005A63EF"/>
    <w:rsid w:val="005A7012"/>
    <w:rsid w:val="005A7925"/>
    <w:rsid w:val="005A7A5E"/>
    <w:rsid w:val="005B0DB1"/>
    <w:rsid w:val="005B1A26"/>
    <w:rsid w:val="005B1C07"/>
    <w:rsid w:val="005B2D22"/>
    <w:rsid w:val="005B2E1B"/>
    <w:rsid w:val="005B3432"/>
    <w:rsid w:val="005B39FE"/>
    <w:rsid w:val="005B3BD6"/>
    <w:rsid w:val="005B4BDC"/>
    <w:rsid w:val="005B5E21"/>
    <w:rsid w:val="005B7D6C"/>
    <w:rsid w:val="005C04C5"/>
    <w:rsid w:val="005C1357"/>
    <w:rsid w:val="005C2E79"/>
    <w:rsid w:val="005C2F1B"/>
    <w:rsid w:val="005C4612"/>
    <w:rsid w:val="005C5014"/>
    <w:rsid w:val="005C6FEC"/>
    <w:rsid w:val="005C7215"/>
    <w:rsid w:val="005C73C4"/>
    <w:rsid w:val="005D00EA"/>
    <w:rsid w:val="005D023B"/>
    <w:rsid w:val="005D02B6"/>
    <w:rsid w:val="005D02C4"/>
    <w:rsid w:val="005D0A5F"/>
    <w:rsid w:val="005D1251"/>
    <w:rsid w:val="005D2304"/>
    <w:rsid w:val="005D2B2B"/>
    <w:rsid w:val="005D2EC4"/>
    <w:rsid w:val="005D2F56"/>
    <w:rsid w:val="005D387F"/>
    <w:rsid w:val="005D39C2"/>
    <w:rsid w:val="005D3A04"/>
    <w:rsid w:val="005D48FE"/>
    <w:rsid w:val="005D60C3"/>
    <w:rsid w:val="005D7471"/>
    <w:rsid w:val="005D749D"/>
    <w:rsid w:val="005D7542"/>
    <w:rsid w:val="005D76FC"/>
    <w:rsid w:val="005D7763"/>
    <w:rsid w:val="005D7869"/>
    <w:rsid w:val="005E0ECF"/>
    <w:rsid w:val="005E1F6A"/>
    <w:rsid w:val="005E2702"/>
    <w:rsid w:val="005E2984"/>
    <w:rsid w:val="005E513B"/>
    <w:rsid w:val="005E55DE"/>
    <w:rsid w:val="005E5835"/>
    <w:rsid w:val="005E5874"/>
    <w:rsid w:val="005E6BD7"/>
    <w:rsid w:val="005E6D83"/>
    <w:rsid w:val="005E6F67"/>
    <w:rsid w:val="005E75D5"/>
    <w:rsid w:val="005E77C4"/>
    <w:rsid w:val="005E7AEB"/>
    <w:rsid w:val="005F07BC"/>
    <w:rsid w:val="005F1555"/>
    <w:rsid w:val="005F2978"/>
    <w:rsid w:val="005F3DE0"/>
    <w:rsid w:val="005F4536"/>
    <w:rsid w:val="005F4721"/>
    <w:rsid w:val="005F4BD4"/>
    <w:rsid w:val="005F7208"/>
    <w:rsid w:val="005F720A"/>
    <w:rsid w:val="005F7378"/>
    <w:rsid w:val="005F749B"/>
    <w:rsid w:val="00600243"/>
    <w:rsid w:val="006016CB"/>
    <w:rsid w:val="006018BA"/>
    <w:rsid w:val="00602F43"/>
    <w:rsid w:val="00603B08"/>
    <w:rsid w:val="00603C01"/>
    <w:rsid w:val="00603C7B"/>
    <w:rsid w:val="00605776"/>
    <w:rsid w:val="00606BCE"/>
    <w:rsid w:val="00610162"/>
    <w:rsid w:val="00610ABA"/>
    <w:rsid w:val="006120A3"/>
    <w:rsid w:val="00613037"/>
    <w:rsid w:val="006135AB"/>
    <w:rsid w:val="006138E4"/>
    <w:rsid w:val="006144F6"/>
    <w:rsid w:val="00614C4F"/>
    <w:rsid w:val="00615A84"/>
    <w:rsid w:val="00615EA2"/>
    <w:rsid w:val="00615F75"/>
    <w:rsid w:val="00616407"/>
    <w:rsid w:val="006206BD"/>
    <w:rsid w:val="00620907"/>
    <w:rsid w:val="00620E5A"/>
    <w:rsid w:val="00620F5E"/>
    <w:rsid w:val="006215FB"/>
    <w:rsid w:val="006223AE"/>
    <w:rsid w:val="00624EB3"/>
    <w:rsid w:val="006250E9"/>
    <w:rsid w:val="00625A5D"/>
    <w:rsid w:val="006264DA"/>
    <w:rsid w:val="0062662C"/>
    <w:rsid w:val="00627D9C"/>
    <w:rsid w:val="00631335"/>
    <w:rsid w:val="0063266A"/>
    <w:rsid w:val="00633B2F"/>
    <w:rsid w:val="00634A62"/>
    <w:rsid w:val="00634BE8"/>
    <w:rsid w:val="006358B2"/>
    <w:rsid w:val="00636B71"/>
    <w:rsid w:val="0063751B"/>
    <w:rsid w:val="006375CA"/>
    <w:rsid w:val="006407F0"/>
    <w:rsid w:val="00640C31"/>
    <w:rsid w:val="00641A62"/>
    <w:rsid w:val="0064237E"/>
    <w:rsid w:val="00643226"/>
    <w:rsid w:val="00643702"/>
    <w:rsid w:val="006444AF"/>
    <w:rsid w:val="006459EF"/>
    <w:rsid w:val="00645E41"/>
    <w:rsid w:val="006465F3"/>
    <w:rsid w:val="006466BD"/>
    <w:rsid w:val="0064680A"/>
    <w:rsid w:val="00646836"/>
    <w:rsid w:val="006511C4"/>
    <w:rsid w:val="00651339"/>
    <w:rsid w:val="006534BF"/>
    <w:rsid w:val="006537D7"/>
    <w:rsid w:val="0065444A"/>
    <w:rsid w:val="00654585"/>
    <w:rsid w:val="00654F68"/>
    <w:rsid w:val="0065523E"/>
    <w:rsid w:val="00655321"/>
    <w:rsid w:val="00655CF9"/>
    <w:rsid w:val="00655D45"/>
    <w:rsid w:val="0065714C"/>
    <w:rsid w:val="00657B0F"/>
    <w:rsid w:val="00660A74"/>
    <w:rsid w:val="00660E44"/>
    <w:rsid w:val="006619A7"/>
    <w:rsid w:val="00661F51"/>
    <w:rsid w:val="00662E5F"/>
    <w:rsid w:val="00662EE9"/>
    <w:rsid w:val="00663358"/>
    <w:rsid w:val="00663FE6"/>
    <w:rsid w:val="00664434"/>
    <w:rsid w:val="0066561F"/>
    <w:rsid w:val="006658FC"/>
    <w:rsid w:val="00666155"/>
    <w:rsid w:val="00666912"/>
    <w:rsid w:val="00666A38"/>
    <w:rsid w:val="00666A58"/>
    <w:rsid w:val="0066732C"/>
    <w:rsid w:val="0066745A"/>
    <w:rsid w:val="00670650"/>
    <w:rsid w:val="006712C0"/>
    <w:rsid w:val="006715C3"/>
    <w:rsid w:val="006744AC"/>
    <w:rsid w:val="00674C7D"/>
    <w:rsid w:val="006758B6"/>
    <w:rsid w:val="006759D6"/>
    <w:rsid w:val="006779A3"/>
    <w:rsid w:val="006807D7"/>
    <w:rsid w:val="00680B40"/>
    <w:rsid w:val="00681EC9"/>
    <w:rsid w:val="006822FA"/>
    <w:rsid w:val="0068288C"/>
    <w:rsid w:val="00682F22"/>
    <w:rsid w:val="00683F36"/>
    <w:rsid w:val="00685589"/>
    <w:rsid w:val="0068682C"/>
    <w:rsid w:val="00686E1B"/>
    <w:rsid w:val="006877C6"/>
    <w:rsid w:val="00687856"/>
    <w:rsid w:val="00687CC1"/>
    <w:rsid w:val="00687D46"/>
    <w:rsid w:val="0069039E"/>
    <w:rsid w:val="00690D63"/>
    <w:rsid w:val="00690F3D"/>
    <w:rsid w:val="006913EB"/>
    <w:rsid w:val="00691D5B"/>
    <w:rsid w:val="006938AA"/>
    <w:rsid w:val="00693992"/>
    <w:rsid w:val="00693D46"/>
    <w:rsid w:val="00694463"/>
    <w:rsid w:val="0069474B"/>
    <w:rsid w:val="0069475D"/>
    <w:rsid w:val="006955C1"/>
    <w:rsid w:val="00695FE1"/>
    <w:rsid w:val="00697492"/>
    <w:rsid w:val="00697966"/>
    <w:rsid w:val="00697DF8"/>
    <w:rsid w:val="006A1904"/>
    <w:rsid w:val="006A23CE"/>
    <w:rsid w:val="006A2B33"/>
    <w:rsid w:val="006A3A2B"/>
    <w:rsid w:val="006A47F8"/>
    <w:rsid w:val="006A50FA"/>
    <w:rsid w:val="006A5775"/>
    <w:rsid w:val="006A6A7B"/>
    <w:rsid w:val="006A6BF1"/>
    <w:rsid w:val="006A78CD"/>
    <w:rsid w:val="006A79B5"/>
    <w:rsid w:val="006A7DC2"/>
    <w:rsid w:val="006B05D6"/>
    <w:rsid w:val="006B1282"/>
    <w:rsid w:val="006B198C"/>
    <w:rsid w:val="006B23D5"/>
    <w:rsid w:val="006B2DCB"/>
    <w:rsid w:val="006B3032"/>
    <w:rsid w:val="006B33A5"/>
    <w:rsid w:val="006B4046"/>
    <w:rsid w:val="006B4B4A"/>
    <w:rsid w:val="006B559E"/>
    <w:rsid w:val="006B75C6"/>
    <w:rsid w:val="006C020D"/>
    <w:rsid w:val="006C02C8"/>
    <w:rsid w:val="006C04A1"/>
    <w:rsid w:val="006C0603"/>
    <w:rsid w:val="006C1685"/>
    <w:rsid w:val="006C354C"/>
    <w:rsid w:val="006C3B76"/>
    <w:rsid w:val="006C40F4"/>
    <w:rsid w:val="006C4572"/>
    <w:rsid w:val="006C4A81"/>
    <w:rsid w:val="006C504F"/>
    <w:rsid w:val="006C6570"/>
    <w:rsid w:val="006C6701"/>
    <w:rsid w:val="006C742B"/>
    <w:rsid w:val="006C7B03"/>
    <w:rsid w:val="006C7C6A"/>
    <w:rsid w:val="006C7F2B"/>
    <w:rsid w:val="006D0EC2"/>
    <w:rsid w:val="006D2942"/>
    <w:rsid w:val="006D4C72"/>
    <w:rsid w:val="006D4E4C"/>
    <w:rsid w:val="006D5585"/>
    <w:rsid w:val="006D56AC"/>
    <w:rsid w:val="006D57D8"/>
    <w:rsid w:val="006D5F76"/>
    <w:rsid w:val="006D61D6"/>
    <w:rsid w:val="006D6D96"/>
    <w:rsid w:val="006D7211"/>
    <w:rsid w:val="006D75C8"/>
    <w:rsid w:val="006D7ABC"/>
    <w:rsid w:val="006E2776"/>
    <w:rsid w:val="006E39FF"/>
    <w:rsid w:val="006E3D36"/>
    <w:rsid w:val="006E409B"/>
    <w:rsid w:val="006E41D7"/>
    <w:rsid w:val="006E5F99"/>
    <w:rsid w:val="006E6D4E"/>
    <w:rsid w:val="006E6D76"/>
    <w:rsid w:val="006E70E8"/>
    <w:rsid w:val="006F00A4"/>
    <w:rsid w:val="006F0D06"/>
    <w:rsid w:val="006F0D46"/>
    <w:rsid w:val="006F1CF8"/>
    <w:rsid w:val="006F23DD"/>
    <w:rsid w:val="006F4B0E"/>
    <w:rsid w:val="006F4B7C"/>
    <w:rsid w:val="006F4DF8"/>
    <w:rsid w:val="006F5158"/>
    <w:rsid w:val="006F77D6"/>
    <w:rsid w:val="00700950"/>
    <w:rsid w:val="00701136"/>
    <w:rsid w:val="007025DC"/>
    <w:rsid w:val="00702E3F"/>
    <w:rsid w:val="0070319A"/>
    <w:rsid w:val="00703CB4"/>
    <w:rsid w:val="0070603E"/>
    <w:rsid w:val="00706910"/>
    <w:rsid w:val="00707C18"/>
    <w:rsid w:val="00707EB7"/>
    <w:rsid w:val="007103A9"/>
    <w:rsid w:val="00710F8A"/>
    <w:rsid w:val="007112D2"/>
    <w:rsid w:val="0071147F"/>
    <w:rsid w:val="007118EE"/>
    <w:rsid w:val="0071217E"/>
    <w:rsid w:val="0071412D"/>
    <w:rsid w:val="00714B8A"/>
    <w:rsid w:val="00714BAA"/>
    <w:rsid w:val="00714BEC"/>
    <w:rsid w:val="00714F47"/>
    <w:rsid w:val="00715205"/>
    <w:rsid w:val="00716293"/>
    <w:rsid w:val="007169CD"/>
    <w:rsid w:val="00716AD2"/>
    <w:rsid w:val="007172CA"/>
    <w:rsid w:val="007203CA"/>
    <w:rsid w:val="00720B53"/>
    <w:rsid w:val="0072197D"/>
    <w:rsid w:val="00721A7A"/>
    <w:rsid w:val="00721BE6"/>
    <w:rsid w:val="007226F5"/>
    <w:rsid w:val="007227F4"/>
    <w:rsid w:val="00723B2C"/>
    <w:rsid w:val="00723B9E"/>
    <w:rsid w:val="00724ED0"/>
    <w:rsid w:val="00724F92"/>
    <w:rsid w:val="007253D6"/>
    <w:rsid w:val="0072578A"/>
    <w:rsid w:val="0072597A"/>
    <w:rsid w:val="00726F7D"/>
    <w:rsid w:val="007302EA"/>
    <w:rsid w:val="00730F76"/>
    <w:rsid w:val="00731458"/>
    <w:rsid w:val="00731466"/>
    <w:rsid w:val="0073203D"/>
    <w:rsid w:val="00732374"/>
    <w:rsid w:val="00732743"/>
    <w:rsid w:val="00732CB9"/>
    <w:rsid w:val="0073320E"/>
    <w:rsid w:val="0073792C"/>
    <w:rsid w:val="00740863"/>
    <w:rsid w:val="00740C19"/>
    <w:rsid w:val="0074257A"/>
    <w:rsid w:val="00743067"/>
    <w:rsid w:val="00743D03"/>
    <w:rsid w:val="007459F5"/>
    <w:rsid w:val="00745D7C"/>
    <w:rsid w:val="00747434"/>
    <w:rsid w:val="00747680"/>
    <w:rsid w:val="0074788B"/>
    <w:rsid w:val="0075003E"/>
    <w:rsid w:val="00750DBC"/>
    <w:rsid w:val="0075137C"/>
    <w:rsid w:val="00751F62"/>
    <w:rsid w:val="00753518"/>
    <w:rsid w:val="0075418A"/>
    <w:rsid w:val="00754444"/>
    <w:rsid w:val="007574E2"/>
    <w:rsid w:val="00760C54"/>
    <w:rsid w:val="00760E4A"/>
    <w:rsid w:val="00760F2C"/>
    <w:rsid w:val="007611DA"/>
    <w:rsid w:val="007622F0"/>
    <w:rsid w:val="007625C1"/>
    <w:rsid w:val="0076260D"/>
    <w:rsid w:val="0076262A"/>
    <w:rsid w:val="00763B77"/>
    <w:rsid w:val="007647EB"/>
    <w:rsid w:val="00764CF1"/>
    <w:rsid w:val="0076584D"/>
    <w:rsid w:val="00765ABF"/>
    <w:rsid w:val="00766356"/>
    <w:rsid w:val="00766626"/>
    <w:rsid w:val="0076702C"/>
    <w:rsid w:val="00767042"/>
    <w:rsid w:val="00767079"/>
    <w:rsid w:val="00767752"/>
    <w:rsid w:val="00767F6C"/>
    <w:rsid w:val="00770F4A"/>
    <w:rsid w:val="00772152"/>
    <w:rsid w:val="00772829"/>
    <w:rsid w:val="00773C2B"/>
    <w:rsid w:val="007744D8"/>
    <w:rsid w:val="00774738"/>
    <w:rsid w:val="0077484C"/>
    <w:rsid w:val="0077583B"/>
    <w:rsid w:val="00776CB0"/>
    <w:rsid w:val="00777848"/>
    <w:rsid w:val="00777893"/>
    <w:rsid w:val="0078026F"/>
    <w:rsid w:val="00780B9B"/>
    <w:rsid w:val="00781FC6"/>
    <w:rsid w:val="007832FE"/>
    <w:rsid w:val="00784341"/>
    <w:rsid w:val="00784850"/>
    <w:rsid w:val="00784B18"/>
    <w:rsid w:val="00784D24"/>
    <w:rsid w:val="007850A8"/>
    <w:rsid w:val="007852E9"/>
    <w:rsid w:val="007854DF"/>
    <w:rsid w:val="007855A0"/>
    <w:rsid w:val="00786619"/>
    <w:rsid w:val="007878FD"/>
    <w:rsid w:val="007906AC"/>
    <w:rsid w:val="00790B15"/>
    <w:rsid w:val="00790E6B"/>
    <w:rsid w:val="00790F49"/>
    <w:rsid w:val="00791783"/>
    <w:rsid w:val="00792689"/>
    <w:rsid w:val="007931CB"/>
    <w:rsid w:val="00793670"/>
    <w:rsid w:val="00793C4E"/>
    <w:rsid w:val="00794A60"/>
    <w:rsid w:val="007951D4"/>
    <w:rsid w:val="00797C46"/>
    <w:rsid w:val="007A0969"/>
    <w:rsid w:val="007A135E"/>
    <w:rsid w:val="007A19F6"/>
    <w:rsid w:val="007A1EE1"/>
    <w:rsid w:val="007A28BC"/>
    <w:rsid w:val="007A2B65"/>
    <w:rsid w:val="007A3BB2"/>
    <w:rsid w:val="007A3D9B"/>
    <w:rsid w:val="007A4A04"/>
    <w:rsid w:val="007A5617"/>
    <w:rsid w:val="007A7C8D"/>
    <w:rsid w:val="007B022B"/>
    <w:rsid w:val="007B0245"/>
    <w:rsid w:val="007B059B"/>
    <w:rsid w:val="007B083F"/>
    <w:rsid w:val="007B0880"/>
    <w:rsid w:val="007B0D01"/>
    <w:rsid w:val="007B1D1A"/>
    <w:rsid w:val="007B2085"/>
    <w:rsid w:val="007B2A9F"/>
    <w:rsid w:val="007B2DDC"/>
    <w:rsid w:val="007B2FDC"/>
    <w:rsid w:val="007B38A0"/>
    <w:rsid w:val="007B38B7"/>
    <w:rsid w:val="007B4536"/>
    <w:rsid w:val="007B492A"/>
    <w:rsid w:val="007B4A4C"/>
    <w:rsid w:val="007B4C0C"/>
    <w:rsid w:val="007B4F73"/>
    <w:rsid w:val="007B4F7B"/>
    <w:rsid w:val="007B554B"/>
    <w:rsid w:val="007B583D"/>
    <w:rsid w:val="007B59F8"/>
    <w:rsid w:val="007B5BF4"/>
    <w:rsid w:val="007B6684"/>
    <w:rsid w:val="007B66FC"/>
    <w:rsid w:val="007B6B21"/>
    <w:rsid w:val="007B7024"/>
    <w:rsid w:val="007B741B"/>
    <w:rsid w:val="007B79E0"/>
    <w:rsid w:val="007C0390"/>
    <w:rsid w:val="007C0CE0"/>
    <w:rsid w:val="007C0EA3"/>
    <w:rsid w:val="007C14A2"/>
    <w:rsid w:val="007C18ED"/>
    <w:rsid w:val="007C2A8D"/>
    <w:rsid w:val="007C2BC7"/>
    <w:rsid w:val="007C2C25"/>
    <w:rsid w:val="007C300E"/>
    <w:rsid w:val="007C328D"/>
    <w:rsid w:val="007C336F"/>
    <w:rsid w:val="007C3919"/>
    <w:rsid w:val="007C41B1"/>
    <w:rsid w:val="007C5554"/>
    <w:rsid w:val="007D1808"/>
    <w:rsid w:val="007D30B7"/>
    <w:rsid w:val="007D379B"/>
    <w:rsid w:val="007D4096"/>
    <w:rsid w:val="007D467B"/>
    <w:rsid w:val="007D4829"/>
    <w:rsid w:val="007D5739"/>
    <w:rsid w:val="007D6F8A"/>
    <w:rsid w:val="007D7499"/>
    <w:rsid w:val="007D7962"/>
    <w:rsid w:val="007E0719"/>
    <w:rsid w:val="007E0CED"/>
    <w:rsid w:val="007E15AD"/>
    <w:rsid w:val="007E1C45"/>
    <w:rsid w:val="007E25ED"/>
    <w:rsid w:val="007E2BC0"/>
    <w:rsid w:val="007E3456"/>
    <w:rsid w:val="007E42B2"/>
    <w:rsid w:val="007E45BB"/>
    <w:rsid w:val="007E53AA"/>
    <w:rsid w:val="007E5DB1"/>
    <w:rsid w:val="007E7469"/>
    <w:rsid w:val="007E7D64"/>
    <w:rsid w:val="007F0B03"/>
    <w:rsid w:val="007F11E8"/>
    <w:rsid w:val="007F3265"/>
    <w:rsid w:val="007F48E5"/>
    <w:rsid w:val="007F6406"/>
    <w:rsid w:val="007F67E9"/>
    <w:rsid w:val="007F6AFF"/>
    <w:rsid w:val="007F7128"/>
    <w:rsid w:val="007F7C7B"/>
    <w:rsid w:val="007F7DBC"/>
    <w:rsid w:val="00802499"/>
    <w:rsid w:val="00803144"/>
    <w:rsid w:val="008037A7"/>
    <w:rsid w:val="00803872"/>
    <w:rsid w:val="008040A2"/>
    <w:rsid w:val="00804632"/>
    <w:rsid w:val="00804DB4"/>
    <w:rsid w:val="008052CB"/>
    <w:rsid w:val="008054D9"/>
    <w:rsid w:val="00805B18"/>
    <w:rsid w:val="00805D08"/>
    <w:rsid w:val="00806688"/>
    <w:rsid w:val="00807A3E"/>
    <w:rsid w:val="00810338"/>
    <w:rsid w:val="00811C14"/>
    <w:rsid w:val="00812282"/>
    <w:rsid w:val="008142BE"/>
    <w:rsid w:val="0081437B"/>
    <w:rsid w:val="008148E4"/>
    <w:rsid w:val="008157F1"/>
    <w:rsid w:val="00816C41"/>
    <w:rsid w:val="00816EC2"/>
    <w:rsid w:val="00817A15"/>
    <w:rsid w:val="008205A2"/>
    <w:rsid w:val="0082126E"/>
    <w:rsid w:val="008236E1"/>
    <w:rsid w:val="008240F6"/>
    <w:rsid w:val="00824458"/>
    <w:rsid w:val="008249F7"/>
    <w:rsid w:val="00824B74"/>
    <w:rsid w:val="008256E6"/>
    <w:rsid w:val="00825805"/>
    <w:rsid w:val="00826664"/>
    <w:rsid w:val="00826DD6"/>
    <w:rsid w:val="00827027"/>
    <w:rsid w:val="00831DD2"/>
    <w:rsid w:val="00832607"/>
    <w:rsid w:val="008334C1"/>
    <w:rsid w:val="00833A74"/>
    <w:rsid w:val="0083428F"/>
    <w:rsid w:val="00835EAF"/>
    <w:rsid w:val="00835EC9"/>
    <w:rsid w:val="0083609A"/>
    <w:rsid w:val="008401D2"/>
    <w:rsid w:val="00841327"/>
    <w:rsid w:val="00841388"/>
    <w:rsid w:val="00841EFB"/>
    <w:rsid w:val="00841F44"/>
    <w:rsid w:val="00842A64"/>
    <w:rsid w:val="00842C82"/>
    <w:rsid w:val="00843358"/>
    <w:rsid w:val="008433B2"/>
    <w:rsid w:val="008436D7"/>
    <w:rsid w:val="008440FE"/>
    <w:rsid w:val="0084437C"/>
    <w:rsid w:val="00845B98"/>
    <w:rsid w:val="00846119"/>
    <w:rsid w:val="00846E57"/>
    <w:rsid w:val="008474E3"/>
    <w:rsid w:val="00850280"/>
    <w:rsid w:val="008527ED"/>
    <w:rsid w:val="00852D1A"/>
    <w:rsid w:val="00853750"/>
    <w:rsid w:val="008537F7"/>
    <w:rsid w:val="008538B5"/>
    <w:rsid w:val="00853A1F"/>
    <w:rsid w:val="00853AA2"/>
    <w:rsid w:val="008546BE"/>
    <w:rsid w:val="00856074"/>
    <w:rsid w:val="00857325"/>
    <w:rsid w:val="00857949"/>
    <w:rsid w:val="008579DE"/>
    <w:rsid w:val="0086039B"/>
    <w:rsid w:val="008616C9"/>
    <w:rsid w:val="00862EC6"/>
    <w:rsid w:val="0086410A"/>
    <w:rsid w:val="00864669"/>
    <w:rsid w:val="00864F6E"/>
    <w:rsid w:val="008667C4"/>
    <w:rsid w:val="00866904"/>
    <w:rsid w:val="00867326"/>
    <w:rsid w:val="00867CBC"/>
    <w:rsid w:val="00870DC4"/>
    <w:rsid w:val="008719C2"/>
    <w:rsid w:val="0087277A"/>
    <w:rsid w:val="008727A3"/>
    <w:rsid w:val="00872A47"/>
    <w:rsid w:val="00872E22"/>
    <w:rsid w:val="00873486"/>
    <w:rsid w:val="00873551"/>
    <w:rsid w:val="008736E2"/>
    <w:rsid w:val="00873EDC"/>
    <w:rsid w:val="00874565"/>
    <w:rsid w:val="00874778"/>
    <w:rsid w:val="00877247"/>
    <w:rsid w:val="00877347"/>
    <w:rsid w:val="00877DF5"/>
    <w:rsid w:val="008801AE"/>
    <w:rsid w:val="00880AA3"/>
    <w:rsid w:val="00880DD4"/>
    <w:rsid w:val="008833E7"/>
    <w:rsid w:val="00884200"/>
    <w:rsid w:val="0088421C"/>
    <w:rsid w:val="0088445B"/>
    <w:rsid w:val="00885BA7"/>
    <w:rsid w:val="00885D83"/>
    <w:rsid w:val="008904EF"/>
    <w:rsid w:val="00890C36"/>
    <w:rsid w:val="008916B2"/>
    <w:rsid w:val="00891AF6"/>
    <w:rsid w:val="00891BB1"/>
    <w:rsid w:val="00891BC3"/>
    <w:rsid w:val="00891E06"/>
    <w:rsid w:val="008934D8"/>
    <w:rsid w:val="008937C8"/>
    <w:rsid w:val="00894477"/>
    <w:rsid w:val="008947C9"/>
    <w:rsid w:val="0089535E"/>
    <w:rsid w:val="0089589A"/>
    <w:rsid w:val="008967C4"/>
    <w:rsid w:val="00897760"/>
    <w:rsid w:val="008978FC"/>
    <w:rsid w:val="008A0BF4"/>
    <w:rsid w:val="008A0D2A"/>
    <w:rsid w:val="008A1693"/>
    <w:rsid w:val="008A219B"/>
    <w:rsid w:val="008A254F"/>
    <w:rsid w:val="008A2630"/>
    <w:rsid w:val="008A263A"/>
    <w:rsid w:val="008A34F6"/>
    <w:rsid w:val="008A54F1"/>
    <w:rsid w:val="008A5818"/>
    <w:rsid w:val="008A5833"/>
    <w:rsid w:val="008A5948"/>
    <w:rsid w:val="008A71D4"/>
    <w:rsid w:val="008A7A45"/>
    <w:rsid w:val="008B3A88"/>
    <w:rsid w:val="008B3C78"/>
    <w:rsid w:val="008B3D91"/>
    <w:rsid w:val="008B48A1"/>
    <w:rsid w:val="008B4902"/>
    <w:rsid w:val="008B4BFC"/>
    <w:rsid w:val="008B51B4"/>
    <w:rsid w:val="008B52B6"/>
    <w:rsid w:val="008B5B67"/>
    <w:rsid w:val="008B5B6E"/>
    <w:rsid w:val="008B5D7A"/>
    <w:rsid w:val="008B66E3"/>
    <w:rsid w:val="008B7848"/>
    <w:rsid w:val="008C159F"/>
    <w:rsid w:val="008C1E05"/>
    <w:rsid w:val="008C1F8A"/>
    <w:rsid w:val="008C31FC"/>
    <w:rsid w:val="008C34BB"/>
    <w:rsid w:val="008C3D38"/>
    <w:rsid w:val="008C45E2"/>
    <w:rsid w:val="008C5E4B"/>
    <w:rsid w:val="008C61F3"/>
    <w:rsid w:val="008C6374"/>
    <w:rsid w:val="008C66A9"/>
    <w:rsid w:val="008C6985"/>
    <w:rsid w:val="008C6FC5"/>
    <w:rsid w:val="008C7F59"/>
    <w:rsid w:val="008C7FD8"/>
    <w:rsid w:val="008D08C7"/>
    <w:rsid w:val="008D18F1"/>
    <w:rsid w:val="008D21B7"/>
    <w:rsid w:val="008D3726"/>
    <w:rsid w:val="008D4CB0"/>
    <w:rsid w:val="008D4E65"/>
    <w:rsid w:val="008D4EA4"/>
    <w:rsid w:val="008D5C68"/>
    <w:rsid w:val="008D6397"/>
    <w:rsid w:val="008D66A3"/>
    <w:rsid w:val="008D73C9"/>
    <w:rsid w:val="008D7956"/>
    <w:rsid w:val="008E00DD"/>
    <w:rsid w:val="008E16BF"/>
    <w:rsid w:val="008E1AB8"/>
    <w:rsid w:val="008E2BCE"/>
    <w:rsid w:val="008E3049"/>
    <w:rsid w:val="008E35A3"/>
    <w:rsid w:val="008E493C"/>
    <w:rsid w:val="008E518C"/>
    <w:rsid w:val="008E5AA9"/>
    <w:rsid w:val="008E6EC3"/>
    <w:rsid w:val="008E7274"/>
    <w:rsid w:val="008E7CDE"/>
    <w:rsid w:val="008F0562"/>
    <w:rsid w:val="008F08FF"/>
    <w:rsid w:val="008F0F76"/>
    <w:rsid w:val="008F22EF"/>
    <w:rsid w:val="008F260B"/>
    <w:rsid w:val="008F32CA"/>
    <w:rsid w:val="008F3542"/>
    <w:rsid w:val="008F3F9D"/>
    <w:rsid w:val="008F4597"/>
    <w:rsid w:val="008F5D16"/>
    <w:rsid w:val="0090064C"/>
    <w:rsid w:val="00900BF7"/>
    <w:rsid w:val="00900EE4"/>
    <w:rsid w:val="00900F08"/>
    <w:rsid w:val="00901495"/>
    <w:rsid w:val="0090188D"/>
    <w:rsid w:val="00901CC7"/>
    <w:rsid w:val="00902C84"/>
    <w:rsid w:val="00903660"/>
    <w:rsid w:val="00903844"/>
    <w:rsid w:val="009049E5"/>
    <w:rsid w:val="00904A85"/>
    <w:rsid w:val="00905850"/>
    <w:rsid w:val="0090631E"/>
    <w:rsid w:val="009067EC"/>
    <w:rsid w:val="00906821"/>
    <w:rsid w:val="00906E65"/>
    <w:rsid w:val="00907F3C"/>
    <w:rsid w:val="00910A8B"/>
    <w:rsid w:val="00911709"/>
    <w:rsid w:val="00912086"/>
    <w:rsid w:val="00912B91"/>
    <w:rsid w:val="009134DB"/>
    <w:rsid w:val="009135A0"/>
    <w:rsid w:val="00913B6F"/>
    <w:rsid w:val="00913C7A"/>
    <w:rsid w:val="00913FBD"/>
    <w:rsid w:val="009144D5"/>
    <w:rsid w:val="00914A69"/>
    <w:rsid w:val="00915E60"/>
    <w:rsid w:val="00915F98"/>
    <w:rsid w:val="00915FA3"/>
    <w:rsid w:val="00916756"/>
    <w:rsid w:val="00917FDB"/>
    <w:rsid w:val="00921375"/>
    <w:rsid w:val="009217F8"/>
    <w:rsid w:val="0092197A"/>
    <w:rsid w:val="009231DA"/>
    <w:rsid w:val="00923E5C"/>
    <w:rsid w:val="00924183"/>
    <w:rsid w:val="0092470E"/>
    <w:rsid w:val="00925187"/>
    <w:rsid w:val="00925FF0"/>
    <w:rsid w:val="00926444"/>
    <w:rsid w:val="0092709C"/>
    <w:rsid w:val="0092711F"/>
    <w:rsid w:val="0092717F"/>
    <w:rsid w:val="00927744"/>
    <w:rsid w:val="00927B05"/>
    <w:rsid w:val="009303F8"/>
    <w:rsid w:val="00930E56"/>
    <w:rsid w:val="00930F4E"/>
    <w:rsid w:val="00931F4C"/>
    <w:rsid w:val="009322B0"/>
    <w:rsid w:val="009323F3"/>
    <w:rsid w:val="009338D9"/>
    <w:rsid w:val="00935970"/>
    <w:rsid w:val="00936062"/>
    <w:rsid w:val="00936255"/>
    <w:rsid w:val="009368C1"/>
    <w:rsid w:val="00936DB3"/>
    <w:rsid w:val="00937847"/>
    <w:rsid w:val="00937CBE"/>
    <w:rsid w:val="00941798"/>
    <w:rsid w:val="00943FE3"/>
    <w:rsid w:val="00944087"/>
    <w:rsid w:val="00944BF1"/>
    <w:rsid w:val="00944E74"/>
    <w:rsid w:val="0094529D"/>
    <w:rsid w:val="009455F8"/>
    <w:rsid w:val="0095012E"/>
    <w:rsid w:val="0095074D"/>
    <w:rsid w:val="00951934"/>
    <w:rsid w:val="0095207B"/>
    <w:rsid w:val="00953185"/>
    <w:rsid w:val="00954346"/>
    <w:rsid w:val="00954C8C"/>
    <w:rsid w:val="00954CA2"/>
    <w:rsid w:val="0095582E"/>
    <w:rsid w:val="00956ACE"/>
    <w:rsid w:val="009572A0"/>
    <w:rsid w:val="00957D24"/>
    <w:rsid w:val="00957F21"/>
    <w:rsid w:val="00957F3F"/>
    <w:rsid w:val="009608F6"/>
    <w:rsid w:val="00960DCF"/>
    <w:rsid w:val="00961B53"/>
    <w:rsid w:val="00963264"/>
    <w:rsid w:val="009635B9"/>
    <w:rsid w:val="0096389D"/>
    <w:rsid w:val="009652D1"/>
    <w:rsid w:val="0096550F"/>
    <w:rsid w:val="009674FC"/>
    <w:rsid w:val="0096755F"/>
    <w:rsid w:val="009676C0"/>
    <w:rsid w:val="009676F3"/>
    <w:rsid w:val="00970486"/>
    <w:rsid w:val="0097115E"/>
    <w:rsid w:val="00971B25"/>
    <w:rsid w:val="00971D12"/>
    <w:rsid w:val="00973727"/>
    <w:rsid w:val="0097397B"/>
    <w:rsid w:val="00974CF1"/>
    <w:rsid w:val="00976B2D"/>
    <w:rsid w:val="009771E3"/>
    <w:rsid w:val="00977498"/>
    <w:rsid w:val="00980255"/>
    <w:rsid w:val="009803A9"/>
    <w:rsid w:val="009803CB"/>
    <w:rsid w:val="009803D4"/>
    <w:rsid w:val="009807A2"/>
    <w:rsid w:val="00980CC5"/>
    <w:rsid w:val="0098176A"/>
    <w:rsid w:val="0098199C"/>
    <w:rsid w:val="00982D3E"/>
    <w:rsid w:val="00983131"/>
    <w:rsid w:val="009833C4"/>
    <w:rsid w:val="00983B5C"/>
    <w:rsid w:val="009847D2"/>
    <w:rsid w:val="0098497D"/>
    <w:rsid w:val="00984F82"/>
    <w:rsid w:val="0098596B"/>
    <w:rsid w:val="009873F3"/>
    <w:rsid w:val="00987518"/>
    <w:rsid w:val="00987DE0"/>
    <w:rsid w:val="00987DE7"/>
    <w:rsid w:val="0099088A"/>
    <w:rsid w:val="0099162F"/>
    <w:rsid w:val="00991CF3"/>
    <w:rsid w:val="00992DD5"/>
    <w:rsid w:val="00992FC1"/>
    <w:rsid w:val="00993B9A"/>
    <w:rsid w:val="00994249"/>
    <w:rsid w:val="0099438D"/>
    <w:rsid w:val="0099441F"/>
    <w:rsid w:val="0099473B"/>
    <w:rsid w:val="009950C9"/>
    <w:rsid w:val="009956C2"/>
    <w:rsid w:val="00995E98"/>
    <w:rsid w:val="00996010"/>
    <w:rsid w:val="00996F15"/>
    <w:rsid w:val="00997BA8"/>
    <w:rsid w:val="009A0497"/>
    <w:rsid w:val="009A06F4"/>
    <w:rsid w:val="009A0E38"/>
    <w:rsid w:val="009A0E46"/>
    <w:rsid w:val="009A1503"/>
    <w:rsid w:val="009A35F9"/>
    <w:rsid w:val="009A3778"/>
    <w:rsid w:val="009A3E2E"/>
    <w:rsid w:val="009A557A"/>
    <w:rsid w:val="009A621C"/>
    <w:rsid w:val="009A7F34"/>
    <w:rsid w:val="009B01A8"/>
    <w:rsid w:val="009B059B"/>
    <w:rsid w:val="009B1540"/>
    <w:rsid w:val="009B2245"/>
    <w:rsid w:val="009B258E"/>
    <w:rsid w:val="009B2902"/>
    <w:rsid w:val="009B3362"/>
    <w:rsid w:val="009B5997"/>
    <w:rsid w:val="009B5DEB"/>
    <w:rsid w:val="009B6B23"/>
    <w:rsid w:val="009B7ABD"/>
    <w:rsid w:val="009C0F10"/>
    <w:rsid w:val="009C1D27"/>
    <w:rsid w:val="009C3BD9"/>
    <w:rsid w:val="009C44BA"/>
    <w:rsid w:val="009C5B82"/>
    <w:rsid w:val="009C6AC9"/>
    <w:rsid w:val="009C756E"/>
    <w:rsid w:val="009C7E74"/>
    <w:rsid w:val="009D06E1"/>
    <w:rsid w:val="009D07C8"/>
    <w:rsid w:val="009D08E9"/>
    <w:rsid w:val="009D0AC7"/>
    <w:rsid w:val="009D0EFC"/>
    <w:rsid w:val="009D1152"/>
    <w:rsid w:val="009D1AF1"/>
    <w:rsid w:val="009D1E89"/>
    <w:rsid w:val="009D1FA1"/>
    <w:rsid w:val="009D21BE"/>
    <w:rsid w:val="009D2326"/>
    <w:rsid w:val="009D2D20"/>
    <w:rsid w:val="009D398F"/>
    <w:rsid w:val="009D3C3D"/>
    <w:rsid w:val="009D424E"/>
    <w:rsid w:val="009D5288"/>
    <w:rsid w:val="009D5E55"/>
    <w:rsid w:val="009D6E37"/>
    <w:rsid w:val="009D7145"/>
    <w:rsid w:val="009D7821"/>
    <w:rsid w:val="009E0507"/>
    <w:rsid w:val="009E06A1"/>
    <w:rsid w:val="009E0CB9"/>
    <w:rsid w:val="009E1B48"/>
    <w:rsid w:val="009E2591"/>
    <w:rsid w:val="009E2AD3"/>
    <w:rsid w:val="009E4723"/>
    <w:rsid w:val="009E4777"/>
    <w:rsid w:val="009E47E5"/>
    <w:rsid w:val="009E76DA"/>
    <w:rsid w:val="009F05E2"/>
    <w:rsid w:val="009F1093"/>
    <w:rsid w:val="009F146F"/>
    <w:rsid w:val="009F1D25"/>
    <w:rsid w:val="009F2882"/>
    <w:rsid w:val="009F2BF4"/>
    <w:rsid w:val="009F3C75"/>
    <w:rsid w:val="009F41AC"/>
    <w:rsid w:val="009F47B5"/>
    <w:rsid w:val="009F4C0E"/>
    <w:rsid w:val="009F6FD5"/>
    <w:rsid w:val="009F7398"/>
    <w:rsid w:val="00A00107"/>
    <w:rsid w:val="00A002F2"/>
    <w:rsid w:val="00A0037E"/>
    <w:rsid w:val="00A01303"/>
    <w:rsid w:val="00A01EED"/>
    <w:rsid w:val="00A02834"/>
    <w:rsid w:val="00A02C4F"/>
    <w:rsid w:val="00A0308E"/>
    <w:rsid w:val="00A04A09"/>
    <w:rsid w:val="00A05821"/>
    <w:rsid w:val="00A05D1D"/>
    <w:rsid w:val="00A05EA2"/>
    <w:rsid w:val="00A05FBD"/>
    <w:rsid w:val="00A05FD8"/>
    <w:rsid w:val="00A060EF"/>
    <w:rsid w:val="00A076CC"/>
    <w:rsid w:val="00A10D4F"/>
    <w:rsid w:val="00A1144E"/>
    <w:rsid w:val="00A1165C"/>
    <w:rsid w:val="00A1179D"/>
    <w:rsid w:val="00A125D6"/>
    <w:rsid w:val="00A13616"/>
    <w:rsid w:val="00A137F8"/>
    <w:rsid w:val="00A13B6D"/>
    <w:rsid w:val="00A1444C"/>
    <w:rsid w:val="00A14A91"/>
    <w:rsid w:val="00A14DE2"/>
    <w:rsid w:val="00A14E53"/>
    <w:rsid w:val="00A15580"/>
    <w:rsid w:val="00A16449"/>
    <w:rsid w:val="00A2098E"/>
    <w:rsid w:val="00A20E6A"/>
    <w:rsid w:val="00A2147D"/>
    <w:rsid w:val="00A22EFC"/>
    <w:rsid w:val="00A23937"/>
    <w:rsid w:val="00A257A8"/>
    <w:rsid w:val="00A26389"/>
    <w:rsid w:val="00A27FB6"/>
    <w:rsid w:val="00A303B8"/>
    <w:rsid w:val="00A307AB"/>
    <w:rsid w:val="00A31D9C"/>
    <w:rsid w:val="00A33B40"/>
    <w:rsid w:val="00A34735"/>
    <w:rsid w:val="00A34A16"/>
    <w:rsid w:val="00A34CB8"/>
    <w:rsid w:val="00A35DDD"/>
    <w:rsid w:val="00A361C3"/>
    <w:rsid w:val="00A37229"/>
    <w:rsid w:val="00A37BFD"/>
    <w:rsid w:val="00A411FA"/>
    <w:rsid w:val="00A418C3"/>
    <w:rsid w:val="00A43509"/>
    <w:rsid w:val="00A43755"/>
    <w:rsid w:val="00A43A81"/>
    <w:rsid w:val="00A43BC7"/>
    <w:rsid w:val="00A44636"/>
    <w:rsid w:val="00A44EC1"/>
    <w:rsid w:val="00A454B3"/>
    <w:rsid w:val="00A45E52"/>
    <w:rsid w:val="00A46652"/>
    <w:rsid w:val="00A46D15"/>
    <w:rsid w:val="00A4713D"/>
    <w:rsid w:val="00A47C56"/>
    <w:rsid w:val="00A520C7"/>
    <w:rsid w:val="00A524AB"/>
    <w:rsid w:val="00A52B58"/>
    <w:rsid w:val="00A52C6E"/>
    <w:rsid w:val="00A52D14"/>
    <w:rsid w:val="00A5323B"/>
    <w:rsid w:val="00A53BE8"/>
    <w:rsid w:val="00A54FB4"/>
    <w:rsid w:val="00A562B9"/>
    <w:rsid w:val="00A56D86"/>
    <w:rsid w:val="00A56DE0"/>
    <w:rsid w:val="00A6048A"/>
    <w:rsid w:val="00A61632"/>
    <w:rsid w:val="00A6186B"/>
    <w:rsid w:val="00A634B8"/>
    <w:rsid w:val="00A63C18"/>
    <w:rsid w:val="00A648F4"/>
    <w:rsid w:val="00A64CBA"/>
    <w:rsid w:val="00A6568B"/>
    <w:rsid w:val="00A6628D"/>
    <w:rsid w:val="00A662DC"/>
    <w:rsid w:val="00A66C81"/>
    <w:rsid w:val="00A6741B"/>
    <w:rsid w:val="00A6757D"/>
    <w:rsid w:val="00A720CD"/>
    <w:rsid w:val="00A721E8"/>
    <w:rsid w:val="00A74226"/>
    <w:rsid w:val="00A74395"/>
    <w:rsid w:val="00A757B0"/>
    <w:rsid w:val="00A75E7B"/>
    <w:rsid w:val="00A7716E"/>
    <w:rsid w:val="00A776A4"/>
    <w:rsid w:val="00A8049D"/>
    <w:rsid w:val="00A80A41"/>
    <w:rsid w:val="00A822C2"/>
    <w:rsid w:val="00A82990"/>
    <w:rsid w:val="00A8477B"/>
    <w:rsid w:val="00A84AA3"/>
    <w:rsid w:val="00A85335"/>
    <w:rsid w:val="00A85AB6"/>
    <w:rsid w:val="00A85C3A"/>
    <w:rsid w:val="00A86E11"/>
    <w:rsid w:val="00A86F3F"/>
    <w:rsid w:val="00A87E6C"/>
    <w:rsid w:val="00A901F3"/>
    <w:rsid w:val="00A90401"/>
    <w:rsid w:val="00A921E3"/>
    <w:rsid w:val="00A93026"/>
    <w:rsid w:val="00A93ED6"/>
    <w:rsid w:val="00A94D20"/>
    <w:rsid w:val="00A957A9"/>
    <w:rsid w:val="00A95C40"/>
    <w:rsid w:val="00A9752B"/>
    <w:rsid w:val="00AA0EFD"/>
    <w:rsid w:val="00AA18F9"/>
    <w:rsid w:val="00AA2461"/>
    <w:rsid w:val="00AA2574"/>
    <w:rsid w:val="00AA2865"/>
    <w:rsid w:val="00AA2873"/>
    <w:rsid w:val="00AA2E7E"/>
    <w:rsid w:val="00AA3A9B"/>
    <w:rsid w:val="00AA3BF1"/>
    <w:rsid w:val="00AA45CE"/>
    <w:rsid w:val="00AA5410"/>
    <w:rsid w:val="00AA59B2"/>
    <w:rsid w:val="00AB0960"/>
    <w:rsid w:val="00AB100B"/>
    <w:rsid w:val="00AB21C6"/>
    <w:rsid w:val="00AB2751"/>
    <w:rsid w:val="00AB2841"/>
    <w:rsid w:val="00AB2FE6"/>
    <w:rsid w:val="00AB4D99"/>
    <w:rsid w:val="00AB72D4"/>
    <w:rsid w:val="00AB76AC"/>
    <w:rsid w:val="00AB79AE"/>
    <w:rsid w:val="00AB7E3D"/>
    <w:rsid w:val="00AC0C07"/>
    <w:rsid w:val="00AC1577"/>
    <w:rsid w:val="00AC6143"/>
    <w:rsid w:val="00AC6F7D"/>
    <w:rsid w:val="00AC720A"/>
    <w:rsid w:val="00AC7F96"/>
    <w:rsid w:val="00AD0A50"/>
    <w:rsid w:val="00AD1275"/>
    <w:rsid w:val="00AD14F7"/>
    <w:rsid w:val="00AD2372"/>
    <w:rsid w:val="00AD25E9"/>
    <w:rsid w:val="00AD2DDD"/>
    <w:rsid w:val="00AD603E"/>
    <w:rsid w:val="00AD60EA"/>
    <w:rsid w:val="00AD67D4"/>
    <w:rsid w:val="00AD6D19"/>
    <w:rsid w:val="00AD7471"/>
    <w:rsid w:val="00AD7A4C"/>
    <w:rsid w:val="00AE0190"/>
    <w:rsid w:val="00AE0520"/>
    <w:rsid w:val="00AE0CD5"/>
    <w:rsid w:val="00AE1A37"/>
    <w:rsid w:val="00AE20F5"/>
    <w:rsid w:val="00AE280D"/>
    <w:rsid w:val="00AE31ED"/>
    <w:rsid w:val="00AE4331"/>
    <w:rsid w:val="00AE4876"/>
    <w:rsid w:val="00AE5E00"/>
    <w:rsid w:val="00AE614D"/>
    <w:rsid w:val="00AE7849"/>
    <w:rsid w:val="00AE7977"/>
    <w:rsid w:val="00AE7C19"/>
    <w:rsid w:val="00AF0BF3"/>
    <w:rsid w:val="00AF1810"/>
    <w:rsid w:val="00AF1C58"/>
    <w:rsid w:val="00AF1F10"/>
    <w:rsid w:val="00AF21BF"/>
    <w:rsid w:val="00AF3D39"/>
    <w:rsid w:val="00AF497B"/>
    <w:rsid w:val="00AF49A6"/>
    <w:rsid w:val="00AF5347"/>
    <w:rsid w:val="00AF6A4C"/>
    <w:rsid w:val="00AF6F74"/>
    <w:rsid w:val="00AF7462"/>
    <w:rsid w:val="00AF78FB"/>
    <w:rsid w:val="00AF7FA1"/>
    <w:rsid w:val="00B01922"/>
    <w:rsid w:val="00B02183"/>
    <w:rsid w:val="00B047C2"/>
    <w:rsid w:val="00B04CB1"/>
    <w:rsid w:val="00B05635"/>
    <w:rsid w:val="00B06075"/>
    <w:rsid w:val="00B069F1"/>
    <w:rsid w:val="00B06EFD"/>
    <w:rsid w:val="00B072B0"/>
    <w:rsid w:val="00B07396"/>
    <w:rsid w:val="00B07620"/>
    <w:rsid w:val="00B10341"/>
    <w:rsid w:val="00B10CE0"/>
    <w:rsid w:val="00B1314F"/>
    <w:rsid w:val="00B151CF"/>
    <w:rsid w:val="00B159D4"/>
    <w:rsid w:val="00B15C83"/>
    <w:rsid w:val="00B17C2F"/>
    <w:rsid w:val="00B17FE7"/>
    <w:rsid w:val="00B20319"/>
    <w:rsid w:val="00B20445"/>
    <w:rsid w:val="00B20989"/>
    <w:rsid w:val="00B21794"/>
    <w:rsid w:val="00B219F8"/>
    <w:rsid w:val="00B23DBC"/>
    <w:rsid w:val="00B247AD"/>
    <w:rsid w:val="00B2506F"/>
    <w:rsid w:val="00B25D05"/>
    <w:rsid w:val="00B2637A"/>
    <w:rsid w:val="00B26622"/>
    <w:rsid w:val="00B26669"/>
    <w:rsid w:val="00B268DC"/>
    <w:rsid w:val="00B26914"/>
    <w:rsid w:val="00B276B4"/>
    <w:rsid w:val="00B27795"/>
    <w:rsid w:val="00B27DC2"/>
    <w:rsid w:val="00B303F6"/>
    <w:rsid w:val="00B307B7"/>
    <w:rsid w:val="00B30941"/>
    <w:rsid w:val="00B32829"/>
    <w:rsid w:val="00B32FE2"/>
    <w:rsid w:val="00B33983"/>
    <w:rsid w:val="00B34910"/>
    <w:rsid w:val="00B35072"/>
    <w:rsid w:val="00B35E73"/>
    <w:rsid w:val="00B35EF4"/>
    <w:rsid w:val="00B36028"/>
    <w:rsid w:val="00B36032"/>
    <w:rsid w:val="00B36042"/>
    <w:rsid w:val="00B36CC9"/>
    <w:rsid w:val="00B40064"/>
    <w:rsid w:val="00B406BB"/>
    <w:rsid w:val="00B40E52"/>
    <w:rsid w:val="00B42930"/>
    <w:rsid w:val="00B44064"/>
    <w:rsid w:val="00B45B43"/>
    <w:rsid w:val="00B47297"/>
    <w:rsid w:val="00B472AD"/>
    <w:rsid w:val="00B479AB"/>
    <w:rsid w:val="00B50124"/>
    <w:rsid w:val="00B50A44"/>
    <w:rsid w:val="00B51E60"/>
    <w:rsid w:val="00B5425C"/>
    <w:rsid w:val="00B553BC"/>
    <w:rsid w:val="00B55524"/>
    <w:rsid w:val="00B556A2"/>
    <w:rsid w:val="00B575BF"/>
    <w:rsid w:val="00B607F6"/>
    <w:rsid w:val="00B61026"/>
    <w:rsid w:val="00B61064"/>
    <w:rsid w:val="00B611F0"/>
    <w:rsid w:val="00B612EA"/>
    <w:rsid w:val="00B61C66"/>
    <w:rsid w:val="00B62604"/>
    <w:rsid w:val="00B62DF2"/>
    <w:rsid w:val="00B6352A"/>
    <w:rsid w:val="00B65A68"/>
    <w:rsid w:val="00B66956"/>
    <w:rsid w:val="00B66A87"/>
    <w:rsid w:val="00B6752F"/>
    <w:rsid w:val="00B70140"/>
    <w:rsid w:val="00B712D0"/>
    <w:rsid w:val="00B73E58"/>
    <w:rsid w:val="00B757E5"/>
    <w:rsid w:val="00B759AE"/>
    <w:rsid w:val="00B75B6C"/>
    <w:rsid w:val="00B7799F"/>
    <w:rsid w:val="00B81F38"/>
    <w:rsid w:val="00B83B62"/>
    <w:rsid w:val="00B850EC"/>
    <w:rsid w:val="00B8515B"/>
    <w:rsid w:val="00B8535F"/>
    <w:rsid w:val="00B869F9"/>
    <w:rsid w:val="00B878CD"/>
    <w:rsid w:val="00B905B5"/>
    <w:rsid w:val="00B91CB1"/>
    <w:rsid w:val="00B9249B"/>
    <w:rsid w:val="00B92C69"/>
    <w:rsid w:val="00B94E37"/>
    <w:rsid w:val="00B9536C"/>
    <w:rsid w:val="00B9672E"/>
    <w:rsid w:val="00B97155"/>
    <w:rsid w:val="00BA108F"/>
    <w:rsid w:val="00BA19A0"/>
    <w:rsid w:val="00BA1C03"/>
    <w:rsid w:val="00BA1FFB"/>
    <w:rsid w:val="00BA25FD"/>
    <w:rsid w:val="00BA2B3F"/>
    <w:rsid w:val="00BA2E66"/>
    <w:rsid w:val="00BA2FF9"/>
    <w:rsid w:val="00BA3312"/>
    <w:rsid w:val="00BA34E9"/>
    <w:rsid w:val="00BA4CBC"/>
    <w:rsid w:val="00BA4E45"/>
    <w:rsid w:val="00BA59FB"/>
    <w:rsid w:val="00BA645B"/>
    <w:rsid w:val="00BA68FF"/>
    <w:rsid w:val="00BB14A3"/>
    <w:rsid w:val="00BB261A"/>
    <w:rsid w:val="00BB2DBE"/>
    <w:rsid w:val="00BB3427"/>
    <w:rsid w:val="00BB4001"/>
    <w:rsid w:val="00BB44D1"/>
    <w:rsid w:val="00BB4AD9"/>
    <w:rsid w:val="00BB502F"/>
    <w:rsid w:val="00BB558C"/>
    <w:rsid w:val="00BB5AAF"/>
    <w:rsid w:val="00BC09A3"/>
    <w:rsid w:val="00BC0A1D"/>
    <w:rsid w:val="00BC15DE"/>
    <w:rsid w:val="00BC17C8"/>
    <w:rsid w:val="00BC21FA"/>
    <w:rsid w:val="00BC2530"/>
    <w:rsid w:val="00BC25E5"/>
    <w:rsid w:val="00BC369C"/>
    <w:rsid w:val="00BC4972"/>
    <w:rsid w:val="00BC4B0F"/>
    <w:rsid w:val="00BC6269"/>
    <w:rsid w:val="00BC67C0"/>
    <w:rsid w:val="00BC6897"/>
    <w:rsid w:val="00BC6906"/>
    <w:rsid w:val="00BD1B8D"/>
    <w:rsid w:val="00BD2FCB"/>
    <w:rsid w:val="00BD33D4"/>
    <w:rsid w:val="00BD3BC7"/>
    <w:rsid w:val="00BD3DB0"/>
    <w:rsid w:val="00BD40B1"/>
    <w:rsid w:val="00BD5BD8"/>
    <w:rsid w:val="00BD6BE3"/>
    <w:rsid w:val="00BD7A9B"/>
    <w:rsid w:val="00BD7AAD"/>
    <w:rsid w:val="00BE0481"/>
    <w:rsid w:val="00BE0B4F"/>
    <w:rsid w:val="00BE2341"/>
    <w:rsid w:val="00BE3436"/>
    <w:rsid w:val="00BE47BF"/>
    <w:rsid w:val="00BE4BD7"/>
    <w:rsid w:val="00BE5374"/>
    <w:rsid w:val="00BE5B16"/>
    <w:rsid w:val="00BE627A"/>
    <w:rsid w:val="00BE6B84"/>
    <w:rsid w:val="00BE6CE8"/>
    <w:rsid w:val="00BE7E7C"/>
    <w:rsid w:val="00BF17D0"/>
    <w:rsid w:val="00BF2656"/>
    <w:rsid w:val="00BF2A5B"/>
    <w:rsid w:val="00BF2CC9"/>
    <w:rsid w:val="00BF450A"/>
    <w:rsid w:val="00BF4F0C"/>
    <w:rsid w:val="00BF682D"/>
    <w:rsid w:val="00BF6C3A"/>
    <w:rsid w:val="00BF74A1"/>
    <w:rsid w:val="00BF7C54"/>
    <w:rsid w:val="00C007F5"/>
    <w:rsid w:val="00C0162A"/>
    <w:rsid w:val="00C01D5F"/>
    <w:rsid w:val="00C030CC"/>
    <w:rsid w:val="00C0345A"/>
    <w:rsid w:val="00C03511"/>
    <w:rsid w:val="00C03B1D"/>
    <w:rsid w:val="00C04C3A"/>
    <w:rsid w:val="00C0520F"/>
    <w:rsid w:val="00C05700"/>
    <w:rsid w:val="00C062F7"/>
    <w:rsid w:val="00C068D7"/>
    <w:rsid w:val="00C074CD"/>
    <w:rsid w:val="00C07BE9"/>
    <w:rsid w:val="00C07D34"/>
    <w:rsid w:val="00C107C3"/>
    <w:rsid w:val="00C11C58"/>
    <w:rsid w:val="00C13520"/>
    <w:rsid w:val="00C13F68"/>
    <w:rsid w:val="00C14BFC"/>
    <w:rsid w:val="00C14F9B"/>
    <w:rsid w:val="00C14FAB"/>
    <w:rsid w:val="00C15DE2"/>
    <w:rsid w:val="00C15F42"/>
    <w:rsid w:val="00C1610B"/>
    <w:rsid w:val="00C1611D"/>
    <w:rsid w:val="00C16C9A"/>
    <w:rsid w:val="00C175E4"/>
    <w:rsid w:val="00C17739"/>
    <w:rsid w:val="00C200E6"/>
    <w:rsid w:val="00C22E88"/>
    <w:rsid w:val="00C22FF8"/>
    <w:rsid w:val="00C232E0"/>
    <w:rsid w:val="00C23E7E"/>
    <w:rsid w:val="00C245A5"/>
    <w:rsid w:val="00C245D7"/>
    <w:rsid w:val="00C24ADC"/>
    <w:rsid w:val="00C24B5E"/>
    <w:rsid w:val="00C24D6E"/>
    <w:rsid w:val="00C2534F"/>
    <w:rsid w:val="00C257B5"/>
    <w:rsid w:val="00C26254"/>
    <w:rsid w:val="00C26DE4"/>
    <w:rsid w:val="00C276AE"/>
    <w:rsid w:val="00C27CCA"/>
    <w:rsid w:val="00C30058"/>
    <w:rsid w:val="00C308DA"/>
    <w:rsid w:val="00C317A2"/>
    <w:rsid w:val="00C31800"/>
    <w:rsid w:val="00C32DC2"/>
    <w:rsid w:val="00C335FA"/>
    <w:rsid w:val="00C338CA"/>
    <w:rsid w:val="00C34198"/>
    <w:rsid w:val="00C343FC"/>
    <w:rsid w:val="00C3651F"/>
    <w:rsid w:val="00C36633"/>
    <w:rsid w:val="00C36BB5"/>
    <w:rsid w:val="00C36E37"/>
    <w:rsid w:val="00C36E9D"/>
    <w:rsid w:val="00C37C86"/>
    <w:rsid w:val="00C412B1"/>
    <w:rsid w:val="00C41392"/>
    <w:rsid w:val="00C41B7E"/>
    <w:rsid w:val="00C42D30"/>
    <w:rsid w:val="00C42E5B"/>
    <w:rsid w:val="00C43791"/>
    <w:rsid w:val="00C43E7A"/>
    <w:rsid w:val="00C4436C"/>
    <w:rsid w:val="00C4593D"/>
    <w:rsid w:val="00C45F74"/>
    <w:rsid w:val="00C461B2"/>
    <w:rsid w:val="00C46281"/>
    <w:rsid w:val="00C47C8E"/>
    <w:rsid w:val="00C50991"/>
    <w:rsid w:val="00C50E7F"/>
    <w:rsid w:val="00C511A7"/>
    <w:rsid w:val="00C5226E"/>
    <w:rsid w:val="00C52FD1"/>
    <w:rsid w:val="00C5359B"/>
    <w:rsid w:val="00C53AF7"/>
    <w:rsid w:val="00C545EC"/>
    <w:rsid w:val="00C54771"/>
    <w:rsid w:val="00C54A1B"/>
    <w:rsid w:val="00C554B5"/>
    <w:rsid w:val="00C55DFE"/>
    <w:rsid w:val="00C56EF2"/>
    <w:rsid w:val="00C57086"/>
    <w:rsid w:val="00C570A6"/>
    <w:rsid w:val="00C579F3"/>
    <w:rsid w:val="00C600B3"/>
    <w:rsid w:val="00C60DE1"/>
    <w:rsid w:val="00C61464"/>
    <w:rsid w:val="00C6191E"/>
    <w:rsid w:val="00C632AC"/>
    <w:rsid w:val="00C65478"/>
    <w:rsid w:val="00C67E8E"/>
    <w:rsid w:val="00C7207C"/>
    <w:rsid w:val="00C72177"/>
    <w:rsid w:val="00C72E5B"/>
    <w:rsid w:val="00C72FFA"/>
    <w:rsid w:val="00C74569"/>
    <w:rsid w:val="00C745BA"/>
    <w:rsid w:val="00C74B8C"/>
    <w:rsid w:val="00C74EC8"/>
    <w:rsid w:val="00C763AF"/>
    <w:rsid w:val="00C77296"/>
    <w:rsid w:val="00C774C9"/>
    <w:rsid w:val="00C80B76"/>
    <w:rsid w:val="00C80CA0"/>
    <w:rsid w:val="00C81947"/>
    <w:rsid w:val="00C823E5"/>
    <w:rsid w:val="00C8268F"/>
    <w:rsid w:val="00C82EF8"/>
    <w:rsid w:val="00C83138"/>
    <w:rsid w:val="00C83535"/>
    <w:rsid w:val="00C83D84"/>
    <w:rsid w:val="00C84DA5"/>
    <w:rsid w:val="00C8526A"/>
    <w:rsid w:val="00C85723"/>
    <w:rsid w:val="00C8597E"/>
    <w:rsid w:val="00C86DDB"/>
    <w:rsid w:val="00C87436"/>
    <w:rsid w:val="00C91651"/>
    <w:rsid w:val="00C917A4"/>
    <w:rsid w:val="00C91E59"/>
    <w:rsid w:val="00C922A2"/>
    <w:rsid w:val="00C931B7"/>
    <w:rsid w:val="00C94DC9"/>
    <w:rsid w:val="00C958FC"/>
    <w:rsid w:val="00C95C2E"/>
    <w:rsid w:val="00C96E9E"/>
    <w:rsid w:val="00C97CEE"/>
    <w:rsid w:val="00CA14C2"/>
    <w:rsid w:val="00CA26EA"/>
    <w:rsid w:val="00CA2FB2"/>
    <w:rsid w:val="00CA3D3A"/>
    <w:rsid w:val="00CA42D6"/>
    <w:rsid w:val="00CA49FD"/>
    <w:rsid w:val="00CA528A"/>
    <w:rsid w:val="00CA5A24"/>
    <w:rsid w:val="00CA6307"/>
    <w:rsid w:val="00CA7FC4"/>
    <w:rsid w:val="00CB08AA"/>
    <w:rsid w:val="00CB1146"/>
    <w:rsid w:val="00CB15E9"/>
    <w:rsid w:val="00CB2BD5"/>
    <w:rsid w:val="00CB3337"/>
    <w:rsid w:val="00CB3F7F"/>
    <w:rsid w:val="00CB4F27"/>
    <w:rsid w:val="00CB5BA9"/>
    <w:rsid w:val="00CB5C55"/>
    <w:rsid w:val="00CC11E8"/>
    <w:rsid w:val="00CC179F"/>
    <w:rsid w:val="00CC1D1A"/>
    <w:rsid w:val="00CC4939"/>
    <w:rsid w:val="00CC5956"/>
    <w:rsid w:val="00CC5E0E"/>
    <w:rsid w:val="00CC6260"/>
    <w:rsid w:val="00CD05B0"/>
    <w:rsid w:val="00CD06DD"/>
    <w:rsid w:val="00CD1404"/>
    <w:rsid w:val="00CD14C3"/>
    <w:rsid w:val="00CD1C37"/>
    <w:rsid w:val="00CD4CCD"/>
    <w:rsid w:val="00CD4F9E"/>
    <w:rsid w:val="00CD5290"/>
    <w:rsid w:val="00CD59AF"/>
    <w:rsid w:val="00CD5E67"/>
    <w:rsid w:val="00CD6E95"/>
    <w:rsid w:val="00CD6FFD"/>
    <w:rsid w:val="00CD7E24"/>
    <w:rsid w:val="00CE050C"/>
    <w:rsid w:val="00CE1919"/>
    <w:rsid w:val="00CE28E3"/>
    <w:rsid w:val="00CE2EA8"/>
    <w:rsid w:val="00CE2EC6"/>
    <w:rsid w:val="00CE3C77"/>
    <w:rsid w:val="00CE538E"/>
    <w:rsid w:val="00CE611B"/>
    <w:rsid w:val="00CF0D73"/>
    <w:rsid w:val="00CF1A2D"/>
    <w:rsid w:val="00CF1DD7"/>
    <w:rsid w:val="00CF1FB3"/>
    <w:rsid w:val="00CF2913"/>
    <w:rsid w:val="00CF33BB"/>
    <w:rsid w:val="00CF439F"/>
    <w:rsid w:val="00CF4E3A"/>
    <w:rsid w:val="00CF5BAC"/>
    <w:rsid w:val="00CF669C"/>
    <w:rsid w:val="00CF66E9"/>
    <w:rsid w:val="00CF7120"/>
    <w:rsid w:val="00CF724C"/>
    <w:rsid w:val="00CF72C1"/>
    <w:rsid w:val="00CF7CCF"/>
    <w:rsid w:val="00D001B4"/>
    <w:rsid w:val="00D003B7"/>
    <w:rsid w:val="00D00E36"/>
    <w:rsid w:val="00D00EB7"/>
    <w:rsid w:val="00D014D7"/>
    <w:rsid w:val="00D02F4F"/>
    <w:rsid w:val="00D03F32"/>
    <w:rsid w:val="00D0481A"/>
    <w:rsid w:val="00D04CB3"/>
    <w:rsid w:val="00D05059"/>
    <w:rsid w:val="00D052E0"/>
    <w:rsid w:val="00D104DE"/>
    <w:rsid w:val="00D10CA5"/>
    <w:rsid w:val="00D139F0"/>
    <w:rsid w:val="00D149C2"/>
    <w:rsid w:val="00D14E59"/>
    <w:rsid w:val="00D15798"/>
    <w:rsid w:val="00D17321"/>
    <w:rsid w:val="00D17E91"/>
    <w:rsid w:val="00D20031"/>
    <w:rsid w:val="00D20D87"/>
    <w:rsid w:val="00D22D83"/>
    <w:rsid w:val="00D239A7"/>
    <w:rsid w:val="00D25572"/>
    <w:rsid w:val="00D257CD"/>
    <w:rsid w:val="00D269A1"/>
    <w:rsid w:val="00D26CA9"/>
    <w:rsid w:val="00D26D01"/>
    <w:rsid w:val="00D30C2E"/>
    <w:rsid w:val="00D313B3"/>
    <w:rsid w:val="00D31C49"/>
    <w:rsid w:val="00D31D59"/>
    <w:rsid w:val="00D3292B"/>
    <w:rsid w:val="00D33F02"/>
    <w:rsid w:val="00D358F7"/>
    <w:rsid w:val="00D36376"/>
    <w:rsid w:val="00D36E67"/>
    <w:rsid w:val="00D37698"/>
    <w:rsid w:val="00D37D5E"/>
    <w:rsid w:val="00D37EF5"/>
    <w:rsid w:val="00D40CD9"/>
    <w:rsid w:val="00D40CEC"/>
    <w:rsid w:val="00D419C9"/>
    <w:rsid w:val="00D428B9"/>
    <w:rsid w:val="00D42A45"/>
    <w:rsid w:val="00D42FBA"/>
    <w:rsid w:val="00D43246"/>
    <w:rsid w:val="00D43551"/>
    <w:rsid w:val="00D43792"/>
    <w:rsid w:val="00D44172"/>
    <w:rsid w:val="00D456E1"/>
    <w:rsid w:val="00D45750"/>
    <w:rsid w:val="00D457EA"/>
    <w:rsid w:val="00D45C42"/>
    <w:rsid w:val="00D46730"/>
    <w:rsid w:val="00D4729F"/>
    <w:rsid w:val="00D501BD"/>
    <w:rsid w:val="00D52103"/>
    <w:rsid w:val="00D52375"/>
    <w:rsid w:val="00D5299C"/>
    <w:rsid w:val="00D52E54"/>
    <w:rsid w:val="00D52FF5"/>
    <w:rsid w:val="00D530C7"/>
    <w:rsid w:val="00D540A8"/>
    <w:rsid w:val="00D56DFA"/>
    <w:rsid w:val="00D571BB"/>
    <w:rsid w:val="00D60B9C"/>
    <w:rsid w:val="00D60E22"/>
    <w:rsid w:val="00D61302"/>
    <w:rsid w:val="00D617A8"/>
    <w:rsid w:val="00D61B96"/>
    <w:rsid w:val="00D62CB6"/>
    <w:rsid w:val="00D62F4D"/>
    <w:rsid w:val="00D64077"/>
    <w:rsid w:val="00D64093"/>
    <w:rsid w:val="00D64906"/>
    <w:rsid w:val="00D652D9"/>
    <w:rsid w:val="00D6646F"/>
    <w:rsid w:val="00D66771"/>
    <w:rsid w:val="00D70D2F"/>
    <w:rsid w:val="00D70DDA"/>
    <w:rsid w:val="00D7112F"/>
    <w:rsid w:val="00D71D69"/>
    <w:rsid w:val="00D72128"/>
    <w:rsid w:val="00D72693"/>
    <w:rsid w:val="00D72856"/>
    <w:rsid w:val="00D72A27"/>
    <w:rsid w:val="00D73A8A"/>
    <w:rsid w:val="00D73AD9"/>
    <w:rsid w:val="00D75D2F"/>
    <w:rsid w:val="00D76D0E"/>
    <w:rsid w:val="00D77166"/>
    <w:rsid w:val="00D77B20"/>
    <w:rsid w:val="00D80B38"/>
    <w:rsid w:val="00D80C29"/>
    <w:rsid w:val="00D8316D"/>
    <w:rsid w:val="00D83B51"/>
    <w:rsid w:val="00D84ECA"/>
    <w:rsid w:val="00D84FB4"/>
    <w:rsid w:val="00D8525E"/>
    <w:rsid w:val="00D85408"/>
    <w:rsid w:val="00D87797"/>
    <w:rsid w:val="00D9041B"/>
    <w:rsid w:val="00D909A6"/>
    <w:rsid w:val="00D90DBB"/>
    <w:rsid w:val="00D9141D"/>
    <w:rsid w:val="00D91625"/>
    <w:rsid w:val="00D91C00"/>
    <w:rsid w:val="00D925E6"/>
    <w:rsid w:val="00D927E0"/>
    <w:rsid w:val="00D937B1"/>
    <w:rsid w:val="00D946C9"/>
    <w:rsid w:val="00D94CF3"/>
    <w:rsid w:val="00D94FD4"/>
    <w:rsid w:val="00D95F13"/>
    <w:rsid w:val="00D96009"/>
    <w:rsid w:val="00D967A8"/>
    <w:rsid w:val="00DA0356"/>
    <w:rsid w:val="00DA04E0"/>
    <w:rsid w:val="00DA058E"/>
    <w:rsid w:val="00DA17E6"/>
    <w:rsid w:val="00DA1E4B"/>
    <w:rsid w:val="00DA3D01"/>
    <w:rsid w:val="00DA4863"/>
    <w:rsid w:val="00DA512C"/>
    <w:rsid w:val="00DA6765"/>
    <w:rsid w:val="00DA6A6A"/>
    <w:rsid w:val="00DA7C92"/>
    <w:rsid w:val="00DB003C"/>
    <w:rsid w:val="00DB1E91"/>
    <w:rsid w:val="00DB24F6"/>
    <w:rsid w:val="00DB3444"/>
    <w:rsid w:val="00DB3C20"/>
    <w:rsid w:val="00DB3D5A"/>
    <w:rsid w:val="00DB4061"/>
    <w:rsid w:val="00DB4410"/>
    <w:rsid w:val="00DB458B"/>
    <w:rsid w:val="00DB5117"/>
    <w:rsid w:val="00DB5869"/>
    <w:rsid w:val="00DB5996"/>
    <w:rsid w:val="00DB5DA8"/>
    <w:rsid w:val="00DB6031"/>
    <w:rsid w:val="00DB65A9"/>
    <w:rsid w:val="00DB664A"/>
    <w:rsid w:val="00DB7463"/>
    <w:rsid w:val="00DB7822"/>
    <w:rsid w:val="00DB7C60"/>
    <w:rsid w:val="00DC14AF"/>
    <w:rsid w:val="00DC1720"/>
    <w:rsid w:val="00DC2D95"/>
    <w:rsid w:val="00DC3633"/>
    <w:rsid w:val="00DC4108"/>
    <w:rsid w:val="00DC4EC7"/>
    <w:rsid w:val="00DC4F64"/>
    <w:rsid w:val="00DC50C5"/>
    <w:rsid w:val="00DC510C"/>
    <w:rsid w:val="00DC64A7"/>
    <w:rsid w:val="00DC6D2B"/>
    <w:rsid w:val="00DC797E"/>
    <w:rsid w:val="00DC7BAF"/>
    <w:rsid w:val="00DD0953"/>
    <w:rsid w:val="00DD1A95"/>
    <w:rsid w:val="00DD20AB"/>
    <w:rsid w:val="00DD2550"/>
    <w:rsid w:val="00DD2C81"/>
    <w:rsid w:val="00DD49AE"/>
    <w:rsid w:val="00DD5508"/>
    <w:rsid w:val="00DD553A"/>
    <w:rsid w:val="00DD6832"/>
    <w:rsid w:val="00DD6CBC"/>
    <w:rsid w:val="00DD7727"/>
    <w:rsid w:val="00DE0095"/>
    <w:rsid w:val="00DE152F"/>
    <w:rsid w:val="00DE1FA8"/>
    <w:rsid w:val="00DE2496"/>
    <w:rsid w:val="00DE41EA"/>
    <w:rsid w:val="00DE4263"/>
    <w:rsid w:val="00DE4396"/>
    <w:rsid w:val="00DE7099"/>
    <w:rsid w:val="00DE7720"/>
    <w:rsid w:val="00DF0FAA"/>
    <w:rsid w:val="00DF111B"/>
    <w:rsid w:val="00DF2B2D"/>
    <w:rsid w:val="00DF341B"/>
    <w:rsid w:val="00DF39E9"/>
    <w:rsid w:val="00DF3E4A"/>
    <w:rsid w:val="00DF431B"/>
    <w:rsid w:val="00DF5874"/>
    <w:rsid w:val="00DF5BFA"/>
    <w:rsid w:val="00DF6A2E"/>
    <w:rsid w:val="00DF74D9"/>
    <w:rsid w:val="00DF7DAD"/>
    <w:rsid w:val="00E035C5"/>
    <w:rsid w:val="00E0360B"/>
    <w:rsid w:val="00E03A96"/>
    <w:rsid w:val="00E03B49"/>
    <w:rsid w:val="00E03F6D"/>
    <w:rsid w:val="00E055F2"/>
    <w:rsid w:val="00E05D56"/>
    <w:rsid w:val="00E06973"/>
    <w:rsid w:val="00E06991"/>
    <w:rsid w:val="00E079B8"/>
    <w:rsid w:val="00E105A9"/>
    <w:rsid w:val="00E10787"/>
    <w:rsid w:val="00E11188"/>
    <w:rsid w:val="00E119AA"/>
    <w:rsid w:val="00E11D05"/>
    <w:rsid w:val="00E12241"/>
    <w:rsid w:val="00E123AC"/>
    <w:rsid w:val="00E126CB"/>
    <w:rsid w:val="00E13797"/>
    <w:rsid w:val="00E1388C"/>
    <w:rsid w:val="00E139B9"/>
    <w:rsid w:val="00E13CD9"/>
    <w:rsid w:val="00E13FC7"/>
    <w:rsid w:val="00E15056"/>
    <w:rsid w:val="00E15DB1"/>
    <w:rsid w:val="00E16A0F"/>
    <w:rsid w:val="00E17552"/>
    <w:rsid w:val="00E2078E"/>
    <w:rsid w:val="00E21206"/>
    <w:rsid w:val="00E21298"/>
    <w:rsid w:val="00E21B03"/>
    <w:rsid w:val="00E22445"/>
    <w:rsid w:val="00E22970"/>
    <w:rsid w:val="00E24875"/>
    <w:rsid w:val="00E24FC4"/>
    <w:rsid w:val="00E250A4"/>
    <w:rsid w:val="00E25213"/>
    <w:rsid w:val="00E260A3"/>
    <w:rsid w:val="00E26356"/>
    <w:rsid w:val="00E269A0"/>
    <w:rsid w:val="00E26D15"/>
    <w:rsid w:val="00E27ACE"/>
    <w:rsid w:val="00E27D60"/>
    <w:rsid w:val="00E27DDB"/>
    <w:rsid w:val="00E3004E"/>
    <w:rsid w:val="00E30620"/>
    <w:rsid w:val="00E315B9"/>
    <w:rsid w:val="00E31702"/>
    <w:rsid w:val="00E31B75"/>
    <w:rsid w:val="00E3214B"/>
    <w:rsid w:val="00E3242E"/>
    <w:rsid w:val="00E326AD"/>
    <w:rsid w:val="00E32AD9"/>
    <w:rsid w:val="00E32DB1"/>
    <w:rsid w:val="00E330C9"/>
    <w:rsid w:val="00E3330E"/>
    <w:rsid w:val="00E3351F"/>
    <w:rsid w:val="00E3352A"/>
    <w:rsid w:val="00E33890"/>
    <w:rsid w:val="00E33992"/>
    <w:rsid w:val="00E33B5A"/>
    <w:rsid w:val="00E34044"/>
    <w:rsid w:val="00E34913"/>
    <w:rsid w:val="00E40DAE"/>
    <w:rsid w:val="00E40F62"/>
    <w:rsid w:val="00E415AC"/>
    <w:rsid w:val="00E417F5"/>
    <w:rsid w:val="00E41AC2"/>
    <w:rsid w:val="00E42679"/>
    <w:rsid w:val="00E43249"/>
    <w:rsid w:val="00E43652"/>
    <w:rsid w:val="00E436A2"/>
    <w:rsid w:val="00E43854"/>
    <w:rsid w:val="00E43C3F"/>
    <w:rsid w:val="00E443B5"/>
    <w:rsid w:val="00E44AA8"/>
    <w:rsid w:val="00E457E0"/>
    <w:rsid w:val="00E458D8"/>
    <w:rsid w:val="00E467B8"/>
    <w:rsid w:val="00E518A7"/>
    <w:rsid w:val="00E5232E"/>
    <w:rsid w:val="00E52409"/>
    <w:rsid w:val="00E529F5"/>
    <w:rsid w:val="00E5356B"/>
    <w:rsid w:val="00E535FF"/>
    <w:rsid w:val="00E53E00"/>
    <w:rsid w:val="00E54221"/>
    <w:rsid w:val="00E55375"/>
    <w:rsid w:val="00E5650A"/>
    <w:rsid w:val="00E56902"/>
    <w:rsid w:val="00E574EC"/>
    <w:rsid w:val="00E57F9C"/>
    <w:rsid w:val="00E615F9"/>
    <w:rsid w:val="00E6193C"/>
    <w:rsid w:val="00E62131"/>
    <w:rsid w:val="00E62321"/>
    <w:rsid w:val="00E627DF"/>
    <w:rsid w:val="00E62BB4"/>
    <w:rsid w:val="00E62BC2"/>
    <w:rsid w:val="00E63CD1"/>
    <w:rsid w:val="00E63DAA"/>
    <w:rsid w:val="00E63DFB"/>
    <w:rsid w:val="00E6630C"/>
    <w:rsid w:val="00E7003D"/>
    <w:rsid w:val="00E7221D"/>
    <w:rsid w:val="00E74B8B"/>
    <w:rsid w:val="00E74D43"/>
    <w:rsid w:val="00E75C54"/>
    <w:rsid w:val="00E7615F"/>
    <w:rsid w:val="00E76AE0"/>
    <w:rsid w:val="00E81A87"/>
    <w:rsid w:val="00E83948"/>
    <w:rsid w:val="00E83CF9"/>
    <w:rsid w:val="00E840AC"/>
    <w:rsid w:val="00E85011"/>
    <w:rsid w:val="00E851D8"/>
    <w:rsid w:val="00E8554D"/>
    <w:rsid w:val="00E85806"/>
    <w:rsid w:val="00E86D02"/>
    <w:rsid w:val="00E87B75"/>
    <w:rsid w:val="00E9039A"/>
    <w:rsid w:val="00E90B0E"/>
    <w:rsid w:val="00E91EDD"/>
    <w:rsid w:val="00E92204"/>
    <w:rsid w:val="00E92974"/>
    <w:rsid w:val="00E92C21"/>
    <w:rsid w:val="00E92F98"/>
    <w:rsid w:val="00E9331D"/>
    <w:rsid w:val="00E93BB1"/>
    <w:rsid w:val="00E94C11"/>
    <w:rsid w:val="00E94EC9"/>
    <w:rsid w:val="00E95322"/>
    <w:rsid w:val="00E95490"/>
    <w:rsid w:val="00E96158"/>
    <w:rsid w:val="00E966F5"/>
    <w:rsid w:val="00E968C1"/>
    <w:rsid w:val="00E969DC"/>
    <w:rsid w:val="00E971F6"/>
    <w:rsid w:val="00E97227"/>
    <w:rsid w:val="00E97375"/>
    <w:rsid w:val="00EA0E54"/>
    <w:rsid w:val="00EA1572"/>
    <w:rsid w:val="00EA1769"/>
    <w:rsid w:val="00EA2B82"/>
    <w:rsid w:val="00EA2E00"/>
    <w:rsid w:val="00EA3383"/>
    <w:rsid w:val="00EA3671"/>
    <w:rsid w:val="00EA41E6"/>
    <w:rsid w:val="00EA4200"/>
    <w:rsid w:val="00EA56E4"/>
    <w:rsid w:val="00EA5826"/>
    <w:rsid w:val="00EA5F2D"/>
    <w:rsid w:val="00EB00C1"/>
    <w:rsid w:val="00EB06AD"/>
    <w:rsid w:val="00EB0DEA"/>
    <w:rsid w:val="00EB1F63"/>
    <w:rsid w:val="00EB20DE"/>
    <w:rsid w:val="00EB27BC"/>
    <w:rsid w:val="00EB2DA2"/>
    <w:rsid w:val="00EB3CE8"/>
    <w:rsid w:val="00EB3D77"/>
    <w:rsid w:val="00EB405E"/>
    <w:rsid w:val="00EB43E4"/>
    <w:rsid w:val="00EB52C9"/>
    <w:rsid w:val="00EB6A32"/>
    <w:rsid w:val="00EB798B"/>
    <w:rsid w:val="00EB79CB"/>
    <w:rsid w:val="00EC0029"/>
    <w:rsid w:val="00EC2A7C"/>
    <w:rsid w:val="00EC33A0"/>
    <w:rsid w:val="00EC3D78"/>
    <w:rsid w:val="00EC4012"/>
    <w:rsid w:val="00EC4836"/>
    <w:rsid w:val="00EC5088"/>
    <w:rsid w:val="00EC5E6E"/>
    <w:rsid w:val="00EC6121"/>
    <w:rsid w:val="00EC64A0"/>
    <w:rsid w:val="00EC720B"/>
    <w:rsid w:val="00ED00EE"/>
    <w:rsid w:val="00ED01DE"/>
    <w:rsid w:val="00ED0304"/>
    <w:rsid w:val="00ED0536"/>
    <w:rsid w:val="00ED077E"/>
    <w:rsid w:val="00ED18B7"/>
    <w:rsid w:val="00ED35B4"/>
    <w:rsid w:val="00ED3797"/>
    <w:rsid w:val="00ED5245"/>
    <w:rsid w:val="00ED5E38"/>
    <w:rsid w:val="00ED6190"/>
    <w:rsid w:val="00ED698D"/>
    <w:rsid w:val="00ED6A69"/>
    <w:rsid w:val="00EE0210"/>
    <w:rsid w:val="00EE046F"/>
    <w:rsid w:val="00EE04D9"/>
    <w:rsid w:val="00EE0EEB"/>
    <w:rsid w:val="00EE224E"/>
    <w:rsid w:val="00EE4490"/>
    <w:rsid w:val="00EE44AD"/>
    <w:rsid w:val="00EE4EEF"/>
    <w:rsid w:val="00EE6284"/>
    <w:rsid w:val="00EE6832"/>
    <w:rsid w:val="00EE6890"/>
    <w:rsid w:val="00EE68D5"/>
    <w:rsid w:val="00EE79BA"/>
    <w:rsid w:val="00EF1736"/>
    <w:rsid w:val="00EF1755"/>
    <w:rsid w:val="00EF272A"/>
    <w:rsid w:val="00EF29F9"/>
    <w:rsid w:val="00EF35E6"/>
    <w:rsid w:val="00EF3D58"/>
    <w:rsid w:val="00EF54CA"/>
    <w:rsid w:val="00EF5D49"/>
    <w:rsid w:val="00EF5F43"/>
    <w:rsid w:val="00EF6097"/>
    <w:rsid w:val="00EF7063"/>
    <w:rsid w:val="00EF7084"/>
    <w:rsid w:val="00F00455"/>
    <w:rsid w:val="00F012A8"/>
    <w:rsid w:val="00F012BC"/>
    <w:rsid w:val="00F01992"/>
    <w:rsid w:val="00F01CD6"/>
    <w:rsid w:val="00F026BF"/>
    <w:rsid w:val="00F02C61"/>
    <w:rsid w:val="00F02F8C"/>
    <w:rsid w:val="00F03B39"/>
    <w:rsid w:val="00F04052"/>
    <w:rsid w:val="00F04FED"/>
    <w:rsid w:val="00F05C56"/>
    <w:rsid w:val="00F06673"/>
    <w:rsid w:val="00F06961"/>
    <w:rsid w:val="00F1066F"/>
    <w:rsid w:val="00F12150"/>
    <w:rsid w:val="00F1305E"/>
    <w:rsid w:val="00F1415F"/>
    <w:rsid w:val="00F14201"/>
    <w:rsid w:val="00F14899"/>
    <w:rsid w:val="00F148BE"/>
    <w:rsid w:val="00F1508C"/>
    <w:rsid w:val="00F15240"/>
    <w:rsid w:val="00F1578E"/>
    <w:rsid w:val="00F16071"/>
    <w:rsid w:val="00F177C0"/>
    <w:rsid w:val="00F20630"/>
    <w:rsid w:val="00F20763"/>
    <w:rsid w:val="00F2087A"/>
    <w:rsid w:val="00F209A6"/>
    <w:rsid w:val="00F227C8"/>
    <w:rsid w:val="00F22D2E"/>
    <w:rsid w:val="00F22DF2"/>
    <w:rsid w:val="00F2328E"/>
    <w:rsid w:val="00F237DA"/>
    <w:rsid w:val="00F23B8A"/>
    <w:rsid w:val="00F23CB7"/>
    <w:rsid w:val="00F25131"/>
    <w:rsid w:val="00F257B5"/>
    <w:rsid w:val="00F25CD6"/>
    <w:rsid w:val="00F266B1"/>
    <w:rsid w:val="00F2720E"/>
    <w:rsid w:val="00F2776D"/>
    <w:rsid w:val="00F307DF"/>
    <w:rsid w:val="00F308B9"/>
    <w:rsid w:val="00F31075"/>
    <w:rsid w:val="00F31C70"/>
    <w:rsid w:val="00F31E69"/>
    <w:rsid w:val="00F336E2"/>
    <w:rsid w:val="00F3441A"/>
    <w:rsid w:val="00F346E6"/>
    <w:rsid w:val="00F34B35"/>
    <w:rsid w:val="00F35760"/>
    <w:rsid w:val="00F3579B"/>
    <w:rsid w:val="00F3686B"/>
    <w:rsid w:val="00F40864"/>
    <w:rsid w:val="00F422D2"/>
    <w:rsid w:val="00F43438"/>
    <w:rsid w:val="00F44895"/>
    <w:rsid w:val="00F44FAA"/>
    <w:rsid w:val="00F4584D"/>
    <w:rsid w:val="00F45EF6"/>
    <w:rsid w:val="00F460DA"/>
    <w:rsid w:val="00F460EE"/>
    <w:rsid w:val="00F47C4D"/>
    <w:rsid w:val="00F50585"/>
    <w:rsid w:val="00F50D8D"/>
    <w:rsid w:val="00F515E4"/>
    <w:rsid w:val="00F516E3"/>
    <w:rsid w:val="00F53A9B"/>
    <w:rsid w:val="00F5403D"/>
    <w:rsid w:val="00F542CD"/>
    <w:rsid w:val="00F54832"/>
    <w:rsid w:val="00F57885"/>
    <w:rsid w:val="00F57E93"/>
    <w:rsid w:val="00F61BBC"/>
    <w:rsid w:val="00F61EAE"/>
    <w:rsid w:val="00F6206F"/>
    <w:rsid w:val="00F62E34"/>
    <w:rsid w:val="00F63BD9"/>
    <w:rsid w:val="00F6480A"/>
    <w:rsid w:val="00F65E46"/>
    <w:rsid w:val="00F66144"/>
    <w:rsid w:val="00F6713F"/>
    <w:rsid w:val="00F672B3"/>
    <w:rsid w:val="00F707BD"/>
    <w:rsid w:val="00F7081D"/>
    <w:rsid w:val="00F70B89"/>
    <w:rsid w:val="00F71B76"/>
    <w:rsid w:val="00F727CC"/>
    <w:rsid w:val="00F73806"/>
    <w:rsid w:val="00F74B51"/>
    <w:rsid w:val="00F75DEF"/>
    <w:rsid w:val="00F7664B"/>
    <w:rsid w:val="00F8135E"/>
    <w:rsid w:val="00F81362"/>
    <w:rsid w:val="00F81D3A"/>
    <w:rsid w:val="00F834A8"/>
    <w:rsid w:val="00F854EE"/>
    <w:rsid w:val="00F85D83"/>
    <w:rsid w:val="00F872A1"/>
    <w:rsid w:val="00F8770D"/>
    <w:rsid w:val="00F87D41"/>
    <w:rsid w:val="00F902DD"/>
    <w:rsid w:val="00F91353"/>
    <w:rsid w:val="00F936C7"/>
    <w:rsid w:val="00F9413A"/>
    <w:rsid w:val="00F9501C"/>
    <w:rsid w:val="00F9557B"/>
    <w:rsid w:val="00F95898"/>
    <w:rsid w:val="00F960BE"/>
    <w:rsid w:val="00F9684A"/>
    <w:rsid w:val="00F97997"/>
    <w:rsid w:val="00FA0638"/>
    <w:rsid w:val="00FA0825"/>
    <w:rsid w:val="00FA08AD"/>
    <w:rsid w:val="00FA1CA7"/>
    <w:rsid w:val="00FA2F27"/>
    <w:rsid w:val="00FA4150"/>
    <w:rsid w:val="00FA4D81"/>
    <w:rsid w:val="00FA4DE9"/>
    <w:rsid w:val="00FA55EC"/>
    <w:rsid w:val="00FA5766"/>
    <w:rsid w:val="00FA5FD4"/>
    <w:rsid w:val="00FA734A"/>
    <w:rsid w:val="00FA74ED"/>
    <w:rsid w:val="00FA78B0"/>
    <w:rsid w:val="00FA7D7D"/>
    <w:rsid w:val="00FB06F9"/>
    <w:rsid w:val="00FB08C0"/>
    <w:rsid w:val="00FB3D17"/>
    <w:rsid w:val="00FB4CC0"/>
    <w:rsid w:val="00FB4EFC"/>
    <w:rsid w:val="00FB4F6B"/>
    <w:rsid w:val="00FB552F"/>
    <w:rsid w:val="00FB5E61"/>
    <w:rsid w:val="00FB620D"/>
    <w:rsid w:val="00FB6BA2"/>
    <w:rsid w:val="00FB6F67"/>
    <w:rsid w:val="00FB7693"/>
    <w:rsid w:val="00FB7C8C"/>
    <w:rsid w:val="00FB7E78"/>
    <w:rsid w:val="00FC071F"/>
    <w:rsid w:val="00FC08AB"/>
    <w:rsid w:val="00FC0AD7"/>
    <w:rsid w:val="00FC10DE"/>
    <w:rsid w:val="00FC199A"/>
    <w:rsid w:val="00FC2D5F"/>
    <w:rsid w:val="00FC4559"/>
    <w:rsid w:val="00FC4E63"/>
    <w:rsid w:val="00FC53DD"/>
    <w:rsid w:val="00FC5603"/>
    <w:rsid w:val="00FC68D3"/>
    <w:rsid w:val="00FC72E7"/>
    <w:rsid w:val="00FC7F3D"/>
    <w:rsid w:val="00FD0736"/>
    <w:rsid w:val="00FD0B28"/>
    <w:rsid w:val="00FD1419"/>
    <w:rsid w:val="00FD17BA"/>
    <w:rsid w:val="00FD2C9D"/>
    <w:rsid w:val="00FD2E73"/>
    <w:rsid w:val="00FD2EAB"/>
    <w:rsid w:val="00FD2F74"/>
    <w:rsid w:val="00FD3B94"/>
    <w:rsid w:val="00FD40DD"/>
    <w:rsid w:val="00FD43B3"/>
    <w:rsid w:val="00FD5A90"/>
    <w:rsid w:val="00FD5D34"/>
    <w:rsid w:val="00FD6295"/>
    <w:rsid w:val="00FE007E"/>
    <w:rsid w:val="00FE1008"/>
    <w:rsid w:val="00FE1118"/>
    <w:rsid w:val="00FE3BB9"/>
    <w:rsid w:val="00FE40E5"/>
    <w:rsid w:val="00FE4739"/>
    <w:rsid w:val="00FE4DB2"/>
    <w:rsid w:val="00FE53FD"/>
    <w:rsid w:val="00FE681D"/>
    <w:rsid w:val="00FE68B6"/>
    <w:rsid w:val="00FE6D12"/>
    <w:rsid w:val="00FE74AF"/>
    <w:rsid w:val="00FE74DF"/>
    <w:rsid w:val="00FE7753"/>
    <w:rsid w:val="00FE79DB"/>
    <w:rsid w:val="00FE7D58"/>
    <w:rsid w:val="00FE7E9C"/>
    <w:rsid w:val="00FF00D7"/>
    <w:rsid w:val="00FF02E7"/>
    <w:rsid w:val="00FF0DBD"/>
    <w:rsid w:val="00FF16E6"/>
    <w:rsid w:val="00FF2100"/>
    <w:rsid w:val="00FF2338"/>
    <w:rsid w:val="00FF3A07"/>
    <w:rsid w:val="00FF3A9C"/>
    <w:rsid w:val="00FF3FEA"/>
    <w:rsid w:val="00FF4773"/>
    <w:rsid w:val="00FF4C68"/>
    <w:rsid w:val="00FF5ABF"/>
    <w:rsid w:val="00FF66F0"/>
    <w:rsid w:val="00FF6CE4"/>
    <w:rsid w:val="00FF79D9"/>
    <w:rsid w:val="019709B7"/>
    <w:rsid w:val="019739BB"/>
    <w:rsid w:val="03F5D9AC"/>
    <w:rsid w:val="045E1FCF"/>
    <w:rsid w:val="0519F152"/>
    <w:rsid w:val="082D8F84"/>
    <w:rsid w:val="0B6E1DF7"/>
    <w:rsid w:val="0DA4A4EF"/>
    <w:rsid w:val="19089F3E"/>
    <w:rsid w:val="1959A25E"/>
    <w:rsid w:val="2139EDDB"/>
    <w:rsid w:val="215C9E79"/>
    <w:rsid w:val="2167B4E5"/>
    <w:rsid w:val="23C09455"/>
    <w:rsid w:val="23DE3B9D"/>
    <w:rsid w:val="29B58508"/>
    <w:rsid w:val="2DAE7AEE"/>
    <w:rsid w:val="3369FED4"/>
    <w:rsid w:val="34818823"/>
    <w:rsid w:val="3540B21F"/>
    <w:rsid w:val="37C951DD"/>
    <w:rsid w:val="3E7D6310"/>
    <w:rsid w:val="3F110389"/>
    <w:rsid w:val="4A01B2B5"/>
    <w:rsid w:val="4D22F4BC"/>
    <w:rsid w:val="4DBD9D46"/>
    <w:rsid w:val="4FEFF6A1"/>
    <w:rsid w:val="50A6EF6F"/>
    <w:rsid w:val="56036519"/>
    <w:rsid w:val="5AA9CCDA"/>
    <w:rsid w:val="5BA595D7"/>
    <w:rsid w:val="5CD04EA5"/>
    <w:rsid w:val="5E673037"/>
    <w:rsid w:val="6019C7D9"/>
    <w:rsid w:val="62E3525F"/>
    <w:rsid w:val="63814909"/>
    <w:rsid w:val="689EF67A"/>
    <w:rsid w:val="69D9D927"/>
    <w:rsid w:val="6A588AFB"/>
    <w:rsid w:val="6CAC712D"/>
    <w:rsid w:val="6DEC322C"/>
    <w:rsid w:val="6E11ABC6"/>
    <w:rsid w:val="7213DC95"/>
    <w:rsid w:val="72E92DAD"/>
    <w:rsid w:val="78603803"/>
    <w:rsid w:val="7AB4003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3A9"/>
    <w:pPr>
      <w:spacing w:before="120"/>
    </w:pPr>
    <w:rPr>
      <w:rFonts w:ascii="Franklin Gothic Book" w:hAnsi="Franklin Gothic Book"/>
    </w:rPr>
  </w:style>
  <w:style w:type="paragraph" w:styleId="Heading1">
    <w:name w:val="heading 1"/>
    <w:basedOn w:val="Normal"/>
    <w:next w:val="Normal"/>
    <w:link w:val="Heading1Char"/>
    <w:uiPriority w:val="9"/>
    <w:qFormat/>
    <w:rsid w:val="001531D6"/>
    <w:pPr>
      <w:keepNext/>
      <w:keepLines/>
      <w:numPr>
        <w:numId w:val="1"/>
      </w:numPr>
      <w:pBdr>
        <w:bottom w:val="single" w:sz="4" w:space="1" w:color="auto"/>
      </w:pBdr>
      <w:spacing w:before="600" w:after="480" w:line="240" w:lineRule="auto"/>
      <w:ind w:left="357" w:hanging="357"/>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iPriority w:val="9"/>
    <w:unhideWhenUsed/>
    <w:qFormat/>
    <w:rsid w:val="001531D6"/>
    <w:pPr>
      <w:keepNext/>
      <w:keepLines/>
      <w:numPr>
        <w:ilvl w:val="1"/>
        <w:numId w:val="1"/>
      </w:numPr>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Normal"/>
    <w:next w:val="Normal"/>
    <w:link w:val="Heading3Char"/>
    <w:uiPriority w:val="9"/>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9"/>
    <w:unhideWhenUsed/>
    <w:qFormat/>
    <w:rsid w:val="00A776A4"/>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basedOn w:val="Normal"/>
    <w:link w:val="CommentTextChar"/>
    <w:uiPriority w:val="99"/>
    <w:unhideWhenUsed/>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basedOn w:val="DefaultParagraphFont"/>
    <w:link w:val="Heading1"/>
    <w:uiPriority w:val="9"/>
    <w:rsid w:val="001531D6"/>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uiPriority w:val="9"/>
    <w:rsid w:val="001531D6"/>
    <w:rPr>
      <w:rFonts w:ascii="Franklin Gothic Medium" w:eastAsiaTheme="majorEastAsia" w:hAnsi="Franklin Gothic Medium" w:cstheme="majorBidi"/>
      <w:color w:val="000000" w:themeColor="text1"/>
      <w:sz w:val="32"/>
      <w:szCs w:val="26"/>
    </w:rPr>
  </w:style>
  <w:style w:type="character" w:customStyle="1" w:styleId="Heading3Char">
    <w:name w:val="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qFormat/>
    <w:rsid w:val="009A06F4"/>
    <w:pPr>
      <w:keepNext/>
      <w:spacing w:before="360" w:after="120" w:line="240" w:lineRule="auto"/>
    </w:pPr>
    <w:rPr>
      <w:rFonts w:ascii="Arial Narrow" w:eastAsia="Times New Roman" w:hAnsi="Arial Narrow" w:cs="Times New Roman"/>
      <w:b/>
      <w:bCs/>
      <w:sz w:val="20"/>
      <w:szCs w:val="20"/>
    </w:rPr>
  </w:style>
  <w:style w:type="table" w:customStyle="1" w:styleId="TableGrid1">
    <w:name w:val="Table Grid1"/>
    <w:basedOn w:val="TableNormal"/>
    <w:next w:val="TableGrid"/>
    <w:locked/>
    <w:rsid w:val="00CA528A"/>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9A06F4"/>
    <w:rPr>
      <w:rFonts w:ascii="Arial Narrow" w:eastAsia="Times New Roman" w:hAnsi="Arial Narrow" w:cs="Times New Roman"/>
      <w:b/>
      <w:bCs/>
      <w:sz w:val="20"/>
      <w:szCs w:val="20"/>
    </w:rPr>
  </w:style>
  <w:style w:type="table" w:styleId="TableGrid">
    <w:name w:val="Table Grid"/>
    <w:aliases w:val="Summary box,Table Gridbeth,RTI AMCP Table,new style,ASD Table,CMA Table Template,HealthConsult"/>
    <w:basedOn w:val="TableNormal"/>
    <w:uiPriority w:val="39"/>
    <w:rsid w:val="00CA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2"/>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basedOn w:val="DefaultParagraphFont"/>
    <w:link w:val="ListParagraph"/>
    <w:uiPriority w:val="34"/>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Bullet">
    <w:name w:val="Bullet"/>
    <w:basedOn w:val="Normal"/>
    <w:qFormat/>
    <w:rsid w:val="00BA59FB"/>
    <w:pPr>
      <w:numPr>
        <w:numId w:val="3"/>
      </w:numPr>
      <w:spacing w:after="120" w:line="240" w:lineRule="auto"/>
    </w:pPr>
    <w:rPr>
      <w:rFonts w:asciiTheme="minorHAnsi" w:hAnsiTheme="minorHAnsi"/>
    </w:r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9F47B5"/>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7A0969"/>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1B2CD4"/>
    <w:pPr>
      <w:spacing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1B2CD4"/>
    <w:rPr>
      <w:rFonts w:ascii="Arial Narrow" w:hAnsi="Arial Narrow" w:cs="Arial"/>
      <w:sz w:val="18"/>
    </w:rPr>
  </w:style>
  <w:style w:type="numbering" w:customStyle="1" w:styleId="ESSectionheading-numbered">
    <w:name w:val="ES. Section heading - numbered"/>
    <w:uiPriority w:val="99"/>
    <w:rsid w:val="002A4084"/>
    <w:pPr>
      <w:numPr>
        <w:numId w:val="4"/>
      </w:numPr>
    </w:pPr>
  </w:style>
  <w:style w:type="paragraph" w:customStyle="1" w:styleId="2-SectionHeading">
    <w:name w:val="2-Section Heading"/>
    <w:qFormat/>
    <w:rsid w:val="005131D3"/>
    <w:pPr>
      <w:keepNext/>
      <w:numPr>
        <w:numId w:val="5"/>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5"/>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6"/>
      </w:numPr>
      <w:spacing w:after="120" w:line="240" w:lineRule="auto"/>
      <w:ind w:left="714" w:hanging="357"/>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Franklin Gothic Book" w:hAnsi="Franklin Gothic Book"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Franklin Gothic Book" w:hAnsi="Franklin Gothic Book"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Franklin Gothic Book" w:hAnsi="Franklin Gothic Book" w:hint="default"/>
        <w:i/>
        <w:iCs/>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0">
    <w:name w:val="Table Grid 1"/>
    <w:basedOn w:val="TableNormal"/>
    <w:uiPriority w:val="99"/>
    <w:semiHidden/>
    <w:unhideWhenUsed/>
    <w:rsid w:val="007B08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iPriority w:val="99"/>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ilvl w:val="0"/>
        <w:numId w:val="7"/>
      </w:numPr>
      <w:spacing w:before="240"/>
      <w:ind w:left="2154" w:hanging="357"/>
    </w:pPr>
  </w:style>
  <w:style w:type="paragraph" w:customStyle="1" w:styleId="NormalBeforeBullet">
    <w:name w:val="Normal Before Bullet"/>
    <w:basedOn w:val="Normal"/>
    <w:qFormat/>
    <w:rsid w:val="00091C59"/>
    <w:pPr>
      <w:keepNext/>
      <w:spacing w:after="120" w:line="240" w:lineRule="auto"/>
    </w:pPr>
    <w:rPr>
      <w:rFonts w:asciiTheme="minorHAnsi" w:hAnsiTheme="minorHAnsi"/>
    </w:rPr>
  </w:style>
  <w:style w:type="paragraph" w:customStyle="1" w:styleId="Dash">
    <w:name w:val="Dash"/>
    <w:basedOn w:val="Bullet"/>
    <w:qFormat/>
    <w:rsid w:val="00091C59"/>
    <w:pPr>
      <w:numPr>
        <w:numId w:val="8"/>
      </w:numPr>
      <w:spacing w:after="40"/>
      <w:ind w:left="714" w:hanging="357"/>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9"/>
      </w:numPr>
      <w:spacing w:before="0" w:after="0"/>
      <w:ind w:left="714" w:hanging="357"/>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character" w:styleId="UnresolvedMention">
    <w:name w:val="Unresolved Mention"/>
    <w:basedOn w:val="DefaultParagraphFont"/>
    <w:uiPriority w:val="99"/>
    <w:semiHidden/>
    <w:unhideWhenUsed/>
    <w:rsid w:val="001D74D5"/>
    <w:rPr>
      <w:color w:val="605E5C"/>
      <w:shd w:val="clear" w:color="auto" w:fill="E1DFDD"/>
    </w:rPr>
  </w:style>
  <w:style w:type="paragraph" w:styleId="Bibliography">
    <w:name w:val="Bibliography"/>
    <w:basedOn w:val="Normal"/>
    <w:next w:val="Normal"/>
    <w:uiPriority w:val="37"/>
    <w:unhideWhenUsed/>
    <w:rsid w:val="00627D9C"/>
  </w:style>
  <w:style w:type="paragraph" w:customStyle="1" w:styleId="FooterTableFigure">
    <w:name w:val="Footer Table/Figure"/>
    <w:basedOn w:val="Normal"/>
    <w:link w:val="FooterTableFigureChar"/>
    <w:rsid w:val="003C7A53"/>
    <w:pPr>
      <w:spacing w:before="0" w:after="120" w:line="240" w:lineRule="auto"/>
      <w:contextualSpacing/>
      <w:jc w:val="both"/>
    </w:pPr>
    <w:rPr>
      <w:rFonts w:ascii="Arial Narrow" w:eastAsia="Times New Roman" w:hAnsi="Arial Narrow" w:cs="Arial"/>
      <w:snapToGrid w:val="0"/>
      <w:sz w:val="18"/>
      <w:lang w:eastAsia="en-AU"/>
    </w:rPr>
  </w:style>
  <w:style w:type="character" w:customStyle="1" w:styleId="FooterTableFigureChar">
    <w:name w:val="Footer Table/Figure Char"/>
    <w:link w:val="FooterTableFigure"/>
    <w:rsid w:val="003C7A53"/>
    <w:rPr>
      <w:rFonts w:ascii="Arial Narrow" w:eastAsia="Times New Roman" w:hAnsi="Arial Narrow" w:cs="Arial"/>
      <w:snapToGrid w:val="0"/>
      <w:sz w:val="18"/>
      <w:lang w:eastAsia="en-AU"/>
    </w:rPr>
  </w:style>
  <w:style w:type="table" w:customStyle="1" w:styleId="Section3-footnot1">
    <w:name w:val="Section 3- footnot1"/>
    <w:basedOn w:val="TableNormal"/>
    <w:next w:val="TableGrid"/>
    <w:uiPriority w:val="59"/>
    <w:rsid w:val="007A135E"/>
    <w:pPr>
      <w:spacing w:after="0" w:line="240" w:lineRule="auto"/>
    </w:pPr>
    <w:tblPr/>
  </w:style>
  <w:style w:type="paragraph" w:customStyle="1" w:styleId="paragraph">
    <w:name w:val="paragraph"/>
    <w:basedOn w:val="Normal"/>
    <w:rsid w:val="00FB7E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B7E78"/>
  </w:style>
  <w:style w:type="character" w:customStyle="1" w:styleId="eop">
    <w:name w:val="eop"/>
    <w:basedOn w:val="DefaultParagraphFont"/>
    <w:rsid w:val="00FB7E78"/>
  </w:style>
  <w:style w:type="character" w:styleId="Mention">
    <w:name w:val="Mention"/>
    <w:basedOn w:val="DefaultParagraphFont"/>
    <w:uiPriority w:val="99"/>
    <w:unhideWhenUsed/>
    <w:rsid w:val="00F02F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046">
      <w:bodyDiv w:val="1"/>
      <w:marLeft w:val="0"/>
      <w:marRight w:val="0"/>
      <w:marTop w:val="0"/>
      <w:marBottom w:val="0"/>
      <w:divBdr>
        <w:top w:val="none" w:sz="0" w:space="0" w:color="auto"/>
        <w:left w:val="none" w:sz="0" w:space="0" w:color="auto"/>
        <w:bottom w:val="none" w:sz="0" w:space="0" w:color="auto"/>
        <w:right w:val="none" w:sz="0" w:space="0" w:color="auto"/>
      </w:divBdr>
    </w:div>
    <w:div w:id="23139255">
      <w:bodyDiv w:val="1"/>
      <w:marLeft w:val="0"/>
      <w:marRight w:val="0"/>
      <w:marTop w:val="0"/>
      <w:marBottom w:val="0"/>
      <w:divBdr>
        <w:top w:val="none" w:sz="0" w:space="0" w:color="auto"/>
        <w:left w:val="none" w:sz="0" w:space="0" w:color="auto"/>
        <w:bottom w:val="none" w:sz="0" w:space="0" w:color="auto"/>
        <w:right w:val="none" w:sz="0" w:space="0" w:color="auto"/>
      </w:divBdr>
    </w:div>
    <w:div w:id="23792998">
      <w:bodyDiv w:val="1"/>
      <w:marLeft w:val="0"/>
      <w:marRight w:val="0"/>
      <w:marTop w:val="0"/>
      <w:marBottom w:val="0"/>
      <w:divBdr>
        <w:top w:val="none" w:sz="0" w:space="0" w:color="auto"/>
        <w:left w:val="none" w:sz="0" w:space="0" w:color="auto"/>
        <w:bottom w:val="none" w:sz="0" w:space="0" w:color="auto"/>
        <w:right w:val="none" w:sz="0" w:space="0" w:color="auto"/>
      </w:divBdr>
    </w:div>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45030160">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76900368">
      <w:bodyDiv w:val="1"/>
      <w:marLeft w:val="0"/>
      <w:marRight w:val="0"/>
      <w:marTop w:val="0"/>
      <w:marBottom w:val="0"/>
      <w:divBdr>
        <w:top w:val="none" w:sz="0" w:space="0" w:color="auto"/>
        <w:left w:val="none" w:sz="0" w:space="0" w:color="auto"/>
        <w:bottom w:val="none" w:sz="0" w:space="0" w:color="auto"/>
        <w:right w:val="none" w:sz="0" w:space="0" w:color="auto"/>
      </w:divBdr>
    </w:div>
    <w:div w:id="113599298">
      <w:bodyDiv w:val="1"/>
      <w:marLeft w:val="0"/>
      <w:marRight w:val="0"/>
      <w:marTop w:val="0"/>
      <w:marBottom w:val="0"/>
      <w:divBdr>
        <w:top w:val="none" w:sz="0" w:space="0" w:color="auto"/>
        <w:left w:val="none" w:sz="0" w:space="0" w:color="auto"/>
        <w:bottom w:val="none" w:sz="0" w:space="0" w:color="auto"/>
        <w:right w:val="none" w:sz="0" w:space="0" w:color="auto"/>
      </w:divBdr>
    </w:div>
    <w:div w:id="123085666">
      <w:bodyDiv w:val="1"/>
      <w:marLeft w:val="0"/>
      <w:marRight w:val="0"/>
      <w:marTop w:val="0"/>
      <w:marBottom w:val="0"/>
      <w:divBdr>
        <w:top w:val="none" w:sz="0" w:space="0" w:color="auto"/>
        <w:left w:val="none" w:sz="0" w:space="0" w:color="auto"/>
        <w:bottom w:val="none" w:sz="0" w:space="0" w:color="auto"/>
        <w:right w:val="none" w:sz="0" w:space="0" w:color="auto"/>
      </w:divBdr>
    </w:div>
    <w:div w:id="148130931">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195971577">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19051602">
      <w:bodyDiv w:val="1"/>
      <w:marLeft w:val="0"/>
      <w:marRight w:val="0"/>
      <w:marTop w:val="0"/>
      <w:marBottom w:val="0"/>
      <w:divBdr>
        <w:top w:val="none" w:sz="0" w:space="0" w:color="auto"/>
        <w:left w:val="none" w:sz="0" w:space="0" w:color="auto"/>
        <w:bottom w:val="none" w:sz="0" w:space="0" w:color="auto"/>
        <w:right w:val="none" w:sz="0" w:space="0" w:color="auto"/>
      </w:divBdr>
    </w:div>
    <w:div w:id="223564170">
      <w:bodyDiv w:val="1"/>
      <w:marLeft w:val="0"/>
      <w:marRight w:val="0"/>
      <w:marTop w:val="0"/>
      <w:marBottom w:val="0"/>
      <w:divBdr>
        <w:top w:val="none" w:sz="0" w:space="0" w:color="auto"/>
        <w:left w:val="none" w:sz="0" w:space="0" w:color="auto"/>
        <w:bottom w:val="none" w:sz="0" w:space="0" w:color="auto"/>
        <w:right w:val="none" w:sz="0" w:space="0" w:color="auto"/>
      </w:divBdr>
    </w:div>
    <w:div w:id="237910551">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42878184">
      <w:bodyDiv w:val="1"/>
      <w:marLeft w:val="0"/>
      <w:marRight w:val="0"/>
      <w:marTop w:val="0"/>
      <w:marBottom w:val="0"/>
      <w:divBdr>
        <w:top w:val="none" w:sz="0" w:space="0" w:color="auto"/>
        <w:left w:val="none" w:sz="0" w:space="0" w:color="auto"/>
        <w:bottom w:val="none" w:sz="0" w:space="0" w:color="auto"/>
        <w:right w:val="none" w:sz="0" w:space="0" w:color="auto"/>
      </w:divBdr>
    </w:div>
    <w:div w:id="248806592">
      <w:bodyDiv w:val="1"/>
      <w:marLeft w:val="0"/>
      <w:marRight w:val="0"/>
      <w:marTop w:val="0"/>
      <w:marBottom w:val="0"/>
      <w:divBdr>
        <w:top w:val="none" w:sz="0" w:space="0" w:color="auto"/>
        <w:left w:val="none" w:sz="0" w:space="0" w:color="auto"/>
        <w:bottom w:val="none" w:sz="0" w:space="0" w:color="auto"/>
        <w:right w:val="none" w:sz="0" w:space="0" w:color="auto"/>
      </w:divBdr>
    </w:div>
    <w:div w:id="2533633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265888390">
      <w:bodyDiv w:val="1"/>
      <w:marLeft w:val="0"/>
      <w:marRight w:val="0"/>
      <w:marTop w:val="0"/>
      <w:marBottom w:val="0"/>
      <w:divBdr>
        <w:top w:val="none" w:sz="0" w:space="0" w:color="auto"/>
        <w:left w:val="none" w:sz="0" w:space="0" w:color="auto"/>
        <w:bottom w:val="none" w:sz="0" w:space="0" w:color="auto"/>
        <w:right w:val="none" w:sz="0" w:space="0" w:color="auto"/>
      </w:divBdr>
    </w:div>
    <w:div w:id="267589914">
      <w:bodyDiv w:val="1"/>
      <w:marLeft w:val="0"/>
      <w:marRight w:val="0"/>
      <w:marTop w:val="0"/>
      <w:marBottom w:val="0"/>
      <w:divBdr>
        <w:top w:val="none" w:sz="0" w:space="0" w:color="auto"/>
        <w:left w:val="none" w:sz="0" w:space="0" w:color="auto"/>
        <w:bottom w:val="none" w:sz="0" w:space="0" w:color="auto"/>
        <w:right w:val="none" w:sz="0" w:space="0" w:color="auto"/>
      </w:divBdr>
    </w:div>
    <w:div w:id="278069582">
      <w:bodyDiv w:val="1"/>
      <w:marLeft w:val="0"/>
      <w:marRight w:val="0"/>
      <w:marTop w:val="0"/>
      <w:marBottom w:val="0"/>
      <w:divBdr>
        <w:top w:val="none" w:sz="0" w:space="0" w:color="auto"/>
        <w:left w:val="none" w:sz="0" w:space="0" w:color="auto"/>
        <w:bottom w:val="none" w:sz="0" w:space="0" w:color="auto"/>
        <w:right w:val="none" w:sz="0" w:space="0" w:color="auto"/>
      </w:divBdr>
    </w:div>
    <w:div w:id="282156084">
      <w:bodyDiv w:val="1"/>
      <w:marLeft w:val="0"/>
      <w:marRight w:val="0"/>
      <w:marTop w:val="0"/>
      <w:marBottom w:val="0"/>
      <w:divBdr>
        <w:top w:val="none" w:sz="0" w:space="0" w:color="auto"/>
        <w:left w:val="none" w:sz="0" w:space="0" w:color="auto"/>
        <w:bottom w:val="none" w:sz="0" w:space="0" w:color="auto"/>
        <w:right w:val="none" w:sz="0" w:space="0" w:color="auto"/>
      </w:divBdr>
    </w:div>
    <w:div w:id="291789908">
      <w:bodyDiv w:val="1"/>
      <w:marLeft w:val="0"/>
      <w:marRight w:val="0"/>
      <w:marTop w:val="0"/>
      <w:marBottom w:val="0"/>
      <w:divBdr>
        <w:top w:val="none" w:sz="0" w:space="0" w:color="auto"/>
        <w:left w:val="none" w:sz="0" w:space="0" w:color="auto"/>
        <w:bottom w:val="none" w:sz="0" w:space="0" w:color="auto"/>
        <w:right w:val="none" w:sz="0" w:space="0" w:color="auto"/>
      </w:divBdr>
    </w:div>
    <w:div w:id="309291224">
      <w:bodyDiv w:val="1"/>
      <w:marLeft w:val="0"/>
      <w:marRight w:val="0"/>
      <w:marTop w:val="0"/>
      <w:marBottom w:val="0"/>
      <w:divBdr>
        <w:top w:val="none" w:sz="0" w:space="0" w:color="auto"/>
        <w:left w:val="none" w:sz="0" w:space="0" w:color="auto"/>
        <w:bottom w:val="none" w:sz="0" w:space="0" w:color="auto"/>
        <w:right w:val="none" w:sz="0" w:space="0" w:color="auto"/>
      </w:divBdr>
    </w:div>
    <w:div w:id="315955794">
      <w:bodyDiv w:val="1"/>
      <w:marLeft w:val="0"/>
      <w:marRight w:val="0"/>
      <w:marTop w:val="0"/>
      <w:marBottom w:val="0"/>
      <w:divBdr>
        <w:top w:val="none" w:sz="0" w:space="0" w:color="auto"/>
        <w:left w:val="none" w:sz="0" w:space="0" w:color="auto"/>
        <w:bottom w:val="none" w:sz="0" w:space="0" w:color="auto"/>
        <w:right w:val="none" w:sz="0" w:space="0" w:color="auto"/>
      </w:divBdr>
    </w:div>
    <w:div w:id="330763348">
      <w:bodyDiv w:val="1"/>
      <w:marLeft w:val="0"/>
      <w:marRight w:val="0"/>
      <w:marTop w:val="0"/>
      <w:marBottom w:val="0"/>
      <w:divBdr>
        <w:top w:val="none" w:sz="0" w:space="0" w:color="auto"/>
        <w:left w:val="none" w:sz="0" w:space="0" w:color="auto"/>
        <w:bottom w:val="none" w:sz="0" w:space="0" w:color="auto"/>
        <w:right w:val="none" w:sz="0" w:space="0" w:color="auto"/>
      </w:divBdr>
    </w:div>
    <w:div w:id="335963332">
      <w:bodyDiv w:val="1"/>
      <w:marLeft w:val="0"/>
      <w:marRight w:val="0"/>
      <w:marTop w:val="0"/>
      <w:marBottom w:val="0"/>
      <w:divBdr>
        <w:top w:val="none" w:sz="0" w:space="0" w:color="auto"/>
        <w:left w:val="none" w:sz="0" w:space="0" w:color="auto"/>
        <w:bottom w:val="none" w:sz="0" w:space="0" w:color="auto"/>
        <w:right w:val="none" w:sz="0" w:space="0" w:color="auto"/>
      </w:divBdr>
    </w:div>
    <w:div w:id="377896583">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394547739">
      <w:bodyDiv w:val="1"/>
      <w:marLeft w:val="0"/>
      <w:marRight w:val="0"/>
      <w:marTop w:val="0"/>
      <w:marBottom w:val="0"/>
      <w:divBdr>
        <w:top w:val="none" w:sz="0" w:space="0" w:color="auto"/>
        <w:left w:val="none" w:sz="0" w:space="0" w:color="auto"/>
        <w:bottom w:val="none" w:sz="0" w:space="0" w:color="auto"/>
        <w:right w:val="none" w:sz="0" w:space="0" w:color="auto"/>
      </w:divBdr>
    </w:div>
    <w:div w:id="412288351">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0026534">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65902089">
      <w:bodyDiv w:val="1"/>
      <w:marLeft w:val="0"/>
      <w:marRight w:val="0"/>
      <w:marTop w:val="0"/>
      <w:marBottom w:val="0"/>
      <w:divBdr>
        <w:top w:val="none" w:sz="0" w:space="0" w:color="auto"/>
        <w:left w:val="none" w:sz="0" w:space="0" w:color="auto"/>
        <w:bottom w:val="none" w:sz="0" w:space="0" w:color="auto"/>
        <w:right w:val="none" w:sz="0" w:space="0" w:color="auto"/>
      </w:divBdr>
    </w:div>
    <w:div w:id="473983314">
      <w:bodyDiv w:val="1"/>
      <w:marLeft w:val="0"/>
      <w:marRight w:val="0"/>
      <w:marTop w:val="0"/>
      <w:marBottom w:val="0"/>
      <w:divBdr>
        <w:top w:val="none" w:sz="0" w:space="0" w:color="auto"/>
        <w:left w:val="none" w:sz="0" w:space="0" w:color="auto"/>
        <w:bottom w:val="none" w:sz="0" w:space="0" w:color="auto"/>
        <w:right w:val="none" w:sz="0" w:space="0" w:color="auto"/>
      </w:divBdr>
    </w:div>
    <w:div w:id="483278856">
      <w:bodyDiv w:val="1"/>
      <w:marLeft w:val="0"/>
      <w:marRight w:val="0"/>
      <w:marTop w:val="0"/>
      <w:marBottom w:val="0"/>
      <w:divBdr>
        <w:top w:val="none" w:sz="0" w:space="0" w:color="auto"/>
        <w:left w:val="none" w:sz="0" w:space="0" w:color="auto"/>
        <w:bottom w:val="none" w:sz="0" w:space="0" w:color="auto"/>
        <w:right w:val="none" w:sz="0" w:space="0" w:color="auto"/>
      </w:divBdr>
    </w:div>
    <w:div w:id="492373472">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02548609">
      <w:bodyDiv w:val="1"/>
      <w:marLeft w:val="0"/>
      <w:marRight w:val="0"/>
      <w:marTop w:val="0"/>
      <w:marBottom w:val="0"/>
      <w:divBdr>
        <w:top w:val="none" w:sz="0" w:space="0" w:color="auto"/>
        <w:left w:val="none" w:sz="0" w:space="0" w:color="auto"/>
        <w:bottom w:val="none" w:sz="0" w:space="0" w:color="auto"/>
        <w:right w:val="none" w:sz="0" w:space="0" w:color="auto"/>
      </w:divBdr>
    </w:div>
    <w:div w:id="521364144">
      <w:bodyDiv w:val="1"/>
      <w:marLeft w:val="0"/>
      <w:marRight w:val="0"/>
      <w:marTop w:val="0"/>
      <w:marBottom w:val="0"/>
      <w:divBdr>
        <w:top w:val="none" w:sz="0" w:space="0" w:color="auto"/>
        <w:left w:val="none" w:sz="0" w:space="0" w:color="auto"/>
        <w:bottom w:val="none" w:sz="0" w:space="0" w:color="auto"/>
        <w:right w:val="none" w:sz="0" w:space="0" w:color="auto"/>
      </w:divBdr>
    </w:div>
    <w:div w:id="532037712">
      <w:bodyDiv w:val="1"/>
      <w:marLeft w:val="0"/>
      <w:marRight w:val="0"/>
      <w:marTop w:val="0"/>
      <w:marBottom w:val="0"/>
      <w:divBdr>
        <w:top w:val="none" w:sz="0" w:space="0" w:color="auto"/>
        <w:left w:val="none" w:sz="0" w:space="0" w:color="auto"/>
        <w:bottom w:val="none" w:sz="0" w:space="0" w:color="auto"/>
        <w:right w:val="none" w:sz="0" w:space="0" w:color="auto"/>
      </w:divBdr>
    </w:div>
    <w:div w:id="535656792">
      <w:bodyDiv w:val="1"/>
      <w:marLeft w:val="0"/>
      <w:marRight w:val="0"/>
      <w:marTop w:val="0"/>
      <w:marBottom w:val="0"/>
      <w:divBdr>
        <w:top w:val="none" w:sz="0" w:space="0" w:color="auto"/>
        <w:left w:val="none" w:sz="0" w:space="0" w:color="auto"/>
        <w:bottom w:val="none" w:sz="0" w:space="0" w:color="auto"/>
        <w:right w:val="none" w:sz="0" w:space="0" w:color="auto"/>
      </w:divBdr>
    </w:div>
    <w:div w:id="537470985">
      <w:bodyDiv w:val="1"/>
      <w:marLeft w:val="0"/>
      <w:marRight w:val="0"/>
      <w:marTop w:val="0"/>
      <w:marBottom w:val="0"/>
      <w:divBdr>
        <w:top w:val="none" w:sz="0" w:space="0" w:color="auto"/>
        <w:left w:val="none" w:sz="0" w:space="0" w:color="auto"/>
        <w:bottom w:val="none" w:sz="0" w:space="0" w:color="auto"/>
        <w:right w:val="none" w:sz="0" w:space="0" w:color="auto"/>
      </w:divBdr>
    </w:div>
    <w:div w:id="543522690">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562254581">
      <w:bodyDiv w:val="1"/>
      <w:marLeft w:val="0"/>
      <w:marRight w:val="0"/>
      <w:marTop w:val="0"/>
      <w:marBottom w:val="0"/>
      <w:divBdr>
        <w:top w:val="none" w:sz="0" w:space="0" w:color="auto"/>
        <w:left w:val="none" w:sz="0" w:space="0" w:color="auto"/>
        <w:bottom w:val="none" w:sz="0" w:space="0" w:color="auto"/>
        <w:right w:val="none" w:sz="0" w:space="0" w:color="auto"/>
      </w:divBdr>
    </w:div>
    <w:div w:id="572205235">
      <w:bodyDiv w:val="1"/>
      <w:marLeft w:val="0"/>
      <w:marRight w:val="0"/>
      <w:marTop w:val="0"/>
      <w:marBottom w:val="0"/>
      <w:divBdr>
        <w:top w:val="none" w:sz="0" w:space="0" w:color="auto"/>
        <w:left w:val="none" w:sz="0" w:space="0" w:color="auto"/>
        <w:bottom w:val="none" w:sz="0" w:space="0" w:color="auto"/>
        <w:right w:val="none" w:sz="0" w:space="0" w:color="auto"/>
      </w:divBdr>
    </w:div>
    <w:div w:id="606935969">
      <w:bodyDiv w:val="1"/>
      <w:marLeft w:val="0"/>
      <w:marRight w:val="0"/>
      <w:marTop w:val="0"/>
      <w:marBottom w:val="0"/>
      <w:divBdr>
        <w:top w:val="none" w:sz="0" w:space="0" w:color="auto"/>
        <w:left w:val="none" w:sz="0" w:space="0" w:color="auto"/>
        <w:bottom w:val="none" w:sz="0" w:space="0" w:color="auto"/>
        <w:right w:val="none" w:sz="0" w:space="0" w:color="auto"/>
      </w:divBdr>
    </w:div>
    <w:div w:id="608124843">
      <w:bodyDiv w:val="1"/>
      <w:marLeft w:val="0"/>
      <w:marRight w:val="0"/>
      <w:marTop w:val="0"/>
      <w:marBottom w:val="0"/>
      <w:divBdr>
        <w:top w:val="none" w:sz="0" w:space="0" w:color="auto"/>
        <w:left w:val="none" w:sz="0" w:space="0" w:color="auto"/>
        <w:bottom w:val="none" w:sz="0" w:space="0" w:color="auto"/>
        <w:right w:val="none" w:sz="0" w:space="0" w:color="auto"/>
      </w:divBdr>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35337202">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659770304">
      <w:bodyDiv w:val="1"/>
      <w:marLeft w:val="0"/>
      <w:marRight w:val="0"/>
      <w:marTop w:val="0"/>
      <w:marBottom w:val="0"/>
      <w:divBdr>
        <w:top w:val="none" w:sz="0" w:space="0" w:color="auto"/>
        <w:left w:val="none" w:sz="0" w:space="0" w:color="auto"/>
        <w:bottom w:val="none" w:sz="0" w:space="0" w:color="auto"/>
        <w:right w:val="none" w:sz="0" w:space="0" w:color="auto"/>
      </w:divBdr>
    </w:div>
    <w:div w:id="670068420">
      <w:bodyDiv w:val="1"/>
      <w:marLeft w:val="0"/>
      <w:marRight w:val="0"/>
      <w:marTop w:val="0"/>
      <w:marBottom w:val="0"/>
      <w:divBdr>
        <w:top w:val="none" w:sz="0" w:space="0" w:color="auto"/>
        <w:left w:val="none" w:sz="0" w:space="0" w:color="auto"/>
        <w:bottom w:val="none" w:sz="0" w:space="0" w:color="auto"/>
        <w:right w:val="none" w:sz="0" w:space="0" w:color="auto"/>
      </w:divBdr>
    </w:div>
    <w:div w:id="673724266">
      <w:bodyDiv w:val="1"/>
      <w:marLeft w:val="0"/>
      <w:marRight w:val="0"/>
      <w:marTop w:val="0"/>
      <w:marBottom w:val="0"/>
      <w:divBdr>
        <w:top w:val="none" w:sz="0" w:space="0" w:color="auto"/>
        <w:left w:val="none" w:sz="0" w:space="0" w:color="auto"/>
        <w:bottom w:val="none" w:sz="0" w:space="0" w:color="auto"/>
        <w:right w:val="none" w:sz="0" w:space="0" w:color="auto"/>
      </w:divBdr>
    </w:div>
    <w:div w:id="687105040">
      <w:bodyDiv w:val="1"/>
      <w:marLeft w:val="0"/>
      <w:marRight w:val="0"/>
      <w:marTop w:val="0"/>
      <w:marBottom w:val="0"/>
      <w:divBdr>
        <w:top w:val="none" w:sz="0" w:space="0" w:color="auto"/>
        <w:left w:val="none" w:sz="0" w:space="0" w:color="auto"/>
        <w:bottom w:val="none" w:sz="0" w:space="0" w:color="auto"/>
        <w:right w:val="none" w:sz="0" w:space="0" w:color="auto"/>
      </w:divBdr>
    </w:div>
    <w:div w:id="689569888">
      <w:bodyDiv w:val="1"/>
      <w:marLeft w:val="0"/>
      <w:marRight w:val="0"/>
      <w:marTop w:val="0"/>
      <w:marBottom w:val="0"/>
      <w:divBdr>
        <w:top w:val="none" w:sz="0" w:space="0" w:color="auto"/>
        <w:left w:val="none" w:sz="0" w:space="0" w:color="auto"/>
        <w:bottom w:val="none" w:sz="0" w:space="0" w:color="auto"/>
        <w:right w:val="none" w:sz="0" w:space="0" w:color="auto"/>
      </w:divBdr>
    </w:div>
    <w:div w:id="696196891">
      <w:bodyDiv w:val="1"/>
      <w:marLeft w:val="0"/>
      <w:marRight w:val="0"/>
      <w:marTop w:val="0"/>
      <w:marBottom w:val="0"/>
      <w:divBdr>
        <w:top w:val="none" w:sz="0" w:space="0" w:color="auto"/>
        <w:left w:val="none" w:sz="0" w:space="0" w:color="auto"/>
        <w:bottom w:val="none" w:sz="0" w:space="0" w:color="auto"/>
        <w:right w:val="none" w:sz="0" w:space="0" w:color="auto"/>
      </w:divBdr>
    </w:div>
    <w:div w:id="700402790">
      <w:bodyDiv w:val="1"/>
      <w:marLeft w:val="0"/>
      <w:marRight w:val="0"/>
      <w:marTop w:val="0"/>
      <w:marBottom w:val="0"/>
      <w:divBdr>
        <w:top w:val="none" w:sz="0" w:space="0" w:color="auto"/>
        <w:left w:val="none" w:sz="0" w:space="0" w:color="auto"/>
        <w:bottom w:val="none" w:sz="0" w:space="0" w:color="auto"/>
        <w:right w:val="none" w:sz="0" w:space="0" w:color="auto"/>
      </w:divBdr>
    </w:div>
    <w:div w:id="701248224">
      <w:bodyDiv w:val="1"/>
      <w:marLeft w:val="0"/>
      <w:marRight w:val="0"/>
      <w:marTop w:val="0"/>
      <w:marBottom w:val="0"/>
      <w:divBdr>
        <w:top w:val="none" w:sz="0" w:space="0" w:color="auto"/>
        <w:left w:val="none" w:sz="0" w:space="0" w:color="auto"/>
        <w:bottom w:val="none" w:sz="0" w:space="0" w:color="auto"/>
        <w:right w:val="none" w:sz="0" w:space="0" w:color="auto"/>
      </w:divBdr>
    </w:div>
    <w:div w:id="708843707">
      <w:bodyDiv w:val="1"/>
      <w:marLeft w:val="0"/>
      <w:marRight w:val="0"/>
      <w:marTop w:val="0"/>
      <w:marBottom w:val="0"/>
      <w:divBdr>
        <w:top w:val="none" w:sz="0" w:space="0" w:color="auto"/>
        <w:left w:val="none" w:sz="0" w:space="0" w:color="auto"/>
        <w:bottom w:val="none" w:sz="0" w:space="0" w:color="auto"/>
        <w:right w:val="none" w:sz="0" w:space="0" w:color="auto"/>
      </w:divBdr>
    </w:div>
    <w:div w:id="711853498">
      <w:bodyDiv w:val="1"/>
      <w:marLeft w:val="0"/>
      <w:marRight w:val="0"/>
      <w:marTop w:val="0"/>
      <w:marBottom w:val="0"/>
      <w:divBdr>
        <w:top w:val="none" w:sz="0" w:space="0" w:color="auto"/>
        <w:left w:val="none" w:sz="0" w:space="0" w:color="auto"/>
        <w:bottom w:val="none" w:sz="0" w:space="0" w:color="auto"/>
        <w:right w:val="none" w:sz="0" w:space="0" w:color="auto"/>
      </w:divBdr>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23988218">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735780039">
      <w:bodyDiv w:val="1"/>
      <w:marLeft w:val="0"/>
      <w:marRight w:val="0"/>
      <w:marTop w:val="0"/>
      <w:marBottom w:val="0"/>
      <w:divBdr>
        <w:top w:val="none" w:sz="0" w:space="0" w:color="auto"/>
        <w:left w:val="none" w:sz="0" w:space="0" w:color="auto"/>
        <w:bottom w:val="none" w:sz="0" w:space="0" w:color="auto"/>
        <w:right w:val="none" w:sz="0" w:space="0" w:color="auto"/>
      </w:divBdr>
    </w:div>
    <w:div w:id="743062545">
      <w:bodyDiv w:val="1"/>
      <w:marLeft w:val="0"/>
      <w:marRight w:val="0"/>
      <w:marTop w:val="0"/>
      <w:marBottom w:val="0"/>
      <w:divBdr>
        <w:top w:val="none" w:sz="0" w:space="0" w:color="auto"/>
        <w:left w:val="none" w:sz="0" w:space="0" w:color="auto"/>
        <w:bottom w:val="none" w:sz="0" w:space="0" w:color="auto"/>
        <w:right w:val="none" w:sz="0" w:space="0" w:color="auto"/>
      </w:divBdr>
    </w:div>
    <w:div w:id="770011346">
      <w:bodyDiv w:val="1"/>
      <w:marLeft w:val="0"/>
      <w:marRight w:val="0"/>
      <w:marTop w:val="0"/>
      <w:marBottom w:val="0"/>
      <w:divBdr>
        <w:top w:val="none" w:sz="0" w:space="0" w:color="auto"/>
        <w:left w:val="none" w:sz="0" w:space="0" w:color="auto"/>
        <w:bottom w:val="none" w:sz="0" w:space="0" w:color="auto"/>
        <w:right w:val="none" w:sz="0" w:space="0" w:color="auto"/>
      </w:divBdr>
    </w:div>
    <w:div w:id="771974449">
      <w:bodyDiv w:val="1"/>
      <w:marLeft w:val="0"/>
      <w:marRight w:val="0"/>
      <w:marTop w:val="0"/>
      <w:marBottom w:val="0"/>
      <w:divBdr>
        <w:top w:val="none" w:sz="0" w:space="0" w:color="auto"/>
        <w:left w:val="none" w:sz="0" w:space="0" w:color="auto"/>
        <w:bottom w:val="none" w:sz="0" w:space="0" w:color="auto"/>
        <w:right w:val="none" w:sz="0" w:space="0" w:color="auto"/>
      </w:divBdr>
    </w:div>
    <w:div w:id="796601567">
      <w:bodyDiv w:val="1"/>
      <w:marLeft w:val="0"/>
      <w:marRight w:val="0"/>
      <w:marTop w:val="0"/>
      <w:marBottom w:val="0"/>
      <w:divBdr>
        <w:top w:val="none" w:sz="0" w:space="0" w:color="auto"/>
        <w:left w:val="none" w:sz="0" w:space="0" w:color="auto"/>
        <w:bottom w:val="none" w:sz="0" w:space="0" w:color="auto"/>
        <w:right w:val="none" w:sz="0" w:space="0" w:color="auto"/>
      </w:divBdr>
    </w:div>
    <w:div w:id="803540602">
      <w:bodyDiv w:val="1"/>
      <w:marLeft w:val="0"/>
      <w:marRight w:val="0"/>
      <w:marTop w:val="0"/>
      <w:marBottom w:val="0"/>
      <w:divBdr>
        <w:top w:val="none" w:sz="0" w:space="0" w:color="auto"/>
        <w:left w:val="none" w:sz="0" w:space="0" w:color="auto"/>
        <w:bottom w:val="none" w:sz="0" w:space="0" w:color="auto"/>
        <w:right w:val="none" w:sz="0" w:space="0" w:color="auto"/>
      </w:divBdr>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19881243">
      <w:bodyDiv w:val="1"/>
      <w:marLeft w:val="0"/>
      <w:marRight w:val="0"/>
      <w:marTop w:val="0"/>
      <w:marBottom w:val="0"/>
      <w:divBdr>
        <w:top w:val="none" w:sz="0" w:space="0" w:color="auto"/>
        <w:left w:val="none" w:sz="0" w:space="0" w:color="auto"/>
        <w:bottom w:val="none" w:sz="0" w:space="0" w:color="auto"/>
        <w:right w:val="none" w:sz="0" w:space="0" w:color="auto"/>
      </w:divBdr>
    </w:div>
    <w:div w:id="826016113">
      <w:bodyDiv w:val="1"/>
      <w:marLeft w:val="0"/>
      <w:marRight w:val="0"/>
      <w:marTop w:val="0"/>
      <w:marBottom w:val="0"/>
      <w:divBdr>
        <w:top w:val="none" w:sz="0" w:space="0" w:color="auto"/>
        <w:left w:val="none" w:sz="0" w:space="0" w:color="auto"/>
        <w:bottom w:val="none" w:sz="0" w:space="0" w:color="auto"/>
        <w:right w:val="none" w:sz="0" w:space="0" w:color="auto"/>
      </w:divBdr>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51603131">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884215839">
      <w:bodyDiv w:val="1"/>
      <w:marLeft w:val="0"/>
      <w:marRight w:val="0"/>
      <w:marTop w:val="0"/>
      <w:marBottom w:val="0"/>
      <w:divBdr>
        <w:top w:val="none" w:sz="0" w:space="0" w:color="auto"/>
        <w:left w:val="none" w:sz="0" w:space="0" w:color="auto"/>
        <w:bottom w:val="none" w:sz="0" w:space="0" w:color="auto"/>
        <w:right w:val="none" w:sz="0" w:space="0" w:color="auto"/>
      </w:divBdr>
    </w:div>
    <w:div w:id="894047398">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24649820">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67472097">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986666461">
      <w:bodyDiv w:val="1"/>
      <w:marLeft w:val="0"/>
      <w:marRight w:val="0"/>
      <w:marTop w:val="0"/>
      <w:marBottom w:val="0"/>
      <w:divBdr>
        <w:top w:val="none" w:sz="0" w:space="0" w:color="auto"/>
        <w:left w:val="none" w:sz="0" w:space="0" w:color="auto"/>
        <w:bottom w:val="none" w:sz="0" w:space="0" w:color="auto"/>
        <w:right w:val="none" w:sz="0" w:space="0" w:color="auto"/>
      </w:divBdr>
    </w:div>
    <w:div w:id="1006862297">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043553613">
      <w:bodyDiv w:val="1"/>
      <w:marLeft w:val="0"/>
      <w:marRight w:val="0"/>
      <w:marTop w:val="0"/>
      <w:marBottom w:val="0"/>
      <w:divBdr>
        <w:top w:val="none" w:sz="0" w:space="0" w:color="auto"/>
        <w:left w:val="none" w:sz="0" w:space="0" w:color="auto"/>
        <w:bottom w:val="none" w:sz="0" w:space="0" w:color="auto"/>
        <w:right w:val="none" w:sz="0" w:space="0" w:color="auto"/>
      </w:divBdr>
    </w:div>
    <w:div w:id="1054933208">
      <w:bodyDiv w:val="1"/>
      <w:marLeft w:val="0"/>
      <w:marRight w:val="0"/>
      <w:marTop w:val="0"/>
      <w:marBottom w:val="0"/>
      <w:divBdr>
        <w:top w:val="none" w:sz="0" w:space="0" w:color="auto"/>
        <w:left w:val="none" w:sz="0" w:space="0" w:color="auto"/>
        <w:bottom w:val="none" w:sz="0" w:space="0" w:color="auto"/>
        <w:right w:val="none" w:sz="0" w:space="0" w:color="auto"/>
      </w:divBdr>
    </w:div>
    <w:div w:id="1095324517">
      <w:bodyDiv w:val="1"/>
      <w:marLeft w:val="0"/>
      <w:marRight w:val="0"/>
      <w:marTop w:val="0"/>
      <w:marBottom w:val="0"/>
      <w:divBdr>
        <w:top w:val="none" w:sz="0" w:space="0" w:color="auto"/>
        <w:left w:val="none" w:sz="0" w:space="0" w:color="auto"/>
        <w:bottom w:val="none" w:sz="0" w:space="0" w:color="auto"/>
        <w:right w:val="none" w:sz="0" w:space="0" w:color="auto"/>
      </w:divBdr>
    </w:div>
    <w:div w:id="1100373402">
      <w:bodyDiv w:val="1"/>
      <w:marLeft w:val="0"/>
      <w:marRight w:val="0"/>
      <w:marTop w:val="0"/>
      <w:marBottom w:val="0"/>
      <w:divBdr>
        <w:top w:val="none" w:sz="0" w:space="0" w:color="auto"/>
        <w:left w:val="none" w:sz="0" w:space="0" w:color="auto"/>
        <w:bottom w:val="none" w:sz="0" w:space="0" w:color="auto"/>
        <w:right w:val="none" w:sz="0" w:space="0" w:color="auto"/>
      </w:divBdr>
    </w:div>
    <w:div w:id="1114249777">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23617070">
      <w:bodyDiv w:val="1"/>
      <w:marLeft w:val="0"/>
      <w:marRight w:val="0"/>
      <w:marTop w:val="0"/>
      <w:marBottom w:val="0"/>
      <w:divBdr>
        <w:top w:val="none" w:sz="0" w:space="0" w:color="auto"/>
        <w:left w:val="none" w:sz="0" w:space="0" w:color="auto"/>
        <w:bottom w:val="none" w:sz="0" w:space="0" w:color="auto"/>
        <w:right w:val="none" w:sz="0" w:space="0" w:color="auto"/>
      </w:divBdr>
    </w:div>
    <w:div w:id="1133258090">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68254944">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185098208">
      <w:bodyDiv w:val="1"/>
      <w:marLeft w:val="0"/>
      <w:marRight w:val="0"/>
      <w:marTop w:val="0"/>
      <w:marBottom w:val="0"/>
      <w:divBdr>
        <w:top w:val="none" w:sz="0" w:space="0" w:color="auto"/>
        <w:left w:val="none" w:sz="0" w:space="0" w:color="auto"/>
        <w:bottom w:val="none" w:sz="0" w:space="0" w:color="auto"/>
        <w:right w:val="none" w:sz="0" w:space="0" w:color="auto"/>
      </w:divBdr>
    </w:div>
    <w:div w:id="1190947528">
      <w:bodyDiv w:val="1"/>
      <w:marLeft w:val="0"/>
      <w:marRight w:val="0"/>
      <w:marTop w:val="0"/>
      <w:marBottom w:val="0"/>
      <w:divBdr>
        <w:top w:val="none" w:sz="0" w:space="0" w:color="auto"/>
        <w:left w:val="none" w:sz="0" w:space="0" w:color="auto"/>
        <w:bottom w:val="none" w:sz="0" w:space="0" w:color="auto"/>
        <w:right w:val="none" w:sz="0" w:space="0" w:color="auto"/>
      </w:divBdr>
    </w:div>
    <w:div w:id="1201750526">
      <w:bodyDiv w:val="1"/>
      <w:marLeft w:val="0"/>
      <w:marRight w:val="0"/>
      <w:marTop w:val="0"/>
      <w:marBottom w:val="0"/>
      <w:divBdr>
        <w:top w:val="none" w:sz="0" w:space="0" w:color="auto"/>
        <w:left w:val="none" w:sz="0" w:space="0" w:color="auto"/>
        <w:bottom w:val="none" w:sz="0" w:space="0" w:color="auto"/>
        <w:right w:val="none" w:sz="0" w:space="0" w:color="auto"/>
      </w:divBdr>
    </w:div>
    <w:div w:id="1203522677">
      <w:bodyDiv w:val="1"/>
      <w:marLeft w:val="0"/>
      <w:marRight w:val="0"/>
      <w:marTop w:val="0"/>
      <w:marBottom w:val="0"/>
      <w:divBdr>
        <w:top w:val="none" w:sz="0" w:space="0" w:color="auto"/>
        <w:left w:val="none" w:sz="0" w:space="0" w:color="auto"/>
        <w:bottom w:val="none" w:sz="0" w:space="0" w:color="auto"/>
        <w:right w:val="none" w:sz="0" w:space="0" w:color="auto"/>
      </w:divBdr>
    </w:div>
    <w:div w:id="1206411474">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36085038">
      <w:bodyDiv w:val="1"/>
      <w:marLeft w:val="0"/>
      <w:marRight w:val="0"/>
      <w:marTop w:val="0"/>
      <w:marBottom w:val="0"/>
      <w:divBdr>
        <w:top w:val="none" w:sz="0" w:space="0" w:color="auto"/>
        <w:left w:val="none" w:sz="0" w:space="0" w:color="auto"/>
        <w:bottom w:val="none" w:sz="0" w:space="0" w:color="auto"/>
        <w:right w:val="none" w:sz="0" w:space="0" w:color="auto"/>
      </w:divBdr>
    </w:div>
    <w:div w:id="1237015307">
      <w:bodyDiv w:val="1"/>
      <w:marLeft w:val="0"/>
      <w:marRight w:val="0"/>
      <w:marTop w:val="0"/>
      <w:marBottom w:val="0"/>
      <w:divBdr>
        <w:top w:val="none" w:sz="0" w:space="0" w:color="auto"/>
        <w:left w:val="none" w:sz="0" w:space="0" w:color="auto"/>
        <w:bottom w:val="none" w:sz="0" w:space="0" w:color="auto"/>
        <w:right w:val="none" w:sz="0" w:space="0" w:color="auto"/>
      </w:divBdr>
    </w:div>
    <w:div w:id="1242370424">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74897329">
      <w:bodyDiv w:val="1"/>
      <w:marLeft w:val="0"/>
      <w:marRight w:val="0"/>
      <w:marTop w:val="0"/>
      <w:marBottom w:val="0"/>
      <w:divBdr>
        <w:top w:val="none" w:sz="0" w:space="0" w:color="auto"/>
        <w:left w:val="none" w:sz="0" w:space="0" w:color="auto"/>
        <w:bottom w:val="none" w:sz="0" w:space="0" w:color="auto"/>
        <w:right w:val="none" w:sz="0" w:space="0" w:color="auto"/>
      </w:divBdr>
    </w:div>
    <w:div w:id="1275552187">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46181">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308130033">
      <w:bodyDiv w:val="1"/>
      <w:marLeft w:val="0"/>
      <w:marRight w:val="0"/>
      <w:marTop w:val="0"/>
      <w:marBottom w:val="0"/>
      <w:divBdr>
        <w:top w:val="none" w:sz="0" w:space="0" w:color="auto"/>
        <w:left w:val="none" w:sz="0" w:space="0" w:color="auto"/>
        <w:bottom w:val="none" w:sz="0" w:space="0" w:color="auto"/>
        <w:right w:val="none" w:sz="0" w:space="0" w:color="auto"/>
      </w:divBdr>
    </w:div>
    <w:div w:id="1308823077">
      <w:bodyDiv w:val="1"/>
      <w:marLeft w:val="0"/>
      <w:marRight w:val="0"/>
      <w:marTop w:val="0"/>
      <w:marBottom w:val="0"/>
      <w:divBdr>
        <w:top w:val="none" w:sz="0" w:space="0" w:color="auto"/>
        <w:left w:val="none" w:sz="0" w:space="0" w:color="auto"/>
        <w:bottom w:val="none" w:sz="0" w:space="0" w:color="auto"/>
        <w:right w:val="none" w:sz="0" w:space="0" w:color="auto"/>
      </w:divBdr>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15791618">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347438818">
      <w:bodyDiv w:val="1"/>
      <w:marLeft w:val="0"/>
      <w:marRight w:val="0"/>
      <w:marTop w:val="0"/>
      <w:marBottom w:val="0"/>
      <w:divBdr>
        <w:top w:val="none" w:sz="0" w:space="0" w:color="auto"/>
        <w:left w:val="none" w:sz="0" w:space="0" w:color="auto"/>
        <w:bottom w:val="none" w:sz="0" w:space="0" w:color="auto"/>
        <w:right w:val="none" w:sz="0" w:space="0" w:color="auto"/>
      </w:divBdr>
    </w:div>
    <w:div w:id="1354377076">
      <w:bodyDiv w:val="1"/>
      <w:marLeft w:val="0"/>
      <w:marRight w:val="0"/>
      <w:marTop w:val="0"/>
      <w:marBottom w:val="0"/>
      <w:divBdr>
        <w:top w:val="none" w:sz="0" w:space="0" w:color="auto"/>
        <w:left w:val="none" w:sz="0" w:space="0" w:color="auto"/>
        <w:bottom w:val="none" w:sz="0" w:space="0" w:color="auto"/>
        <w:right w:val="none" w:sz="0" w:space="0" w:color="auto"/>
      </w:divBdr>
    </w:div>
    <w:div w:id="1391920203">
      <w:bodyDiv w:val="1"/>
      <w:marLeft w:val="0"/>
      <w:marRight w:val="0"/>
      <w:marTop w:val="0"/>
      <w:marBottom w:val="0"/>
      <w:divBdr>
        <w:top w:val="none" w:sz="0" w:space="0" w:color="auto"/>
        <w:left w:val="none" w:sz="0" w:space="0" w:color="auto"/>
        <w:bottom w:val="none" w:sz="0" w:space="0" w:color="auto"/>
        <w:right w:val="none" w:sz="0" w:space="0" w:color="auto"/>
      </w:divBdr>
    </w:div>
    <w:div w:id="1395202004">
      <w:bodyDiv w:val="1"/>
      <w:marLeft w:val="0"/>
      <w:marRight w:val="0"/>
      <w:marTop w:val="0"/>
      <w:marBottom w:val="0"/>
      <w:divBdr>
        <w:top w:val="none" w:sz="0" w:space="0" w:color="auto"/>
        <w:left w:val="none" w:sz="0" w:space="0" w:color="auto"/>
        <w:bottom w:val="none" w:sz="0" w:space="0" w:color="auto"/>
        <w:right w:val="none" w:sz="0" w:space="0" w:color="auto"/>
      </w:divBdr>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39594292">
      <w:bodyDiv w:val="1"/>
      <w:marLeft w:val="0"/>
      <w:marRight w:val="0"/>
      <w:marTop w:val="0"/>
      <w:marBottom w:val="0"/>
      <w:divBdr>
        <w:top w:val="none" w:sz="0" w:space="0" w:color="auto"/>
        <w:left w:val="none" w:sz="0" w:space="0" w:color="auto"/>
        <w:bottom w:val="none" w:sz="0" w:space="0" w:color="auto"/>
        <w:right w:val="none" w:sz="0" w:space="0" w:color="auto"/>
      </w:divBdr>
    </w:div>
    <w:div w:id="1443693374">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54516250">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480417707">
      <w:bodyDiv w:val="1"/>
      <w:marLeft w:val="0"/>
      <w:marRight w:val="0"/>
      <w:marTop w:val="0"/>
      <w:marBottom w:val="0"/>
      <w:divBdr>
        <w:top w:val="none" w:sz="0" w:space="0" w:color="auto"/>
        <w:left w:val="none" w:sz="0" w:space="0" w:color="auto"/>
        <w:bottom w:val="none" w:sz="0" w:space="0" w:color="auto"/>
        <w:right w:val="none" w:sz="0" w:space="0" w:color="auto"/>
      </w:divBdr>
    </w:div>
    <w:div w:id="1482700059">
      <w:bodyDiv w:val="1"/>
      <w:marLeft w:val="0"/>
      <w:marRight w:val="0"/>
      <w:marTop w:val="0"/>
      <w:marBottom w:val="0"/>
      <w:divBdr>
        <w:top w:val="none" w:sz="0" w:space="0" w:color="auto"/>
        <w:left w:val="none" w:sz="0" w:space="0" w:color="auto"/>
        <w:bottom w:val="none" w:sz="0" w:space="0" w:color="auto"/>
        <w:right w:val="none" w:sz="0" w:space="0" w:color="auto"/>
      </w:divBdr>
    </w:div>
    <w:div w:id="1494445661">
      <w:bodyDiv w:val="1"/>
      <w:marLeft w:val="0"/>
      <w:marRight w:val="0"/>
      <w:marTop w:val="0"/>
      <w:marBottom w:val="0"/>
      <w:divBdr>
        <w:top w:val="none" w:sz="0" w:space="0" w:color="auto"/>
        <w:left w:val="none" w:sz="0" w:space="0" w:color="auto"/>
        <w:bottom w:val="none" w:sz="0" w:space="0" w:color="auto"/>
        <w:right w:val="none" w:sz="0" w:space="0" w:color="auto"/>
      </w:divBdr>
    </w:div>
    <w:div w:id="1501193486">
      <w:bodyDiv w:val="1"/>
      <w:marLeft w:val="0"/>
      <w:marRight w:val="0"/>
      <w:marTop w:val="0"/>
      <w:marBottom w:val="0"/>
      <w:divBdr>
        <w:top w:val="none" w:sz="0" w:space="0" w:color="auto"/>
        <w:left w:val="none" w:sz="0" w:space="0" w:color="auto"/>
        <w:bottom w:val="none" w:sz="0" w:space="0" w:color="auto"/>
        <w:right w:val="none" w:sz="0" w:space="0" w:color="auto"/>
      </w:divBdr>
    </w:div>
    <w:div w:id="1523009897">
      <w:bodyDiv w:val="1"/>
      <w:marLeft w:val="0"/>
      <w:marRight w:val="0"/>
      <w:marTop w:val="0"/>
      <w:marBottom w:val="0"/>
      <w:divBdr>
        <w:top w:val="none" w:sz="0" w:space="0" w:color="auto"/>
        <w:left w:val="none" w:sz="0" w:space="0" w:color="auto"/>
        <w:bottom w:val="none" w:sz="0" w:space="0" w:color="auto"/>
        <w:right w:val="none" w:sz="0" w:space="0" w:color="auto"/>
      </w:divBdr>
    </w:div>
    <w:div w:id="1529873652">
      <w:bodyDiv w:val="1"/>
      <w:marLeft w:val="0"/>
      <w:marRight w:val="0"/>
      <w:marTop w:val="0"/>
      <w:marBottom w:val="0"/>
      <w:divBdr>
        <w:top w:val="none" w:sz="0" w:space="0" w:color="auto"/>
        <w:left w:val="none" w:sz="0" w:space="0" w:color="auto"/>
        <w:bottom w:val="none" w:sz="0" w:space="0" w:color="auto"/>
        <w:right w:val="none" w:sz="0" w:space="0" w:color="auto"/>
      </w:divBdr>
    </w:div>
    <w:div w:id="1533572397">
      <w:bodyDiv w:val="1"/>
      <w:marLeft w:val="0"/>
      <w:marRight w:val="0"/>
      <w:marTop w:val="0"/>
      <w:marBottom w:val="0"/>
      <w:divBdr>
        <w:top w:val="none" w:sz="0" w:space="0" w:color="auto"/>
        <w:left w:val="none" w:sz="0" w:space="0" w:color="auto"/>
        <w:bottom w:val="none" w:sz="0" w:space="0" w:color="auto"/>
        <w:right w:val="none" w:sz="0" w:space="0" w:color="auto"/>
      </w:divBdr>
    </w:div>
    <w:div w:id="1549413845">
      <w:bodyDiv w:val="1"/>
      <w:marLeft w:val="0"/>
      <w:marRight w:val="0"/>
      <w:marTop w:val="0"/>
      <w:marBottom w:val="0"/>
      <w:divBdr>
        <w:top w:val="none" w:sz="0" w:space="0" w:color="auto"/>
        <w:left w:val="none" w:sz="0" w:space="0" w:color="auto"/>
        <w:bottom w:val="none" w:sz="0" w:space="0" w:color="auto"/>
        <w:right w:val="none" w:sz="0" w:space="0" w:color="auto"/>
      </w:divBdr>
    </w:div>
    <w:div w:id="1572740800">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2738075">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14677597">
      <w:bodyDiv w:val="1"/>
      <w:marLeft w:val="0"/>
      <w:marRight w:val="0"/>
      <w:marTop w:val="0"/>
      <w:marBottom w:val="0"/>
      <w:divBdr>
        <w:top w:val="none" w:sz="0" w:space="0" w:color="auto"/>
        <w:left w:val="none" w:sz="0" w:space="0" w:color="auto"/>
        <w:bottom w:val="none" w:sz="0" w:space="0" w:color="auto"/>
        <w:right w:val="none" w:sz="0" w:space="0" w:color="auto"/>
      </w:divBdr>
    </w:div>
    <w:div w:id="1619293834">
      <w:bodyDiv w:val="1"/>
      <w:marLeft w:val="0"/>
      <w:marRight w:val="0"/>
      <w:marTop w:val="0"/>
      <w:marBottom w:val="0"/>
      <w:divBdr>
        <w:top w:val="none" w:sz="0" w:space="0" w:color="auto"/>
        <w:left w:val="none" w:sz="0" w:space="0" w:color="auto"/>
        <w:bottom w:val="none" w:sz="0" w:space="0" w:color="auto"/>
        <w:right w:val="none" w:sz="0" w:space="0" w:color="auto"/>
      </w:divBdr>
    </w:div>
    <w:div w:id="1630475279">
      <w:bodyDiv w:val="1"/>
      <w:marLeft w:val="0"/>
      <w:marRight w:val="0"/>
      <w:marTop w:val="0"/>
      <w:marBottom w:val="0"/>
      <w:divBdr>
        <w:top w:val="none" w:sz="0" w:space="0" w:color="auto"/>
        <w:left w:val="none" w:sz="0" w:space="0" w:color="auto"/>
        <w:bottom w:val="none" w:sz="0" w:space="0" w:color="auto"/>
        <w:right w:val="none" w:sz="0" w:space="0" w:color="auto"/>
      </w:divBdr>
    </w:div>
    <w:div w:id="1630934383">
      <w:bodyDiv w:val="1"/>
      <w:marLeft w:val="0"/>
      <w:marRight w:val="0"/>
      <w:marTop w:val="0"/>
      <w:marBottom w:val="0"/>
      <w:divBdr>
        <w:top w:val="none" w:sz="0" w:space="0" w:color="auto"/>
        <w:left w:val="none" w:sz="0" w:space="0" w:color="auto"/>
        <w:bottom w:val="none" w:sz="0" w:space="0" w:color="auto"/>
        <w:right w:val="none" w:sz="0" w:space="0" w:color="auto"/>
      </w:divBdr>
    </w:div>
    <w:div w:id="1647512370">
      <w:bodyDiv w:val="1"/>
      <w:marLeft w:val="0"/>
      <w:marRight w:val="0"/>
      <w:marTop w:val="0"/>
      <w:marBottom w:val="0"/>
      <w:divBdr>
        <w:top w:val="none" w:sz="0" w:space="0" w:color="auto"/>
        <w:left w:val="none" w:sz="0" w:space="0" w:color="auto"/>
        <w:bottom w:val="none" w:sz="0" w:space="0" w:color="auto"/>
        <w:right w:val="none" w:sz="0" w:space="0" w:color="auto"/>
      </w:divBdr>
    </w:div>
    <w:div w:id="1648703262">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725327877">
      <w:bodyDiv w:val="1"/>
      <w:marLeft w:val="0"/>
      <w:marRight w:val="0"/>
      <w:marTop w:val="0"/>
      <w:marBottom w:val="0"/>
      <w:divBdr>
        <w:top w:val="none" w:sz="0" w:space="0" w:color="auto"/>
        <w:left w:val="none" w:sz="0" w:space="0" w:color="auto"/>
        <w:bottom w:val="none" w:sz="0" w:space="0" w:color="auto"/>
        <w:right w:val="none" w:sz="0" w:space="0" w:color="auto"/>
      </w:divBdr>
    </w:div>
    <w:div w:id="1725830580">
      <w:bodyDiv w:val="1"/>
      <w:marLeft w:val="0"/>
      <w:marRight w:val="0"/>
      <w:marTop w:val="0"/>
      <w:marBottom w:val="0"/>
      <w:divBdr>
        <w:top w:val="none" w:sz="0" w:space="0" w:color="auto"/>
        <w:left w:val="none" w:sz="0" w:space="0" w:color="auto"/>
        <w:bottom w:val="none" w:sz="0" w:space="0" w:color="auto"/>
        <w:right w:val="none" w:sz="0" w:space="0" w:color="auto"/>
      </w:divBdr>
    </w:div>
    <w:div w:id="1734886013">
      <w:bodyDiv w:val="1"/>
      <w:marLeft w:val="0"/>
      <w:marRight w:val="0"/>
      <w:marTop w:val="0"/>
      <w:marBottom w:val="0"/>
      <w:divBdr>
        <w:top w:val="none" w:sz="0" w:space="0" w:color="auto"/>
        <w:left w:val="none" w:sz="0" w:space="0" w:color="auto"/>
        <w:bottom w:val="none" w:sz="0" w:space="0" w:color="auto"/>
        <w:right w:val="none" w:sz="0" w:space="0" w:color="auto"/>
      </w:divBdr>
    </w:div>
    <w:div w:id="1782409706">
      <w:bodyDiv w:val="1"/>
      <w:marLeft w:val="0"/>
      <w:marRight w:val="0"/>
      <w:marTop w:val="0"/>
      <w:marBottom w:val="0"/>
      <w:divBdr>
        <w:top w:val="none" w:sz="0" w:space="0" w:color="auto"/>
        <w:left w:val="none" w:sz="0" w:space="0" w:color="auto"/>
        <w:bottom w:val="none" w:sz="0" w:space="0" w:color="auto"/>
        <w:right w:val="none" w:sz="0" w:space="0" w:color="auto"/>
      </w:divBdr>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791313627">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15639761">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2793472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61042212">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78155090">
      <w:bodyDiv w:val="1"/>
      <w:marLeft w:val="0"/>
      <w:marRight w:val="0"/>
      <w:marTop w:val="0"/>
      <w:marBottom w:val="0"/>
      <w:divBdr>
        <w:top w:val="none" w:sz="0" w:space="0" w:color="auto"/>
        <w:left w:val="none" w:sz="0" w:space="0" w:color="auto"/>
        <w:bottom w:val="none" w:sz="0" w:space="0" w:color="auto"/>
        <w:right w:val="none" w:sz="0" w:space="0" w:color="auto"/>
      </w:divBdr>
    </w:div>
    <w:div w:id="1882133806">
      <w:bodyDiv w:val="1"/>
      <w:marLeft w:val="0"/>
      <w:marRight w:val="0"/>
      <w:marTop w:val="0"/>
      <w:marBottom w:val="0"/>
      <w:divBdr>
        <w:top w:val="none" w:sz="0" w:space="0" w:color="auto"/>
        <w:left w:val="none" w:sz="0" w:space="0" w:color="auto"/>
        <w:bottom w:val="none" w:sz="0" w:space="0" w:color="auto"/>
        <w:right w:val="none" w:sz="0" w:space="0" w:color="auto"/>
      </w:divBdr>
    </w:div>
    <w:div w:id="1882355519">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13737943">
      <w:bodyDiv w:val="1"/>
      <w:marLeft w:val="0"/>
      <w:marRight w:val="0"/>
      <w:marTop w:val="0"/>
      <w:marBottom w:val="0"/>
      <w:divBdr>
        <w:top w:val="none" w:sz="0" w:space="0" w:color="auto"/>
        <w:left w:val="none" w:sz="0" w:space="0" w:color="auto"/>
        <w:bottom w:val="none" w:sz="0" w:space="0" w:color="auto"/>
        <w:right w:val="none" w:sz="0" w:space="0" w:color="auto"/>
      </w:divBdr>
    </w:div>
    <w:div w:id="1919946947">
      <w:bodyDiv w:val="1"/>
      <w:marLeft w:val="0"/>
      <w:marRight w:val="0"/>
      <w:marTop w:val="0"/>
      <w:marBottom w:val="0"/>
      <w:divBdr>
        <w:top w:val="none" w:sz="0" w:space="0" w:color="auto"/>
        <w:left w:val="none" w:sz="0" w:space="0" w:color="auto"/>
        <w:bottom w:val="none" w:sz="0" w:space="0" w:color="auto"/>
        <w:right w:val="none" w:sz="0" w:space="0" w:color="auto"/>
      </w:divBdr>
    </w:div>
    <w:div w:id="1956598687">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1974361311">
      <w:bodyDiv w:val="1"/>
      <w:marLeft w:val="0"/>
      <w:marRight w:val="0"/>
      <w:marTop w:val="0"/>
      <w:marBottom w:val="0"/>
      <w:divBdr>
        <w:top w:val="none" w:sz="0" w:space="0" w:color="auto"/>
        <w:left w:val="none" w:sz="0" w:space="0" w:color="auto"/>
        <w:bottom w:val="none" w:sz="0" w:space="0" w:color="auto"/>
        <w:right w:val="none" w:sz="0" w:space="0" w:color="auto"/>
      </w:divBdr>
    </w:div>
    <w:div w:id="1975527148">
      <w:bodyDiv w:val="1"/>
      <w:marLeft w:val="0"/>
      <w:marRight w:val="0"/>
      <w:marTop w:val="0"/>
      <w:marBottom w:val="0"/>
      <w:divBdr>
        <w:top w:val="none" w:sz="0" w:space="0" w:color="auto"/>
        <w:left w:val="none" w:sz="0" w:space="0" w:color="auto"/>
        <w:bottom w:val="none" w:sz="0" w:space="0" w:color="auto"/>
        <w:right w:val="none" w:sz="0" w:space="0" w:color="auto"/>
      </w:divBdr>
    </w:div>
    <w:div w:id="1976527206">
      <w:bodyDiv w:val="1"/>
      <w:marLeft w:val="0"/>
      <w:marRight w:val="0"/>
      <w:marTop w:val="0"/>
      <w:marBottom w:val="0"/>
      <w:divBdr>
        <w:top w:val="none" w:sz="0" w:space="0" w:color="auto"/>
        <w:left w:val="none" w:sz="0" w:space="0" w:color="auto"/>
        <w:bottom w:val="none" w:sz="0" w:space="0" w:color="auto"/>
        <w:right w:val="none" w:sz="0" w:space="0" w:color="auto"/>
      </w:divBdr>
    </w:div>
    <w:div w:id="1991594273">
      <w:bodyDiv w:val="1"/>
      <w:marLeft w:val="0"/>
      <w:marRight w:val="0"/>
      <w:marTop w:val="0"/>
      <w:marBottom w:val="0"/>
      <w:divBdr>
        <w:top w:val="none" w:sz="0" w:space="0" w:color="auto"/>
        <w:left w:val="none" w:sz="0" w:space="0" w:color="auto"/>
        <w:bottom w:val="none" w:sz="0" w:space="0" w:color="auto"/>
        <w:right w:val="none" w:sz="0" w:space="0" w:color="auto"/>
      </w:divBdr>
    </w:div>
    <w:div w:id="2008054401">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10475695">
      <w:bodyDiv w:val="1"/>
      <w:marLeft w:val="0"/>
      <w:marRight w:val="0"/>
      <w:marTop w:val="0"/>
      <w:marBottom w:val="0"/>
      <w:divBdr>
        <w:top w:val="none" w:sz="0" w:space="0" w:color="auto"/>
        <w:left w:val="none" w:sz="0" w:space="0" w:color="auto"/>
        <w:bottom w:val="none" w:sz="0" w:space="0" w:color="auto"/>
        <w:right w:val="none" w:sz="0" w:space="0" w:color="auto"/>
      </w:divBdr>
    </w:div>
    <w:div w:id="2015257734">
      <w:bodyDiv w:val="1"/>
      <w:marLeft w:val="0"/>
      <w:marRight w:val="0"/>
      <w:marTop w:val="0"/>
      <w:marBottom w:val="0"/>
      <w:divBdr>
        <w:top w:val="none" w:sz="0" w:space="0" w:color="auto"/>
        <w:left w:val="none" w:sz="0" w:space="0" w:color="auto"/>
        <w:bottom w:val="none" w:sz="0" w:space="0" w:color="auto"/>
        <w:right w:val="none" w:sz="0" w:space="0" w:color="auto"/>
      </w:divBdr>
    </w:div>
    <w:div w:id="2020160383">
      <w:bodyDiv w:val="1"/>
      <w:marLeft w:val="0"/>
      <w:marRight w:val="0"/>
      <w:marTop w:val="0"/>
      <w:marBottom w:val="0"/>
      <w:divBdr>
        <w:top w:val="none" w:sz="0" w:space="0" w:color="auto"/>
        <w:left w:val="none" w:sz="0" w:space="0" w:color="auto"/>
        <w:bottom w:val="none" w:sz="0" w:space="0" w:color="auto"/>
        <w:right w:val="none" w:sz="0" w:space="0" w:color="auto"/>
      </w:divBdr>
    </w:div>
    <w:div w:id="2029331034">
      <w:bodyDiv w:val="1"/>
      <w:marLeft w:val="0"/>
      <w:marRight w:val="0"/>
      <w:marTop w:val="0"/>
      <w:marBottom w:val="0"/>
      <w:divBdr>
        <w:top w:val="none" w:sz="0" w:space="0" w:color="auto"/>
        <w:left w:val="none" w:sz="0" w:space="0" w:color="auto"/>
        <w:bottom w:val="none" w:sz="0" w:space="0" w:color="auto"/>
        <w:right w:val="none" w:sz="0" w:space="0" w:color="auto"/>
      </w:divBdr>
    </w:div>
    <w:div w:id="2036076952">
      <w:bodyDiv w:val="1"/>
      <w:marLeft w:val="0"/>
      <w:marRight w:val="0"/>
      <w:marTop w:val="0"/>
      <w:marBottom w:val="0"/>
      <w:divBdr>
        <w:top w:val="none" w:sz="0" w:space="0" w:color="auto"/>
        <w:left w:val="none" w:sz="0" w:space="0" w:color="auto"/>
        <w:bottom w:val="none" w:sz="0" w:space="0" w:color="auto"/>
        <w:right w:val="none" w:sz="0" w:space="0" w:color="auto"/>
      </w:divBdr>
    </w:div>
    <w:div w:id="2046323508">
      <w:bodyDiv w:val="1"/>
      <w:marLeft w:val="0"/>
      <w:marRight w:val="0"/>
      <w:marTop w:val="0"/>
      <w:marBottom w:val="0"/>
      <w:divBdr>
        <w:top w:val="none" w:sz="0" w:space="0" w:color="auto"/>
        <w:left w:val="none" w:sz="0" w:space="0" w:color="auto"/>
        <w:bottom w:val="none" w:sz="0" w:space="0" w:color="auto"/>
        <w:right w:val="none" w:sz="0" w:space="0" w:color="auto"/>
      </w:divBdr>
    </w:div>
    <w:div w:id="2059669592">
      <w:bodyDiv w:val="1"/>
      <w:marLeft w:val="0"/>
      <w:marRight w:val="0"/>
      <w:marTop w:val="0"/>
      <w:marBottom w:val="0"/>
      <w:divBdr>
        <w:top w:val="none" w:sz="0" w:space="0" w:color="auto"/>
        <w:left w:val="none" w:sz="0" w:space="0" w:color="auto"/>
        <w:bottom w:val="none" w:sz="0" w:space="0" w:color="auto"/>
        <w:right w:val="none" w:sz="0" w:space="0" w:color="auto"/>
      </w:divBdr>
    </w:div>
    <w:div w:id="2066751923">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070224771">
      <w:bodyDiv w:val="1"/>
      <w:marLeft w:val="0"/>
      <w:marRight w:val="0"/>
      <w:marTop w:val="0"/>
      <w:marBottom w:val="0"/>
      <w:divBdr>
        <w:top w:val="none" w:sz="0" w:space="0" w:color="auto"/>
        <w:left w:val="none" w:sz="0" w:space="0" w:color="auto"/>
        <w:bottom w:val="none" w:sz="0" w:space="0" w:color="auto"/>
        <w:right w:val="none" w:sz="0" w:space="0" w:color="auto"/>
      </w:divBdr>
    </w:div>
    <w:div w:id="2078815645">
      <w:bodyDiv w:val="1"/>
      <w:marLeft w:val="0"/>
      <w:marRight w:val="0"/>
      <w:marTop w:val="0"/>
      <w:marBottom w:val="0"/>
      <w:divBdr>
        <w:top w:val="none" w:sz="0" w:space="0" w:color="auto"/>
        <w:left w:val="none" w:sz="0" w:space="0" w:color="auto"/>
        <w:bottom w:val="none" w:sz="0" w:space="0" w:color="auto"/>
        <w:right w:val="none" w:sz="0" w:space="0" w:color="auto"/>
      </w:divBdr>
    </w:div>
    <w:div w:id="2085178012">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 w:id="2139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9.health.gov.au/mbs/fullDisplay.cfm?type=item&amp;q=18360&amp;qt=item" TargetMode="External"/><Relationship Id="rId18" Type="http://schemas.openxmlformats.org/officeDocument/2006/relationships/hyperlink" Target="https://www.msac.gov.au/applications/1808" TargetMode="External"/><Relationship Id="rId26" Type="http://schemas.openxmlformats.org/officeDocument/2006/relationships/hyperlink" Target="https://www9.health.gov.au/mbs/fullDisplay.cfm?type=item&amp;q=18360" TargetMode="External"/><Relationship Id="rId21" Type="http://schemas.openxmlformats.org/officeDocument/2006/relationships/hyperlink" Target="https://www9.health.gov.au/mbs/fullDisplay.cfm?type=item&amp;q=18369&amp;qt=item&amp;criteria=xeomi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9.health.gov.au/mbs/fullDisplay.cfm?type=item&amp;q=18360&amp;qt=item" TargetMode="External"/><Relationship Id="rId17" Type="http://schemas.openxmlformats.org/officeDocument/2006/relationships/hyperlink" Target="https://www.msac.gov.au/applications/1800" TargetMode="External"/><Relationship Id="rId25" Type="http://schemas.openxmlformats.org/officeDocument/2006/relationships/hyperlink" Target="https://www9.health.gov.au/mbs/fullDisplay.cfm?type=item&amp;q=18361&amp;qt=ItemID"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sac.gov.au/applications/1379" TargetMode="External"/><Relationship Id="rId20" Type="http://schemas.openxmlformats.org/officeDocument/2006/relationships/hyperlink" Target="https://www9.health.gov.au/mbs/fullDisplay.cfm?type=item&amp;q=18365&amp;qt=item&amp;criteria=xeomin" TargetMode="External"/><Relationship Id="rId29" Type="http://schemas.openxmlformats.org/officeDocument/2006/relationships/hyperlink" Target="https://www9.health.gov.au/mbs/fullDisplay.cfm?type=item&amp;q=18360&amp;qt=i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9.health.gov.au/mbs/fullDisplay.cfm?type=item&amp;q=18360" TargetMode="External"/><Relationship Id="rId24" Type="http://schemas.openxmlformats.org/officeDocument/2006/relationships/hyperlink" Target="https://www9.health.gov.au/mbs/fullDisplay.cfm?type=item&amp;q=18354&amp;qt=item&amp;criteria=1835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9.health.gov.au/mbs/fullDisplay.cfm?type=item&amp;q=18360&amp;qt=item" TargetMode="External"/><Relationship Id="rId23" Type="http://schemas.openxmlformats.org/officeDocument/2006/relationships/hyperlink" Target="https://www9.health.gov.au/mbs/fullDisplay.cfm?type=item&amp;q=18355&amp;qt=ItemID" TargetMode="External"/><Relationship Id="rId28" Type="http://schemas.openxmlformats.org/officeDocument/2006/relationships/hyperlink" Target="https://www9.health.gov.au/mbs/fullDisplay.cfm?type=item&amp;q=18360"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9.health.gov.au/mbs/fullDisplay.cfm?type=item&amp;q=18353&amp;qt=item&amp;criteria=xeomi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9.health.gov.au/mbs/fullDisplay.cfm?type=item&amp;q=18360&amp;qt=item" TargetMode="External"/><Relationship Id="rId22" Type="http://schemas.openxmlformats.org/officeDocument/2006/relationships/hyperlink" Target="https://www9.health.gov.au/mbs/fullDisplay.cfm?type=item&amp;q=18374&amp;qt=item&amp;criteria=xeomin" TargetMode="External"/><Relationship Id="rId27" Type="http://schemas.openxmlformats.org/officeDocument/2006/relationships/hyperlink" Target="https://www9.health.gov.au/mbs/fullDisplay.cfm?type=item&amp;q=18360&amp;qt=item" TargetMode="External"/><Relationship Id="rId30" Type="http://schemas.openxmlformats.org/officeDocument/2006/relationships/hyperlink" Target="http://msac.gov.au/internet/msac/publishing.nsf/Content/Home-1"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pbs.gov.au/info/browse/biological-medicines-currently-listed-on-the-pbs" TargetMode="External"/><Relationship Id="rId2" Type="http://schemas.openxmlformats.org/officeDocument/2006/relationships/hyperlink" Target="https://www.mbsonline.gov.au/internet/mbsonline/publishing.nsf/Content/Factsheet-xeomin-injection-for-limb-spasticity" TargetMode="External"/><Relationship Id="rId1" Type="http://schemas.openxmlformats.org/officeDocument/2006/relationships/hyperlink" Target="https://www.mbsonline.gov.au/internet/mbsonline/publishing.nsf/Content/Factsheet-xeomin-injection-for-chronic-sialorrh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4" ma:contentTypeDescription="Create a new document." ma:contentTypeScope="" ma:versionID="d0803639e3b14a1b5fe5efce3e9a7be0">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124831d27a8e0cd56fbacb95874fe705"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7d54a9e-4aca-451b-99db-b94fe438e987">
      <UserInfo>
        <DisplayName/>
        <AccountId xsi:nil="true"/>
        <AccountType/>
      </UserInfo>
    </SharedWithUsers>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Fra12</b:Tag>
    <b:SourceType>JournalArticle</b:SourceType>
    <b:Guid>{DAC3816B-D822-48B1-AFB5-255087ED43B7}</b:Guid>
    <b:Title>Poststroke Spasticity Management</b:Title>
    <b:Year>2012</b:Year>
    <b:Author>
      <b:Author>
        <b:NameList>
          <b:Person>
            <b:Last>Francisco</b:Last>
            <b:First>G.E.</b:First>
            <b:Middle>and McGuire, J.R.</b:Middle>
          </b:Person>
        </b:NameList>
      </b:Author>
    </b:Author>
    <b:JournalName>Stroke</b:JournalName>
    <b:Pages>3132-3136</b:Pages>
    <b:Volume>43</b:Volume>
    <b:Issue>1</b:Issue>
    <b:DOI>https://doi.org/10.1161/STROKEAHA.111.639831</b:DOI>
    <b:RefOrder>1</b:RefOrder>
  </b:Source>
  <b:Source>
    <b:Tag>LiS20</b:Tag>
    <b:SourceType>JournalArticle</b:SourceType>
    <b:Guid>{7055250B-9CC9-4B2D-AB0E-11265A906AA9}</b:Guid>
    <b:Author>
      <b:Author>
        <b:NameList>
          <b:Person>
            <b:Last>Li</b:Last>
            <b:First>S.</b:First>
          </b:Person>
        </b:NameList>
      </b:Author>
    </b:Author>
    <b:Title>Ankle and Foot Spasticity Patterns in Chronic Stroke Survivors with Abnormal Gait</b:Title>
    <b:JournalName>Toxins</b:JournalName>
    <b:Year>2020</b:Year>
    <b:Pages>646</b:Pages>
    <b:Volume>12</b:Volume>
    <b:Issue>10</b:Issue>
    <b:DOI>https://doi.org/10.3390/toxins12100646</b:DOI>
    <b:RefOrder>2</b:RefOrder>
  </b:Source>
  <b:Source>
    <b:Tag>Wis14</b:Tag>
    <b:SourceType>JournalArticle</b:SourceType>
    <b:Guid>{D38D290E-6AE0-4D00-9E20-6F190D53C561}</b:Guid>
    <b:Title>Post‐stroke spasticity: predictors of early development and considerations for therapeutic intervention</b:Title>
    <b:Year>2014</b:Year>
    <b:Author>
      <b:Author>
        <b:NameList>
          <b:Person>
            <b:Last>Wissel</b:Last>
            <b:First>J.,</b:First>
            <b:Middle>Werrier, M., Simpson, D.M., Charles, D., Guinto, P., Papapetropoulos, S. Sunnerhagen, K.S.</b:Middle>
          </b:Person>
        </b:NameList>
      </b:Author>
    </b:Author>
    <b:JournalName>PM&amp;R</b:JournalName>
    <b:Pages>60-67</b:Pages>
    <b:Volume>7</b:Volume>
    <b:Issue>1</b:Issue>
    <b:DOI>https://doi.org/10.1016/j.pmrj.2014.08.946</b:DOI>
    <b:RefOrder>3</b:RefOrder>
  </b:Source>
  <b:Source>
    <b:Tag>Str24</b:Tag>
    <b:SourceType>InternetSite</b:SourceType>
    <b:Guid>{A329AAFF-BAFA-4F25-A7D7-9D4901E58289}</b:Guid>
    <b:Title>New report highlites number of strokes hits all-time high</b:Title>
    <b:Year>2024</b:Year>
    <b:Author>
      <b:Author>
        <b:NameList>
          <b:Person>
            <b:Last>Stroke Foundation</b:Last>
          </b:Person>
        </b:NameList>
      </b:Author>
    </b:Author>
    <b:URL>https://strokefoundation.org.au/media-centre/media-releases/2024/09/new-report-highlights-number-of-strokes-hits-all-time-high</b:URL>
    <b:RefOrder>4</b:RefOrder>
  </b:Source>
  <b:Source>
    <b:Tag>AIHW25</b:Tag>
    <b:SourceType>InternetSite</b:SourceType>
    <b:Guid>{F96B9D02-9144-4833-8A97-01083CF71F4F}</b:Guid>
    <b:Author>
      <b:Author>
        <b:NameList>
          <b:Person>
            <b:Last>AIHW</b:Last>
          </b:Person>
        </b:NameList>
      </b:Author>
    </b:Author>
    <b:Title>Heart, stroke and vascular disease: Australian facts</b:Title>
    <b:Year>2025</b:Year>
    <b:URL>https://www.aihw.gov.au/reports/heart-stroke-vascular-diseases/hsvd-facts</b:URL>
    <b:RefOrder>5</b:RefOrder>
  </b:Source>
  <b:Source>
    <b:Tag>Wis10</b:Tag>
    <b:SourceType>JournalArticle</b:SourceType>
    <b:Guid>{E6612F8C-1430-494B-AC2D-3403DCB085A1}</b:Guid>
    <b:Title>Early development of spasticity following stroke: A prospective, observational trial</b:Title>
    <b:Year>2010</b:Year>
    <b:Author>
      <b:Author>
        <b:NameList>
          <b:Person>
            <b:Last>Wissel</b:Last>
            <b:First>J.,</b:First>
            <b:Middle>Schelosky, L.D., Scott, J., Christe, W., Faiss, J.H., Mueller, J.</b:Middle>
          </b:Person>
        </b:NameList>
      </b:Author>
    </b:Author>
    <b:JournalName>Journal of Neurology</b:JournalName>
    <b:Pages>1067-1072</b:Pages>
    <b:Volume>257</b:Volume>
    <b:DOI>https://doi.org/10.1007/s00415-010-5463-1</b:DOI>
    <b:RefOrder>6</b:RefOrder>
  </b:Source>
  <b:Source>
    <b:Tag>Str26</b:Tag>
    <b:SourceType>ElectronicSource</b:SourceType>
    <b:Guid>{3C0F1198-7FCA-4BCD-B76B-5467F5552471}</b:Guid>
    <b:Title>Australian and New Zealand Living Clinical Guidelines for Stroke Managment - Chapter 6: Managing Complications</b:Title>
    <b:Author>
      <b:Author>
        <b:NameList>
          <b:Person>
            <b:Last>Stroke Foundation</b:Last>
          </b:Person>
        </b:NameList>
      </b:Author>
    </b:Author>
    <b:URL>https://app.magicapp.org/#/guideline/WE8wOn/section/ERRp1E</b:URL>
    <b:YearAccessed>2026</b:YearAccessed>
    <b:MonthAccessed>03</b:MonthAccessed>
    <b:DayAccessed>02</b:DayAccessed>
    <b:RefOrder>7</b:RefOrder>
  </b:Source>
</b:Sources>
</file>

<file path=customXml/itemProps1.xml><?xml version="1.0" encoding="utf-8"?>
<ds:datastoreItem xmlns:ds="http://schemas.openxmlformats.org/officeDocument/2006/customXml" ds:itemID="{9EACD822-BA15-4E99-A389-A1CC7595D81E}">
  <ds:schemaRefs>
    <ds:schemaRef ds:uri="http://schemas.microsoft.com/sharepoint/v3/contenttype/forms"/>
  </ds:schemaRefs>
</ds:datastoreItem>
</file>

<file path=customXml/itemProps2.xml><?xml version="1.0" encoding="utf-8"?>
<ds:datastoreItem xmlns:ds="http://schemas.openxmlformats.org/officeDocument/2006/customXml" ds:itemID="{0E8022EF-C144-484B-B5E1-5B59E8B9F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b557-581c-46d3-8cc7-77c65017dc6f"/>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3B2C0-F0F6-4CC8-8535-9439352F0A65}">
  <ds:schemaRefs>
    <ds:schemaRef ds:uri="http://schemas.microsoft.com/office/2006/metadata/properties"/>
    <ds:schemaRef ds:uri="http://schemas.microsoft.com/office/infopath/2007/PartnerControls"/>
    <ds:schemaRef ds:uri="e7d54a9e-4aca-451b-99db-b94fe438e987"/>
    <ds:schemaRef ds:uri="7513b557-581c-46d3-8cc7-77c65017dc6f"/>
  </ds:schemaRefs>
</ds:datastoreItem>
</file>

<file path=customXml/itemProps4.xml><?xml version="1.0" encoding="utf-8"?>
<ds:datastoreItem xmlns:ds="http://schemas.openxmlformats.org/officeDocument/2006/customXml" ds:itemID="{BDE3FDB4-A0CA-4A80-9FE3-DAC94F44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4132</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27632</CharactersWithSpaces>
  <SharedDoc>false</SharedDoc>
  <HyperlinkBase/>
  <HLinks>
    <vt:vector size="138" baseType="variant">
      <vt:variant>
        <vt:i4>6684716</vt:i4>
      </vt:variant>
      <vt:variant>
        <vt:i4>81</vt:i4>
      </vt:variant>
      <vt:variant>
        <vt:i4>0</vt:i4>
      </vt:variant>
      <vt:variant>
        <vt:i4>5</vt:i4>
      </vt:variant>
      <vt:variant>
        <vt:lpwstr>http://msac.gov.au/internet/msac/publishing.nsf/Content/Home-1</vt:lpwstr>
      </vt:variant>
      <vt:variant>
        <vt:lpwstr/>
      </vt:variant>
      <vt:variant>
        <vt:i4>1441872</vt:i4>
      </vt:variant>
      <vt:variant>
        <vt:i4>60</vt:i4>
      </vt:variant>
      <vt:variant>
        <vt:i4>0</vt:i4>
      </vt:variant>
      <vt:variant>
        <vt:i4>5</vt:i4>
      </vt:variant>
      <vt:variant>
        <vt:lpwstr>https://www9.health.gov.au/mbs/fullDisplay.cfm?type=item&amp;q=18360&amp;qt=item</vt:lpwstr>
      </vt:variant>
      <vt:variant>
        <vt:lpwstr/>
      </vt:variant>
      <vt:variant>
        <vt:i4>4390926</vt:i4>
      </vt:variant>
      <vt:variant>
        <vt:i4>51</vt:i4>
      </vt:variant>
      <vt:variant>
        <vt:i4>0</vt:i4>
      </vt:variant>
      <vt:variant>
        <vt:i4>5</vt:i4>
      </vt:variant>
      <vt:variant>
        <vt:lpwstr>https://www9.health.gov.au/mbs/fullDisplay.cfm?type=item&amp;q=18360</vt:lpwstr>
      </vt:variant>
      <vt:variant>
        <vt:lpwstr/>
      </vt:variant>
      <vt:variant>
        <vt:i4>1441872</vt:i4>
      </vt:variant>
      <vt:variant>
        <vt:i4>48</vt:i4>
      </vt:variant>
      <vt:variant>
        <vt:i4>0</vt:i4>
      </vt:variant>
      <vt:variant>
        <vt:i4>5</vt:i4>
      </vt:variant>
      <vt:variant>
        <vt:lpwstr>https://www9.health.gov.au/mbs/fullDisplay.cfm?type=item&amp;q=18360&amp;qt=item</vt:lpwstr>
      </vt:variant>
      <vt:variant>
        <vt:lpwstr/>
      </vt:variant>
      <vt:variant>
        <vt:i4>4390926</vt:i4>
      </vt:variant>
      <vt:variant>
        <vt:i4>45</vt:i4>
      </vt:variant>
      <vt:variant>
        <vt:i4>0</vt:i4>
      </vt:variant>
      <vt:variant>
        <vt:i4>5</vt:i4>
      </vt:variant>
      <vt:variant>
        <vt:lpwstr>https://www9.health.gov.au/mbs/fullDisplay.cfm?type=item&amp;q=18360</vt:lpwstr>
      </vt:variant>
      <vt:variant>
        <vt:lpwstr/>
      </vt:variant>
      <vt:variant>
        <vt:i4>7536697</vt:i4>
      </vt:variant>
      <vt:variant>
        <vt:i4>42</vt:i4>
      </vt:variant>
      <vt:variant>
        <vt:i4>0</vt:i4>
      </vt:variant>
      <vt:variant>
        <vt:i4>5</vt:i4>
      </vt:variant>
      <vt:variant>
        <vt:lpwstr>https://www9.health.gov.au/mbs/fullDisplay.cfm?type=item&amp;q=18361&amp;qt=ItemID</vt:lpwstr>
      </vt:variant>
      <vt:variant>
        <vt:lpwstr/>
      </vt:variant>
      <vt:variant>
        <vt:i4>2359394</vt:i4>
      </vt:variant>
      <vt:variant>
        <vt:i4>39</vt:i4>
      </vt:variant>
      <vt:variant>
        <vt:i4>0</vt:i4>
      </vt:variant>
      <vt:variant>
        <vt:i4>5</vt:i4>
      </vt:variant>
      <vt:variant>
        <vt:lpwstr>https://www9.health.gov.au/mbs/fullDisplay.cfm?type=item&amp;q=18354&amp;qt=item&amp;criteria=18354</vt:lpwstr>
      </vt:variant>
      <vt:variant>
        <vt:lpwstr/>
      </vt:variant>
      <vt:variant>
        <vt:i4>7798842</vt:i4>
      </vt:variant>
      <vt:variant>
        <vt:i4>36</vt:i4>
      </vt:variant>
      <vt:variant>
        <vt:i4>0</vt:i4>
      </vt:variant>
      <vt:variant>
        <vt:i4>5</vt:i4>
      </vt:variant>
      <vt:variant>
        <vt:lpwstr>https://www9.health.gov.au/mbs/fullDisplay.cfm?type=item&amp;q=18355&amp;qt=ItemID</vt:lpwstr>
      </vt:variant>
      <vt:variant>
        <vt:lpwstr/>
      </vt:variant>
      <vt:variant>
        <vt:i4>5177372</vt:i4>
      </vt:variant>
      <vt:variant>
        <vt:i4>33</vt:i4>
      </vt:variant>
      <vt:variant>
        <vt:i4>0</vt:i4>
      </vt:variant>
      <vt:variant>
        <vt:i4>5</vt:i4>
      </vt:variant>
      <vt:variant>
        <vt:lpwstr>https://www9.health.gov.au/mbs/fullDisplay.cfm?type=item&amp;q=18374&amp;qt=item&amp;criteria=xeomin</vt:lpwstr>
      </vt:variant>
      <vt:variant>
        <vt:lpwstr/>
      </vt:variant>
      <vt:variant>
        <vt:i4>4325405</vt:i4>
      </vt:variant>
      <vt:variant>
        <vt:i4>30</vt:i4>
      </vt:variant>
      <vt:variant>
        <vt:i4>0</vt:i4>
      </vt:variant>
      <vt:variant>
        <vt:i4>5</vt:i4>
      </vt:variant>
      <vt:variant>
        <vt:lpwstr>https://www9.health.gov.au/mbs/fullDisplay.cfm?type=item&amp;q=18369&amp;qt=item&amp;criteria=xeomin</vt:lpwstr>
      </vt:variant>
      <vt:variant>
        <vt:lpwstr/>
      </vt:variant>
      <vt:variant>
        <vt:i4>5111837</vt:i4>
      </vt:variant>
      <vt:variant>
        <vt:i4>27</vt:i4>
      </vt:variant>
      <vt:variant>
        <vt:i4>0</vt:i4>
      </vt:variant>
      <vt:variant>
        <vt:i4>5</vt:i4>
      </vt:variant>
      <vt:variant>
        <vt:lpwstr>https://www9.health.gov.au/mbs/fullDisplay.cfm?type=item&amp;q=18365&amp;qt=item&amp;criteria=xeomin</vt:lpwstr>
      </vt:variant>
      <vt:variant>
        <vt:lpwstr/>
      </vt:variant>
      <vt:variant>
        <vt:i4>4718622</vt:i4>
      </vt:variant>
      <vt:variant>
        <vt:i4>24</vt:i4>
      </vt:variant>
      <vt:variant>
        <vt:i4>0</vt:i4>
      </vt:variant>
      <vt:variant>
        <vt:i4>5</vt:i4>
      </vt:variant>
      <vt:variant>
        <vt:lpwstr>https://www9.health.gov.au/mbs/fullDisplay.cfm?type=item&amp;q=18353&amp;qt=item&amp;criteria=xeomin</vt:lpwstr>
      </vt:variant>
      <vt:variant>
        <vt:lpwstr/>
      </vt:variant>
      <vt:variant>
        <vt:i4>1114207</vt:i4>
      </vt:variant>
      <vt:variant>
        <vt:i4>21</vt:i4>
      </vt:variant>
      <vt:variant>
        <vt:i4>0</vt:i4>
      </vt:variant>
      <vt:variant>
        <vt:i4>5</vt:i4>
      </vt:variant>
      <vt:variant>
        <vt:lpwstr>https://www.msac.gov.au/applications/1808</vt:lpwstr>
      </vt:variant>
      <vt:variant>
        <vt:lpwstr/>
      </vt:variant>
      <vt:variant>
        <vt:i4>1114207</vt:i4>
      </vt:variant>
      <vt:variant>
        <vt:i4>18</vt:i4>
      </vt:variant>
      <vt:variant>
        <vt:i4>0</vt:i4>
      </vt:variant>
      <vt:variant>
        <vt:i4>5</vt:i4>
      </vt:variant>
      <vt:variant>
        <vt:lpwstr>https://www.msac.gov.au/applications/1800</vt:lpwstr>
      </vt:variant>
      <vt:variant>
        <vt:lpwstr/>
      </vt:variant>
      <vt:variant>
        <vt:i4>1441876</vt:i4>
      </vt:variant>
      <vt:variant>
        <vt:i4>15</vt:i4>
      </vt:variant>
      <vt:variant>
        <vt:i4>0</vt:i4>
      </vt:variant>
      <vt:variant>
        <vt:i4>5</vt:i4>
      </vt:variant>
      <vt:variant>
        <vt:lpwstr>https://www.msac.gov.au/applications/1379</vt:lpwstr>
      </vt:variant>
      <vt:variant>
        <vt:lpwstr/>
      </vt:variant>
      <vt:variant>
        <vt:i4>1441872</vt:i4>
      </vt:variant>
      <vt:variant>
        <vt:i4>12</vt:i4>
      </vt:variant>
      <vt:variant>
        <vt:i4>0</vt:i4>
      </vt:variant>
      <vt:variant>
        <vt:i4>5</vt:i4>
      </vt:variant>
      <vt:variant>
        <vt:lpwstr>https://www9.health.gov.au/mbs/fullDisplay.cfm?type=item&amp;q=18360&amp;qt=item</vt:lpwstr>
      </vt:variant>
      <vt:variant>
        <vt:lpwstr/>
      </vt:variant>
      <vt:variant>
        <vt:i4>1441872</vt:i4>
      </vt:variant>
      <vt:variant>
        <vt:i4>9</vt:i4>
      </vt:variant>
      <vt:variant>
        <vt:i4>0</vt:i4>
      </vt:variant>
      <vt:variant>
        <vt:i4>5</vt:i4>
      </vt:variant>
      <vt:variant>
        <vt:lpwstr>https://www9.health.gov.au/mbs/fullDisplay.cfm?type=item&amp;q=18360&amp;qt=item</vt:lpwstr>
      </vt:variant>
      <vt:variant>
        <vt:lpwstr/>
      </vt:variant>
      <vt:variant>
        <vt:i4>1441872</vt:i4>
      </vt:variant>
      <vt:variant>
        <vt:i4>6</vt:i4>
      </vt:variant>
      <vt:variant>
        <vt:i4>0</vt:i4>
      </vt:variant>
      <vt:variant>
        <vt:i4>5</vt:i4>
      </vt:variant>
      <vt:variant>
        <vt:lpwstr>https://www9.health.gov.au/mbs/fullDisplay.cfm?type=item&amp;q=18360&amp;qt=item</vt:lpwstr>
      </vt:variant>
      <vt:variant>
        <vt:lpwstr/>
      </vt:variant>
      <vt:variant>
        <vt:i4>1441872</vt:i4>
      </vt:variant>
      <vt:variant>
        <vt:i4>3</vt:i4>
      </vt:variant>
      <vt:variant>
        <vt:i4>0</vt:i4>
      </vt:variant>
      <vt:variant>
        <vt:i4>5</vt:i4>
      </vt:variant>
      <vt:variant>
        <vt:lpwstr>https://www9.health.gov.au/mbs/fullDisplay.cfm?type=item&amp;q=18360&amp;qt=item</vt:lpwstr>
      </vt:variant>
      <vt:variant>
        <vt:lpwstr/>
      </vt:variant>
      <vt:variant>
        <vt:i4>4390926</vt:i4>
      </vt:variant>
      <vt:variant>
        <vt:i4>0</vt:i4>
      </vt:variant>
      <vt:variant>
        <vt:i4>0</vt:i4>
      </vt:variant>
      <vt:variant>
        <vt:i4>5</vt:i4>
      </vt:variant>
      <vt:variant>
        <vt:lpwstr>https://www9.health.gov.au/mbs/fullDisplay.cfm?type=item&amp;q=18360</vt:lpwstr>
      </vt:variant>
      <vt:variant>
        <vt:lpwstr/>
      </vt:variant>
      <vt:variant>
        <vt:i4>3014775</vt:i4>
      </vt:variant>
      <vt:variant>
        <vt:i4>6</vt:i4>
      </vt:variant>
      <vt:variant>
        <vt:i4>0</vt:i4>
      </vt:variant>
      <vt:variant>
        <vt:i4>5</vt:i4>
      </vt:variant>
      <vt:variant>
        <vt:lpwstr>https://www.pbs.gov.au/info/browse/biological-medicines-currently-listed-on-the-pbs</vt:lpwstr>
      </vt:variant>
      <vt:variant>
        <vt:lpwstr/>
      </vt:variant>
      <vt:variant>
        <vt:i4>1638484</vt:i4>
      </vt:variant>
      <vt:variant>
        <vt:i4>3</vt:i4>
      </vt:variant>
      <vt:variant>
        <vt:i4>0</vt:i4>
      </vt:variant>
      <vt:variant>
        <vt:i4>5</vt:i4>
      </vt:variant>
      <vt:variant>
        <vt:lpwstr>https://www.mbsonline.gov.au/internet/mbsonline/publishing.nsf/Content/Factsheet-xeomin-injection-for-limb-spasticity</vt:lpwstr>
      </vt:variant>
      <vt:variant>
        <vt:lpwstr/>
      </vt:variant>
      <vt:variant>
        <vt:i4>6160397</vt:i4>
      </vt:variant>
      <vt:variant>
        <vt:i4>0</vt:i4>
      </vt:variant>
      <vt:variant>
        <vt:i4>0</vt:i4>
      </vt:variant>
      <vt:variant>
        <vt:i4>5</vt:i4>
      </vt:variant>
      <vt:variant>
        <vt:lpwstr>https://www.mbsonline.gov.au/internet/mbsonline/publishing.nsf/Content/Factsheet-xeomin-injection-for-chronic-sialorrhea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2026-06-18T16:37:00Z</dcterms:created>
  <dcterms:modified xsi:type="dcterms:W3CDTF">2026-06-26T00:46:00Z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Order">
    <vt:r8>446100</vt:r8>
  </property>
  <property fmtid="{D5CDD505-2E9C-101B-9397-08002B2CF9AE}" pid="4" name="ClassificationContentMarkingHeaderText">
    <vt:lpwstr>OFFICIAL</vt:lpwstr>
  </property>
  <property fmtid="{D5CDD505-2E9C-101B-9397-08002B2CF9AE}" pid="5" name="MediaServiceImageTags">
    <vt:lpwstr/>
  </property>
  <property fmtid="{D5CDD505-2E9C-101B-9397-08002B2CF9AE}" pid="6" name="xd_ProgID">
    <vt:lpwstr/>
  </property>
  <property fmtid="{D5CDD505-2E9C-101B-9397-08002B2CF9AE}" pid="7" name="ContentTypeId">
    <vt:lpwstr>0x0101005E4A37BE997BE34FBB7D5057D341D123</vt:lpwstr>
  </property>
  <property fmtid="{D5CDD505-2E9C-101B-9397-08002B2CF9AE}" pid="8" name="ComplianceAssetId">
    <vt:lpwstr/>
  </property>
  <property fmtid="{D5CDD505-2E9C-101B-9397-08002B2CF9AE}" pid="9" name="ClassificationContentMarkingHeaderFontProps">
    <vt:lpwstr>#ff0000,12,Aptos</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y fmtid="{D5CDD505-2E9C-101B-9397-08002B2CF9AE}" pid="14" name="ClassificationContentMarkingFooterShapeIds">
    <vt:lpwstr>6a7b25e5,35c5f44c,7404455b</vt:lpwstr>
  </property>
  <property fmtid="{D5CDD505-2E9C-101B-9397-08002B2CF9AE}" pid="15" name="xd_Signature">
    <vt:bool>false</vt:bool>
  </property>
  <property fmtid="{D5CDD505-2E9C-101B-9397-08002B2CF9AE}" pid="16" name="ClassificationContentMarkingHeaderShapeIds">
    <vt:lpwstr>a6e3cb4,294e85a7,4daacbb</vt:lpwstr>
  </property>
  <property fmtid="{D5CDD505-2E9C-101B-9397-08002B2CF9AE}" pid="17" name="ClassificationContentMarkingFooterFontProps">
    <vt:lpwstr>#ff0000,12,Aptos</vt:lpwstr>
  </property>
  <property fmtid="{D5CDD505-2E9C-101B-9397-08002B2CF9AE}" pid="18" name="MSIP_Label_7cd3e8b9-ffed-43a8-b7f4-cc2fa0382d36_Enabled">
    <vt:lpwstr>true</vt:lpwstr>
  </property>
  <property fmtid="{D5CDD505-2E9C-101B-9397-08002B2CF9AE}" pid="19" name="MSIP_Label_7cd3e8b9-ffed-43a8-b7f4-cc2fa0382d36_SetDate">
    <vt:lpwstr>2026-06-18T03:46:20Z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4c514bd7-1860-4baa-ae26-11f6687f5e23</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y fmtid="{D5CDD505-2E9C-101B-9397-08002B2CF9AE}" pid="26" name="_MarkAsFinal">
    <vt:bool>true</vt:bool>
  </property>
</Properties>
</file>