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01EE0" w14:textId="77777777" w:rsidR="00EC43BF" w:rsidRPr="004F6113" w:rsidRDefault="008F23FF" w:rsidP="00EC43BF">
      <w:pPr>
        <w:pStyle w:val="Heading1"/>
        <w:numPr>
          <w:ilvl w:val="0"/>
          <w:numId w:val="0"/>
        </w:numPr>
        <w:spacing w:before="0" w:after="360"/>
        <w:ind w:left="788"/>
        <w:jc w:val="center"/>
        <w:rPr>
          <w:rFonts w:ascii="Arial" w:hAnsi="Arial" w:cs="Arial"/>
          <w:b w:val="0"/>
          <w:color w:val="000080"/>
          <w:sz w:val="36"/>
          <w:szCs w:val="36"/>
        </w:rPr>
      </w:pPr>
      <w:r>
        <w:rPr>
          <w:rFonts w:ascii="Arial" w:hAnsi="Arial" w:cs="Arial"/>
          <w:bCs/>
          <w:color w:val="000080"/>
          <w:sz w:val="36"/>
          <w:szCs w:val="36"/>
        </w:rPr>
        <w:t>Medical Services Advisory Committee (MSAC)</w:t>
      </w:r>
      <w:r>
        <w:rPr>
          <w:rFonts w:ascii="Arial" w:hAnsi="Arial" w:cs="Arial"/>
          <w:bCs/>
          <w:color w:val="000080"/>
          <w:sz w:val="36"/>
          <w:szCs w:val="36"/>
        </w:rPr>
        <w:br/>
      </w:r>
      <w:r w:rsidR="00EC43BF" w:rsidRPr="005B6EFD">
        <w:rPr>
          <w:rFonts w:ascii="Arial" w:hAnsi="Arial" w:cs="Arial"/>
          <w:bCs/>
          <w:color w:val="000080"/>
          <w:sz w:val="36"/>
          <w:szCs w:val="36"/>
        </w:rPr>
        <w:t>Public Summary Document</w:t>
      </w:r>
    </w:p>
    <w:p w14:paraId="3C7809A6" w14:textId="782F3BED" w:rsidR="002F03F5" w:rsidRDefault="008F23FF" w:rsidP="1E1583F3">
      <w:pPr>
        <w:jc w:val="center"/>
        <w:rPr>
          <w:rFonts w:ascii="Arial" w:eastAsia="Arial" w:hAnsi="Arial" w:cs="Arial"/>
          <w:b/>
          <w:bCs/>
          <w:i/>
          <w:iCs/>
          <w:color w:val="000080"/>
          <w:sz w:val="28"/>
          <w:szCs w:val="28"/>
        </w:rPr>
      </w:pPr>
      <w:bookmarkStart w:id="0" w:name="_Toc198721982"/>
      <w:r w:rsidRPr="1E1583F3">
        <w:rPr>
          <w:rFonts w:ascii="Arial" w:eastAsia="Arial" w:hAnsi="Arial" w:cs="Arial"/>
          <w:b/>
          <w:bCs/>
          <w:i/>
          <w:iCs/>
          <w:color w:val="000080"/>
          <w:sz w:val="28"/>
          <w:szCs w:val="28"/>
        </w:rPr>
        <w:t>Application No. 1804</w:t>
      </w:r>
      <w:bookmarkEnd w:id="0"/>
      <w:r w:rsidR="3B339EC8" w:rsidRPr="1E1583F3">
        <w:rPr>
          <w:rFonts w:ascii="Arial" w:eastAsia="Arial" w:hAnsi="Arial" w:cs="Arial"/>
          <w:b/>
          <w:bCs/>
          <w:i/>
          <w:iCs/>
          <w:color w:val="000080"/>
          <w:sz w:val="28"/>
          <w:szCs w:val="28"/>
        </w:rPr>
        <w:t xml:space="preserve"> – </w:t>
      </w:r>
      <w:r w:rsidR="00B14353" w:rsidRPr="1E1583F3">
        <w:rPr>
          <w:rFonts w:ascii="Arial" w:eastAsia="Arial" w:hAnsi="Arial" w:cs="Arial"/>
          <w:b/>
          <w:bCs/>
          <w:i/>
          <w:iCs/>
          <w:color w:val="000080"/>
          <w:sz w:val="28"/>
          <w:szCs w:val="28"/>
        </w:rPr>
        <w:t>RET</w:t>
      </w:r>
      <w:r w:rsidRPr="1E1583F3">
        <w:rPr>
          <w:rFonts w:ascii="Arial" w:eastAsia="Arial" w:hAnsi="Arial" w:cs="Arial"/>
          <w:b/>
          <w:bCs/>
          <w:i/>
          <w:iCs/>
          <w:color w:val="000080"/>
          <w:sz w:val="28"/>
          <w:szCs w:val="28"/>
        </w:rPr>
        <w:t xml:space="preserve"> variant testing for access to selpercatinib for the treatment of locally advanced or metastatic medullary thyroid cancer</w:t>
      </w:r>
    </w:p>
    <w:p w14:paraId="3C7809A7" w14:textId="757775F8" w:rsidR="002F03F5" w:rsidRPr="00EC43BF" w:rsidRDefault="00EC43BF" w:rsidP="00EC43BF">
      <w:pPr>
        <w:tabs>
          <w:tab w:val="left" w:pos="3544"/>
        </w:tabs>
        <w:spacing w:before="0" w:line="259" w:lineRule="auto"/>
        <w:jc w:val="left"/>
        <w:rPr>
          <w:rFonts w:ascii="Arial" w:eastAsia="Arial" w:hAnsi="Arial" w:cs="Arial"/>
          <w:b/>
          <w:bCs/>
          <w:i/>
          <w:iCs/>
          <w:color w:val="000080"/>
        </w:rPr>
      </w:pPr>
      <w:r w:rsidRPr="00EC43BF">
        <w:rPr>
          <w:rFonts w:ascii="Arial" w:hAnsi="Arial" w:cs="Arial"/>
          <w:b/>
        </w:rPr>
        <w:t>Applicant</w:t>
      </w:r>
      <w:r w:rsidRPr="00EC43BF">
        <w:rPr>
          <w:rFonts w:ascii="Arial" w:hAnsi="Arial" w:cs="Arial"/>
          <w:b/>
          <w:smallCaps/>
        </w:rPr>
        <w:t xml:space="preserve">: </w:t>
      </w:r>
      <w:r w:rsidRPr="00EC43BF">
        <w:rPr>
          <w:rFonts w:ascii="Arial" w:hAnsi="Arial" w:cs="Arial"/>
          <w:b/>
          <w:smallCaps/>
        </w:rPr>
        <w:tab/>
      </w:r>
      <w:r w:rsidR="008F23FF" w:rsidRPr="00EC43BF">
        <w:rPr>
          <w:rFonts w:ascii="Arial" w:eastAsia="Arial" w:hAnsi="Arial" w:cs="Arial"/>
          <w:b/>
          <w:bCs/>
          <w:color w:val="000000" w:themeColor="text1"/>
        </w:rPr>
        <w:t>Eli Lilly Australia Pty Ltd</w:t>
      </w:r>
    </w:p>
    <w:p w14:paraId="3C7809A8" w14:textId="63A04863" w:rsidR="002F03F5" w:rsidRDefault="008F23FF">
      <w:pPr>
        <w:spacing w:before="0" w:line="259" w:lineRule="auto"/>
        <w:jc w:val="left"/>
        <w:rPr>
          <w:rFonts w:ascii="Arial" w:eastAsia="Arial" w:hAnsi="Arial" w:cs="Arial"/>
          <w:b/>
          <w:color w:val="000000" w:themeColor="text1"/>
          <w:lang w:eastAsia="en-AU"/>
        </w:rPr>
      </w:pPr>
      <w:r w:rsidRPr="00EC43BF">
        <w:rPr>
          <w:rFonts w:ascii="Arial" w:eastAsia="Arial" w:hAnsi="Arial" w:cs="Arial"/>
          <w:b/>
          <w:color w:val="000000" w:themeColor="text1"/>
          <w:lang w:eastAsia="en-AU"/>
        </w:rPr>
        <w:t xml:space="preserve">Date of </w:t>
      </w:r>
      <w:r w:rsidR="00EC43BF">
        <w:rPr>
          <w:rFonts w:ascii="Arial" w:eastAsia="Arial" w:hAnsi="Arial" w:cs="Arial"/>
          <w:b/>
          <w:color w:val="000000" w:themeColor="text1"/>
          <w:lang w:eastAsia="en-AU"/>
        </w:rPr>
        <w:t>MSAC</w:t>
      </w:r>
      <w:r w:rsidRPr="00EC43BF">
        <w:rPr>
          <w:rFonts w:ascii="Arial" w:eastAsia="Arial" w:hAnsi="Arial" w:cs="Arial"/>
          <w:b/>
          <w:color w:val="000000" w:themeColor="text1"/>
          <w:lang w:eastAsia="en-AU"/>
        </w:rPr>
        <w:t xml:space="preserve"> consideration: </w:t>
      </w:r>
      <w:r w:rsidRPr="00EC43BF">
        <w:rPr>
          <w:rFonts w:ascii="Arial" w:eastAsia="Arial" w:hAnsi="Arial" w:cs="Arial"/>
          <w:b/>
          <w:color w:val="000000" w:themeColor="text1"/>
          <w:lang w:eastAsia="en-AU"/>
        </w:rPr>
        <w:tab/>
      </w:r>
      <w:r w:rsidR="00EC43BF">
        <w:rPr>
          <w:rFonts w:ascii="Arial" w:eastAsia="Arial" w:hAnsi="Arial" w:cs="Arial"/>
          <w:b/>
          <w:color w:val="000000" w:themeColor="text1"/>
          <w:lang w:eastAsia="en-AU"/>
        </w:rPr>
        <w:t>1 April</w:t>
      </w:r>
      <w:r w:rsidRPr="00EC43BF">
        <w:rPr>
          <w:rFonts w:ascii="Arial" w:eastAsia="Arial" w:hAnsi="Arial" w:cs="Arial"/>
          <w:b/>
          <w:color w:val="000000" w:themeColor="text1"/>
          <w:lang w:eastAsia="en-AU"/>
        </w:rPr>
        <w:t xml:space="preserve"> 2026</w:t>
      </w:r>
    </w:p>
    <w:p w14:paraId="3A8267F1" w14:textId="613CE0CD" w:rsidR="00EC43BF" w:rsidRPr="00EC43BF" w:rsidRDefault="00EC43BF" w:rsidP="00EC43BF">
      <w:pPr>
        <w:spacing w:before="0" w:after="360" w:line="259" w:lineRule="auto"/>
        <w:rPr>
          <w:color w:val="0000FF"/>
          <w:u w:val="single"/>
        </w:rPr>
      </w:pPr>
      <w:bookmarkStart w:id="1" w:name="_Hlk194308493"/>
      <w:r w:rsidRPr="00EC43BF">
        <w:t xml:space="preserve">Context for decision: MSAC makes its advice in accordance with its Terms of Reference, </w:t>
      </w:r>
      <w:hyperlink r:id="rId11" w:tooltip="Link to Medical Services Advisory Committee website" w:history="1">
        <w:r w:rsidRPr="00EC43BF">
          <w:rPr>
            <w:color w:val="007BB8"/>
            <w:u w:val="single"/>
          </w:rPr>
          <w:t>visit the MSAC website</w:t>
        </w:r>
      </w:hyperlink>
      <w:bookmarkEnd w:id="1"/>
    </w:p>
    <w:p w14:paraId="3C7809D9" w14:textId="77777777" w:rsidR="002F03F5" w:rsidRPr="00EC43BF" w:rsidRDefault="008F23FF" w:rsidP="00E13B64">
      <w:pPr>
        <w:pStyle w:val="MSACHeading1"/>
        <w:numPr>
          <w:ilvl w:val="0"/>
          <w:numId w:val="15"/>
        </w:numPr>
        <w:ind w:hanging="720"/>
        <w:rPr>
          <w:rFonts w:ascii="Franklin Gothic Medium" w:hAnsi="Franklin Gothic Medium"/>
          <w:b w:val="0"/>
          <w:bCs w:val="0"/>
          <w:sz w:val="32"/>
          <w:szCs w:val="32"/>
        </w:rPr>
      </w:pPr>
      <w:bookmarkStart w:id="2" w:name="_Ref220485092"/>
      <w:bookmarkStart w:id="3" w:name="_Toc219898302"/>
      <w:r w:rsidRPr="00EC43BF">
        <w:rPr>
          <w:rFonts w:ascii="Franklin Gothic Medium" w:hAnsi="Franklin Gothic Medium"/>
          <w:b w:val="0"/>
          <w:bCs w:val="0"/>
          <w:sz w:val="32"/>
          <w:szCs w:val="32"/>
        </w:rPr>
        <w:t>Purpose of the application</w:t>
      </w:r>
      <w:bookmarkEnd w:id="2"/>
      <w:bookmarkEnd w:id="3"/>
      <w:r w:rsidRPr="00EC43BF">
        <w:rPr>
          <w:rFonts w:ascii="Franklin Gothic Medium" w:hAnsi="Franklin Gothic Medium"/>
          <w:b w:val="0"/>
          <w:bCs w:val="0"/>
          <w:sz w:val="32"/>
          <w:szCs w:val="32"/>
        </w:rPr>
        <w:t xml:space="preserve"> </w:t>
      </w:r>
    </w:p>
    <w:p w14:paraId="3C7809DA" w14:textId="6811F439" w:rsidR="002F03F5" w:rsidRPr="00EC43BF" w:rsidRDefault="008F23FF" w:rsidP="00E13B64">
      <w:pPr>
        <w:pStyle w:val="MSACESParagraph"/>
        <w:jc w:val="left"/>
        <w:rPr>
          <w:rFonts w:ascii="Franklin Gothic Book" w:hAnsi="Franklin Gothic Book"/>
          <w:sz w:val="22"/>
        </w:rPr>
      </w:pPr>
      <w:r w:rsidRPr="00EC43BF">
        <w:rPr>
          <w:rFonts w:ascii="Franklin Gothic Book" w:hAnsi="Franklin Gothic Book"/>
          <w:sz w:val="22"/>
        </w:rPr>
        <w:t xml:space="preserve">The integrated codependent application </w:t>
      </w:r>
      <w:r w:rsidR="002963EC" w:rsidRPr="002963EC">
        <w:rPr>
          <w:rFonts w:ascii="Franklin Gothic Book" w:hAnsi="Franklin Gothic Book"/>
          <w:sz w:val="22"/>
        </w:rPr>
        <w:t>was received from Eli Lilly Australia Pty. Ltd. by the Department of Health,</w:t>
      </w:r>
      <w:r w:rsidR="002963EC">
        <w:rPr>
          <w:rFonts w:ascii="Franklin Gothic Book" w:hAnsi="Franklin Gothic Book"/>
          <w:sz w:val="22"/>
        </w:rPr>
        <w:t xml:space="preserve"> Disability and Ageing, which </w:t>
      </w:r>
      <w:r w:rsidRPr="00EC43BF">
        <w:rPr>
          <w:rFonts w:ascii="Franklin Gothic Book" w:hAnsi="Franklin Gothic Book"/>
          <w:sz w:val="22"/>
        </w:rPr>
        <w:t xml:space="preserve">requested: </w:t>
      </w:r>
    </w:p>
    <w:p w14:paraId="3C7809DB" w14:textId="7EB34A3F" w:rsidR="002F03F5" w:rsidRPr="00EC43BF" w:rsidRDefault="008F23FF" w:rsidP="00E13B64">
      <w:pPr>
        <w:pStyle w:val="MainBodyBulletPoint"/>
        <w:rPr>
          <w:rFonts w:ascii="Franklin Gothic Book" w:hAnsi="Franklin Gothic Book"/>
        </w:rPr>
      </w:pPr>
      <w:r w:rsidRPr="00EC43BF">
        <w:rPr>
          <w:rFonts w:ascii="Franklin Gothic Book" w:hAnsi="Franklin Gothic Book"/>
        </w:rPr>
        <w:t xml:space="preserve">Medicare Benefits Schedule (MBS) listing of testing of tumour tissue to detect </w:t>
      </w:r>
      <w:r w:rsidR="00B14353" w:rsidRPr="00B14353">
        <w:rPr>
          <w:rFonts w:ascii="Franklin Gothic Book" w:hAnsi="Franklin Gothic Book"/>
          <w:i/>
          <w:iCs/>
        </w:rPr>
        <w:t>RET</w:t>
      </w:r>
      <w:r w:rsidRPr="00EC43BF">
        <w:rPr>
          <w:rFonts w:ascii="Franklin Gothic Book" w:hAnsi="Franklin Gothic Book"/>
        </w:rPr>
        <w:t xml:space="preserve"> proto-oncogene (</w:t>
      </w:r>
      <w:r w:rsidR="00B14353" w:rsidRPr="00B14353">
        <w:rPr>
          <w:rFonts w:ascii="Franklin Gothic Book" w:hAnsi="Franklin Gothic Book"/>
          <w:i/>
          <w:iCs/>
        </w:rPr>
        <w:t>RET</w:t>
      </w:r>
      <w:r w:rsidRPr="00EC43BF">
        <w:rPr>
          <w:rFonts w:ascii="Franklin Gothic Book" w:hAnsi="Franklin Gothic Book"/>
        </w:rPr>
        <w:t>) variants in patients with medullary thyroid cancer (MTC) for the determination of patient eligibility for treatment with selpercatinib; and</w:t>
      </w:r>
    </w:p>
    <w:p w14:paraId="3C7809DC" w14:textId="3F345F4D" w:rsidR="002F03F5" w:rsidRPr="00EC43BF" w:rsidRDefault="008F23FF" w:rsidP="00E13B64">
      <w:pPr>
        <w:pStyle w:val="MainBodyBulletPoint"/>
        <w:rPr>
          <w:rFonts w:ascii="Franklin Gothic Book" w:hAnsi="Franklin Gothic Book"/>
        </w:rPr>
      </w:pPr>
      <w:r w:rsidRPr="00EC43BF">
        <w:rPr>
          <w:rFonts w:ascii="Franklin Gothic Book" w:hAnsi="Franklin Gothic Book"/>
        </w:rPr>
        <w:t>Pharmaceutical Benefits Scheme (PBS) Section 85 General Schedule listing of selpercatinib for the treatment of locally advanced or metastatic MTC in patients who have evidence of a</w:t>
      </w:r>
      <w:r w:rsidRPr="00EC43BF">
        <w:rPr>
          <w:rFonts w:ascii="Franklin Gothic Book" w:hAnsi="Franklin Gothic Book"/>
          <w:i/>
        </w:rPr>
        <w:t xml:space="preserve"> </w:t>
      </w:r>
      <w:r w:rsidR="00B14353" w:rsidRPr="00B14353">
        <w:rPr>
          <w:rFonts w:ascii="Franklin Gothic Book" w:hAnsi="Franklin Gothic Book"/>
          <w:i/>
          <w:iCs/>
        </w:rPr>
        <w:t>RET</w:t>
      </w:r>
      <w:r w:rsidRPr="00EC43BF">
        <w:rPr>
          <w:rFonts w:ascii="Franklin Gothic Book" w:hAnsi="Franklin Gothic Book"/>
          <w:i/>
        </w:rPr>
        <w:t xml:space="preserve"> </w:t>
      </w:r>
      <w:r w:rsidRPr="00EC43BF">
        <w:rPr>
          <w:rFonts w:ascii="Franklin Gothic Book" w:hAnsi="Franklin Gothic Book"/>
        </w:rPr>
        <w:t>variant.</w:t>
      </w:r>
    </w:p>
    <w:p w14:paraId="24401C4D" w14:textId="77777777" w:rsidR="00EC43BF" w:rsidRPr="00EC43BF" w:rsidRDefault="00EC43BF" w:rsidP="00601076">
      <w:pPr>
        <w:pStyle w:val="MSACHeading1"/>
        <w:numPr>
          <w:ilvl w:val="0"/>
          <w:numId w:val="15"/>
        </w:numPr>
        <w:ind w:hanging="720"/>
        <w:rPr>
          <w:rFonts w:ascii="Franklin Gothic Medium" w:hAnsi="Franklin Gothic Medium"/>
          <w:b w:val="0"/>
          <w:bCs w:val="0"/>
          <w:sz w:val="32"/>
          <w:szCs w:val="32"/>
        </w:rPr>
      </w:pPr>
      <w:r w:rsidRPr="00EC43BF">
        <w:rPr>
          <w:rFonts w:ascii="Franklin Gothic Medium" w:hAnsi="Franklin Gothic Medium"/>
          <w:b w:val="0"/>
          <w:bCs w:val="0"/>
          <w:sz w:val="32"/>
          <w:szCs w:val="32"/>
        </w:rPr>
        <w:t>MSAC’s advice to the Minister</w:t>
      </w:r>
    </w:p>
    <w:p w14:paraId="6B4AE460" w14:textId="3079626B" w:rsidR="001E1AA7" w:rsidRDefault="00C155BB" w:rsidP="00E13B64">
      <w:pPr>
        <w:jc w:val="left"/>
      </w:pPr>
      <w:r w:rsidRPr="00C155BB">
        <w:t xml:space="preserve">After considering the strength of the available evidence in relation to comparative safety, clinical effectiveness, cost-effectiveness and total cost, </w:t>
      </w:r>
      <w:r w:rsidR="001E1AA7" w:rsidRPr="5FD793C5">
        <w:t xml:space="preserve">MSAC supported the creation of a new Medicare Benefits Schedule (MBS) item for genetic testing to detect </w:t>
      </w:r>
      <w:r w:rsidR="001E1AA7" w:rsidRPr="5FD793C5">
        <w:rPr>
          <w:i/>
          <w:iCs/>
        </w:rPr>
        <w:t>RET</w:t>
      </w:r>
      <w:r w:rsidR="001E1AA7" w:rsidRPr="5FD793C5">
        <w:t xml:space="preserve"> variants in patients with medullary thyroid cancer to determine eligibility for PBS subsidised selpercatinib treatment. MSAC noted that the Pharmaceutical Benefits Advisory Committee (PBAC) at its March 2026 meeting was of a mind to recommend selpercatinib pending MSAC support for </w:t>
      </w:r>
      <w:r w:rsidR="001E1AA7" w:rsidRPr="5FD793C5">
        <w:rPr>
          <w:i/>
          <w:iCs/>
        </w:rPr>
        <w:t xml:space="preserve">RET </w:t>
      </w:r>
      <w:r w:rsidR="001E1AA7" w:rsidRPr="5FD793C5">
        <w:t xml:space="preserve">testing. MSAC acknowledged that there is a high clinical unmet need for effective treatments for the proposed condition. MSAC agreed that </w:t>
      </w:r>
      <w:r w:rsidR="001E1AA7" w:rsidRPr="5FD793C5">
        <w:rPr>
          <w:i/>
          <w:iCs/>
        </w:rPr>
        <w:t>RET</w:t>
      </w:r>
      <w:r w:rsidR="001E1AA7" w:rsidRPr="5FD793C5">
        <w:t xml:space="preserve"> testing at diagnosis of medullary thyroid cancer would be appropriate to avoid delays in treatment. MSAC considered the proposed test is reliable and uses standard methods for genetic testing.</w:t>
      </w:r>
    </w:p>
    <w:p w14:paraId="38EA5603" w14:textId="74012D2F" w:rsidR="00462753" w:rsidRPr="00F22035" w:rsidRDefault="001E1AA7" w:rsidP="00E13B64">
      <w:pPr>
        <w:jc w:val="left"/>
      </w:pPr>
      <w:r w:rsidRPr="00881F07">
        <w:t xml:space="preserve">MSAC considered that the available evidence demonstrated </w:t>
      </w:r>
      <w:r w:rsidRPr="199381C0">
        <w:t>improved</w:t>
      </w:r>
      <w:r w:rsidRPr="7D854D55">
        <w:t xml:space="preserve"> clinical outcomes</w:t>
      </w:r>
      <w:r w:rsidRPr="00881F07">
        <w:t xml:space="preserve"> for patients with </w:t>
      </w:r>
      <w:r w:rsidRPr="0421BD99">
        <w:rPr>
          <w:i/>
          <w:iCs/>
        </w:rPr>
        <w:t>RET</w:t>
      </w:r>
      <w:r>
        <w:rPr>
          <w:i/>
          <w:iCs/>
        </w:rPr>
        <w:t>-</w:t>
      </w:r>
      <w:r w:rsidRPr="0421BD99">
        <w:t>positive</w:t>
      </w:r>
      <w:r w:rsidRPr="00881F07">
        <w:t xml:space="preserve"> medullary thyroid cancer treated with selpercatinib</w:t>
      </w:r>
      <w:r w:rsidRPr="7D854D55">
        <w:t xml:space="preserve">. MSAC considered that the overall financial impact of testing to the MBS would be </w:t>
      </w:r>
      <w:r w:rsidRPr="4A380CDB">
        <w:t>low.</w:t>
      </w:r>
      <w:r w:rsidRPr="00881F07">
        <w:t xml:space="preserve"> </w:t>
      </w:r>
      <w:r w:rsidRPr="560CF79D">
        <w:t>However</w:t>
      </w:r>
      <w:r w:rsidRPr="3E782657">
        <w:t xml:space="preserve">, </w:t>
      </w:r>
      <w:r w:rsidRPr="5115AB22">
        <w:t>MSAC</w:t>
      </w:r>
      <w:r w:rsidRPr="5115AB22" w:rsidDel="00AB265E">
        <w:t xml:space="preserve"> </w:t>
      </w:r>
      <w:r>
        <w:t>noted</w:t>
      </w:r>
      <w:r w:rsidRPr="5115AB22">
        <w:t xml:space="preserve"> </w:t>
      </w:r>
      <w:r w:rsidRPr="29DA68B3">
        <w:t xml:space="preserve">the </w:t>
      </w:r>
      <w:r w:rsidRPr="10D87484">
        <w:t xml:space="preserve">financial impact to </w:t>
      </w:r>
      <w:r w:rsidRPr="19889F8C">
        <w:t xml:space="preserve">the MBS </w:t>
      </w:r>
      <w:r w:rsidRPr="016FC097">
        <w:t xml:space="preserve">would vary </w:t>
      </w:r>
      <w:r w:rsidRPr="7E0C901B">
        <w:t xml:space="preserve">depending on </w:t>
      </w:r>
      <w:r w:rsidRPr="7DD6C3AA">
        <w:t>the</w:t>
      </w:r>
      <w:r w:rsidRPr="4FD7E497">
        <w:t xml:space="preserve"> </w:t>
      </w:r>
      <w:r>
        <w:t>uptake</w:t>
      </w:r>
      <w:r w:rsidRPr="4FD7E497">
        <w:t xml:space="preserve"> of the test</w:t>
      </w:r>
      <w:r w:rsidRPr="00881F07">
        <w:t xml:space="preserve"> </w:t>
      </w:r>
      <w:r w:rsidRPr="10499D28">
        <w:t>by prevalent</w:t>
      </w:r>
      <w:r w:rsidRPr="00881F07">
        <w:t xml:space="preserve"> patients </w:t>
      </w:r>
      <w:r w:rsidRPr="2FA86F99">
        <w:t xml:space="preserve">living with </w:t>
      </w:r>
      <w:r w:rsidRPr="507CA13A">
        <w:t xml:space="preserve">medullary </w:t>
      </w:r>
      <w:r w:rsidRPr="451B33FE">
        <w:t xml:space="preserve">thyroid cancer. </w:t>
      </w:r>
      <w:r>
        <w:t xml:space="preserve">MSAC considered the </w:t>
      </w:r>
      <w:r w:rsidRPr="638BC10E">
        <w:t>new MBS</w:t>
      </w:r>
      <w:r>
        <w:t xml:space="preserve"> item should not be restricted to once per lifetime to allow </w:t>
      </w:r>
      <w:r w:rsidRPr="00F10219">
        <w:t xml:space="preserve">clinicians to order </w:t>
      </w:r>
      <w:r>
        <w:t xml:space="preserve">repeat </w:t>
      </w:r>
      <w:r w:rsidRPr="5867B6C9">
        <w:rPr>
          <w:i/>
          <w:iCs/>
        </w:rPr>
        <w:t>RET</w:t>
      </w:r>
      <w:r w:rsidRPr="5867B6C9">
        <w:t xml:space="preserve"> </w:t>
      </w:r>
      <w:r w:rsidRPr="00F10219">
        <w:t>testing as clinically necessary</w:t>
      </w:r>
      <w:r>
        <w:t xml:space="preserve">. </w:t>
      </w:r>
      <w:r w:rsidRPr="00881F07">
        <w:t>MSAC advised that the MBS item descriptor should be pathologist</w:t>
      </w:r>
      <w:r w:rsidRPr="7D854D55">
        <w:t xml:space="preserve"> </w:t>
      </w:r>
      <w:r w:rsidRPr="00881F07">
        <w:t>determinable and considered a fee of $400 to be appropriate.</w:t>
      </w:r>
      <w:r>
        <w:t xml:space="preserve"> </w:t>
      </w:r>
      <w:r>
        <w:rPr>
          <w:rFonts w:cs="Calibri"/>
        </w:rPr>
        <w:t xml:space="preserve">MSAC further advised that the MBS item descriptor should </w:t>
      </w:r>
      <w:r w:rsidRPr="79D608D2">
        <w:rPr>
          <w:rFonts w:cs="Calibri"/>
        </w:rPr>
        <w:t>restrict requesting of the test to specialist or consultant physicians.</w:t>
      </w:r>
    </w:p>
    <w:p w14:paraId="6D27989E" w14:textId="24B42F27" w:rsidR="00A43E3D" w:rsidRPr="00EC43BF" w:rsidRDefault="008D7996" w:rsidP="00E64518">
      <w:pPr>
        <w:pStyle w:val="Caption"/>
        <w:keepLines/>
        <w:rPr>
          <w:color w:val="ED0000"/>
        </w:rPr>
      </w:pPr>
      <w:r>
        <w:lastRenderedPageBreak/>
        <w:t xml:space="preserve">Table </w:t>
      </w:r>
      <w:r>
        <w:fldChar w:fldCharType="begin"/>
      </w:r>
      <w:r>
        <w:instrText>SEQ Table \* ARABIC</w:instrText>
      </w:r>
      <w:r>
        <w:fldChar w:fldCharType="separate"/>
      </w:r>
      <w:r w:rsidR="005B2039">
        <w:rPr>
          <w:noProof/>
        </w:rPr>
        <w:t>1</w:t>
      </w:r>
      <w:r>
        <w:fldChar w:fldCharType="end"/>
      </w:r>
      <w:r w:rsidRPr="008D7996">
        <w:t> MSAC’s supported MBS item descriptor</w:t>
      </w:r>
    </w:p>
    <w:tbl>
      <w:tblPr>
        <w:tblStyle w:val="HTAtableplain1"/>
        <w:tblW w:w="0" w:type="auto"/>
        <w:tblLook w:val="04A0" w:firstRow="1" w:lastRow="0" w:firstColumn="1" w:lastColumn="0" w:noHBand="0" w:noVBand="1"/>
      </w:tblPr>
      <w:tblGrid>
        <w:gridCol w:w="9016"/>
      </w:tblGrid>
      <w:tr w:rsidR="00A43E3D" w:rsidRPr="00A43E3D" w14:paraId="51AB625F" w14:textId="77777777" w:rsidTr="00F22035">
        <w:trPr>
          <w:trHeight w:val="538"/>
        </w:trPr>
        <w:tc>
          <w:tcPr>
            <w:tcW w:w="9016" w:type="dxa"/>
          </w:tcPr>
          <w:p w14:paraId="3EA16BA5" w14:textId="4731E3F8" w:rsidR="00A43E3D" w:rsidRPr="00F22035" w:rsidRDefault="00A43E3D" w:rsidP="00E64518">
            <w:pPr>
              <w:pStyle w:val="TableText"/>
              <w:keepNext/>
              <w:keepLines/>
            </w:pPr>
            <w:r w:rsidRPr="00F22035">
              <w:t xml:space="preserve">Category 6 – </w:t>
            </w:r>
            <w:r w:rsidR="007720AE" w:rsidRPr="007720AE">
              <w:t>PATHOLOGY SERVICES</w:t>
            </w:r>
            <w:r w:rsidRPr="00F22035">
              <w:t xml:space="preserve"> </w:t>
            </w:r>
            <w:r w:rsidR="00D11519" w:rsidRPr="00F22035">
              <w:t xml:space="preserve">                                                                    </w:t>
            </w:r>
            <w:r w:rsidR="007720AE">
              <w:t xml:space="preserve">              </w:t>
            </w:r>
            <w:r w:rsidR="00D11519" w:rsidRPr="00F22035">
              <w:t>Group P7 – Genetics</w:t>
            </w:r>
          </w:p>
        </w:tc>
      </w:tr>
      <w:tr w:rsidR="00A43E3D" w:rsidRPr="00A43E3D" w14:paraId="29FB5BF4" w14:textId="77777777">
        <w:tc>
          <w:tcPr>
            <w:tcW w:w="9016" w:type="dxa"/>
          </w:tcPr>
          <w:p w14:paraId="36E9B0A7" w14:textId="77777777" w:rsidR="00A43E3D" w:rsidRDefault="00A43E3D" w:rsidP="00E64518">
            <w:pPr>
              <w:pStyle w:val="TableText"/>
              <w:keepNext/>
              <w:keepLines/>
            </w:pPr>
            <w:r w:rsidRPr="00F22035">
              <w:t>MBS item AAAAA</w:t>
            </w:r>
          </w:p>
          <w:p w14:paraId="1438AB87" w14:textId="77777777" w:rsidR="00D00F12" w:rsidRPr="00F22035" w:rsidRDefault="00D00F12" w:rsidP="00E64518">
            <w:pPr>
              <w:pStyle w:val="TableText"/>
              <w:keepNext/>
              <w:keepLines/>
            </w:pPr>
          </w:p>
          <w:p w14:paraId="3E2ABDDA" w14:textId="60036F18" w:rsidR="00A43E3D" w:rsidRPr="00F22035" w:rsidRDefault="00A43E3D" w:rsidP="00E64518">
            <w:pPr>
              <w:pStyle w:val="TableText"/>
              <w:keepNext/>
              <w:keepLines/>
            </w:pPr>
            <w:r w:rsidRPr="00F22035">
              <w:t xml:space="preserve">A test of tumour tissue from a patient with histologically confirmed medullary thyroid cancer requested by, or on behalf of, a specialist or consultant physician if the test is: </w:t>
            </w:r>
          </w:p>
          <w:p w14:paraId="08C21D1B" w14:textId="7EC9C8ED" w:rsidR="00A43E3D" w:rsidRPr="00D00F12" w:rsidRDefault="00A43E3D" w:rsidP="00E64518">
            <w:pPr>
              <w:pStyle w:val="TableText"/>
              <w:keepNext/>
              <w:keepLines/>
              <w:numPr>
                <w:ilvl w:val="0"/>
                <w:numId w:val="25"/>
              </w:numPr>
              <w:rPr>
                <w:rFonts w:eastAsia="Times New Roman"/>
                <w:lang w:eastAsia="en-AU"/>
              </w:rPr>
            </w:pPr>
            <w:r w:rsidRPr="00D00F12">
              <w:rPr>
                <w:rFonts w:eastAsia="Times New Roman"/>
                <w:lang w:eastAsia="en-AU"/>
              </w:rPr>
              <w:t xml:space="preserve">to detect variants relating to at least the </w:t>
            </w:r>
            <w:r w:rsidR="00B14353" w:rsidRPr="00B14353">
              <w:rPr>
                <w:rFonts w:eastAsia="Times New Roman"/>
                <w:i/>
                <w:iCs/>
                <w:lang w:eastAsia="en-AU"/>
              </w:rPr>
              <w:t>RET</w:t>
            </w:r>
            <w:r w:rsidRPr="00D00F12">
              <w:rPr>
                <w:rFonts w:eastAsia="Times New Roman"/>
                <w:lang w:eastAsia="en-AU"/>
              </w:rPr>
              <w:t xml:space="preserve"> gene activating variant status, and </w:t>
            </w:r>
          </w:p>
          <w:p w14:paraId="19E33E2C" w14:textId="77777777" w:rsidR="00A43E3D" w:rsidRPr="00D00F12" w:rsidRDefault="00A43E3D" w:rsidP="00E64518">
            <w:pPr>
              <w:pStyle w:val="TableText"/>
              <w:keepNext/>
              <w:keepLines/>
              <w:numPr>
                <w:ilvl w:val="0"/>
                <w:numId w:val="25"/>
              </w:numPr>
              <w:rPr>
                <w:rFonts w:eastAsia="Times New Roman"/>
                <w:lang w:eastAsia="en-AU"/>
              </w:rPr>
            </w:pPr>
            <w:r w:rsidRPr="00D00F12">
              <w:rPr>
                <w:rFonts w:eastAsia="Times New Roman"/>
                <w:lang w:eastAsia="en-AU"/>
              </w:rPr>
              <w:t>to determine eligibility for a relevant treatment listed on the Pharmaceutical Benefits Scheme (PBS).</w:t>
            </w:r>
          </w:p>
          <w:p w14:paraId="3DD4DBA7" w14:textId="77777777" w:rsidR="00A43E3D" w:rsidRPr="00F22035" w:rsidRDefault="00A43E3D" w:rsidP="00E64518">
            <w:pPr>
              <w:pStyle w:val="TableText"/>
              <w:keepNext/>
              <w:keepLines/>
            </w:pPr>
          </w:p>
        </w:tc>
      </w:tr>
      <w:tr w:rsidR="00A43E3D" w:rsidRPr="00A43E3D" w14:paraId="3BC61E7B" w14:textId="77777777">
        <w:tc>
          <w:tcPr>
            <w:tcW w:w="9016" w:type="dxa"/>
          </w:tcPr>
          <w:p w14:paraId="75769C4E" w14:textId="77777777" w:rsidR="003331B7" w:rsidRDefault="003331B7" w:rsidP="00E64518">
            <w:pPr>
              <w:pStyle w:val="TableText"/>
              <w:keepNext/>
              <w:keepLines/>
            </w:pPr>
          </w:p>
          <w:p w14:paraId="59F96D63" w14:textId="465FF555" w:rsidR="00A43E3D" w:rsidRDefault="00A43E3D" w:rsidP="00E64518">
            <w:pPr>
              <w:pStyle w:val="TableText"/>
              <w:keepNext/>
              <w:keepLines/>
            </w:pPr>
            <w:r w:rsidRPr="00F22035">
              <w:t>Fee: $400.00 Benefit 75%: $300.00   85%: $340.00</w:t>
            </w:r>
          </w:p>
          <w:p w14:paraId="2B0361A7" w14:textId="3B16D1AD" w:rsidR="003331B7" w:rsidRPr="00F22035" w:rsidRDefault="003331B7" w:rsidP="00E64518">
            <w:pPr>
              <w:pStyle w:val="TableText"/>
              <w:keepNext/>
              <w:keepLines/>
            </w:pPr>
          </w:p>
        </w:tc>
      </w:tr>
    </w:tbl>
    <w:p w14:paraId="0C7221ED" w14:textId="77777777" w:rsidR="00A43E3D" w:rsidRPr="00EC43BF" w:rsidRDefault="00A43E3D" w:rsidP="00EC43BF">
      <w:pPr>
        <w:spacing w:after="240"/>
      </w:pPr>
    </w:p>
    <w:tbl>
      <w:tblPr>
        <w:tblStyle w:val="Section3-footno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C43BF" w:rsidRPr="00EC43BF" w14:paraId="0F77645D" w14:textId="77777777" w:rsidTr="67015AB2">
        <w:trPr>
          <w:tblHeader/>
        </w:trPr>
        <w:tc>
          <w:tcPr>
            <w:tcW w:w="9016" w:type="dxa"/>
          </w:tcPr>
          <w:p w14:paraId="3CEA9C35" w14:textId="77777777" w:rsidR="00EC43BF" w:rsidRPr="00EC43BF" w:rsidRDefault="00EC43BF">
            <w:pPr>
              <w:keepNext/>
              <w:keepLines/>
              <w:spacing w:before="40" w:after="40" w:line="259" w:lineRule="auto"/>
              <w:rPr>
                <w:rFonts w:eastAsia="Calibri"/>
                <w:b/>
                <w:bCs/>
              </w:rPr>
            </w:pPr>
            <w:r w:rsidRPr="00EC43BF">
              <w:rPr>
                <w:b/>
                <w:bCs/>
              </w:rPr>
              <w:t>Consumer summary</w:t>
            </w:r>
          </w:p>
        </w:tc>
      </w:tr>
      <w:tr w:rsidR="00EC43BF" w:rsidRPr="00EC43BF" w14:paraId="07B7BEEB" w14:textId="77777777" w:rsidTr="67015AB2">
        <w:tc>
          <w:tcPr>
            <w:tcW w:w="9016" w:type="dxa"/>
          </w:tcPr>
          <w:p w14:paraId="7A286090" w14:textId="080FD7AF" w:rsidR="00267DD9" w:rsidRPr="00267DD9" w:rsidRDefault="74C3BA76" w:rsidP="00E13B64">
            <w:pPr>
              <w:jc w:val="left"/>
            </w:pPr>
            <w:r>
              <w:t xml:space="preserve">This </w:t>
            </w:r>
            <w:r w:rsidR="204F7204">
              <w:t xml:space="preserve">codependent </w:t>
            </w:r>
            <w:r>
              <w:t xml:space="preserve">application from Eli Lilly Australia </w:t>
            </w:r>
            <w:r w:rsidR="3F50ECAB">
              <w:t xml:space="preserve">Pty Ltd </w:t>
            </w:r>
            <w:r w:rsidR="097BA5FE">
              <w:t xml:space="preserve">requested </w:t>
            </w:r>
            <w:r>
              <w:t xml:space="preserve">Medicare Benefits Schedule (MBS) listing of </w:t>
            </w:r>
            <w:r w:rsidR="7CDDEC63">
              <w:t>genetic testing to detect</w:t>
            </w:r>
            <w:r w:rsidR="1ABD54EA">
              <w:t xml:space="preserve"> ret </w:t>
            </w:r>
            <w:r w:rsidR="63231238">
              <w:t>proto-oncogene (</w:t>
            </w:r>
            <w:r w:rsidR="48EEAAA2" w:rsidRPr="63A4ACB5">
              <w:rPr>
                <w:i/>
                <w:iCs/>
              </w:rPr>
              <w:t>RET</w:t>
            </w:r>
            <w:r w:rsidR="63231238">
              <w:t>)</w:t>
            </w:r>
            <w:r>
              <w:t xml:space="preserve"> </w:t>
            </w:r>
            <w:r w:rsidR="12E5AF16">
              <w:t>alterations</w:t>
            </w:r>
            <w:r>
              <w:t xml:space="preserve"> for treat</w:t>
            </w:r>
            <w:r w:rsidR="16D748B8">
              <w:t>ing</w:t>
            </w:r>
            <w:r>
              <w:t xml:space="preserve"> </w:t>
            </w:r>
            <w:r w:rsidR="2BB10850">
              <w:t xml:space="preserve">people with </w:t>
            </w:r>
            <w:r>
              <w:t>locally advanced or metastatic medullary thyroid cancer</w:t>
            </w:r>
            <w:r w:rsidR="0219D512">
              <w:t xml:space="preserve"> </w:t>
            </w:r>
            <w:r w:rsidR="48AED990">
              <w:t xml:space="preserve">so that they can access the medication, </w:t>
            </w:r>
            <w:r>
              <w:t>selpercatinib</w:t>
            </w:r>
            <w:r w:rsidR="48AED990">
              <w:t>,</w:t>
            </w:r>
            <w:r>
              <w:t xml:space="preserve"> on the Pharmaceutical Benefits Scheme (PBS). </w:t>
            </w:r>
            <w:r w:rsidR="48AED990" w:rsidRPr="63A4ACB5">
              <w:rPr>
                <w:color w:val="000000" w:themeColor="text1"/>
              </w:rPr>
              <w:t xml:space="preserve">The Pharmaceutical Benefits Advisory Committee (PBAC) assessed selpercatinib for inclusion on the Pharmaceutical Benefits Scheme (PBS) as part of this codependent process. </w:t>
            </w:r>
          </w:p>
          <w:p w14:paraId="7A0D6CB8" w14:textId="369B2188" w:rsidR="00267DD9" w:rsidRPr="00267DD9" w:rsidRDefault="008F6560" w:rsidP="00E13B64">
            <w:pPr>
              <w:jc w:val="left"/>
            </w:pPr>
            <w:r>
              <w:t xml:space="preserve">Medullary thyroid cancer </w:t>
            </w:r>
            <w:r w:rsidR="008C0EF4">
              <w:t xml:space="preserve">is rare, </w:t>
            </w:r>
            <w:r>
              <w:t>mak</w:t>
            </w:r>
            <w:r w:rsidR="008C0EF4">
              <w:t>ing</w:t>
            </w:r>
            <w:r>
              <w:t xml:space="preserve"> up about 4% of all thyroid cancers. Some people</w:t>
            </w:r>
            <w:r w:rsidR="00046D86">
              <w:t xml:space="preserve"> </w:t>
            </w:r>
            <w:r>
              <w:t xml:space="preserve">develop it </w:t>
            </w:r>
            <w:r w:rsidR="00332FF9">
              <w:t>by chance</w:t>
            </w:r>
            <w:r w:rsidR="4EE5B596">
              <w:t xml:space="preserve">. </w:t>
            </w:r>
            <w:r w:rsidR="5941AA9D">
              <w:t>O</w:t>
            </w:r>
            <w:r>
              <w:t xml:space="preserve">thers inherit it </w:t>
            </w:r>
            <w:r w:rsidR="002B2181">
              <w:t>from a parent through genetic changes passed down in families</w:t>
            </w:r>
            <w:r w:rsidR="007D3447">
              <w:t xml:space="preserve"> who develop </w:t>
            </w:r>
            <w:r w:rsidR="00D1283F">
              <w:t xml:space="preserve">a condition called </w:t>
            </w:r>
            <w:r w:rsidR="00B77C0F">
              <w:t>m</w:t>
            </w:r>
            <w:r w:rsidR="00D1283F">
              <w:t xml:space="preserve">ultiple </w:t>
            </w:r>
            <w:r w:rsidR="00B77C0F">
              <w:t>e</w:t>
            </w:r>
            <w:r w:rsidR="00D1283F">
              <w:t xml:space="preserve">ndocrine </w:t>
            </w:r>
            <w:r w:rsidR="00B77C0F">
              <w:t>n</w:t>
            </w:r>
            <w:r w:rsidR="00D1283F">
              <w:t>eoplasia type 2 (</w:t>
            </w:r>
            <w:r w:rsidR="007D3447">
              <w:t>MEN2</w:t>
            </w:r>
            <w:r w:rsidR="00D1283F">
              <w:t>)</w:t>
            </w:r>
            <w:r>
              <w:t>.</w:t>
            </w:r>
            <w:r w:rsidR="002B2181">
              <w:t xml:space="preserve"> </w:t>
            </w:r>
            <w:r w:rsidR="001156D7">
              <w:t xml:space="preserve">Around 70% of people with medullary thyroid cancer have changes in a gene called </w:t>
            </w:r>
            <w:r w:rsidR="00B14353" w:rsidRPr="67015AB2">
              <w:rPr>
                <w:i/>
                <w:iCs/>
              </w:rPr>
              <w:t>RET</w:t>
            </w:r>
            <w:r w:rsidR="2C2E9E3C">
              <w:t>.</w:t>
            </w:r>
            <w:r w:rsidR="00267DD9">
              <w:t xml:space="preserve"> </w:t>
            </w:r>
            <w:r w:rsidR="00550C77">
              <w:t>Problems with the</w:t>
            </w:r>
            <w:r w:rsidR="00267DD9">
              <w:t xml:space="preserve"> </w:t>
            </w:r>
            <w:r w:rsidR="00B14353" w:rsidRPr="67015AB2">
              <w:rPr>
                <w:i/>
                <w:iCs/>
              </w:rPr>
              <w:t>RET</w:t>
            </w:r>
            <w:r w:rsidR="00267DD9">
              <w:t xml:space="preserve"> gene </w:t>
            </w:r>
            <w:r w:rsidR="00E52644">
              <w:t>can cause</w:t>
            </w:r>
            <w:r w:rsidR="00B60DAB">
              <w:t xml:space="preserve"> the</w:t>
            </w:r>
            <w:r w:rsidR="00267DD9">
              <w:t xml:space="preserve"> </w:t>
            </w:r>
            <w:r w:rsidR="00B14353" w:rsidRPr="67015AB2">
              <w:rPr>
                <w:i/>
                <w:iCs/>
              </w:rPr>
              <w:t>RET</w:t>
            </w:r>
            <w:r w:rsidR="00267DD9">
              <w:t xml:space="preserve"> receptor</w:t>
            </w:r>
            <w:r w:rsidR="00473A1C">
              <w:t xml:space="preserve"> (a protein)</w:t>
            </w:r>
            <w:r w:rsidR="00267DD9">
              <w:t xml:space="preserve"> </w:t>
            </w:r>
            <w:r w:rsidR="00B60DAB">
              <w:t>in cancer cells to stop working</w:t>
            </w:r>
            <w:r w:rsidR="00267DD9">
              <w:t xml:space="preserve"> properly. </w:t>
            </w:r>
            <w:r w:rsidR="00D76F93">
              <w:t xml:space="preserve">The RET </w:t>
            </w:r>
            <w:r w:rsidR="00474C12">
              <w:t>receptor</w:t>
            </w:r>
            <w:r w:rsidR="00D76F93">
              <w:t xml:space="preserve"> is important because it </w:t>
            </w:r>
            <w:r w:rsidR="00AC6D9E">
              <w:t>controls cell growth b</w:t>
            </w:r>
            <w:r w:rsidR="006D4C1E">
              <w:t>y</w:t>
            </w:r>
            <w:r w:rsidR="00AC6D9E">
              <w:t xml:space="preserve"> telling</w:t>
            </w:r>
            <w:r w:rsidR="00243C96">
              <w:t xml:space="preserve"> </w:t>
            </w:r>
            <w:r w:rsidR="000D4343">
              <w:t xml:space="preserve">the </w:t>
            </w:r>
            <w:r w:rsidR="00AC6D9E">
              <w:t xml:space="preserve">cell when to </w:t>
            </w:r>
            <w:r w:rsidR="00593F06">
              <w:t xml:space="preserve">grow. </w:t>
            </w:r>
            <w:r w:rsidR="003A0A67">
              <w:t>If</w:t>
            </w:r>
            <w:r w:rsidR="000D4343">
              <w:t xml:space="preserve"> the RET receptor</w:t>
            </w:r>
            <w:r w:rsidR="003A0A67">
              <w:t xml:space="preserve"> is not working properly, the </w:t>
            </w:r>
            <w:r w:rsidR="009F4F09">
              <w:t xml:space="preserve">cell </w:t>
            </w:r>
            <w:r w:rsidR="00A44BC2">
              <w:t>grow</w:t>
            </w:r>
            <w:r w:rsidR="00AD74EF">
              <w:t>s</w:t>
            </w:r>
            <w:r w:rsidR="00A44BC2">
              <w:t xml:space="preserve"> uncontrollably </w:t>
            </w:r>
            <w:r w:rsidR="00A736FA">
              <w:t>and can become cancerous</w:t>
            </w:r>
            <w:r w:rsidR="00210E60">
              <w:t>.</w:t>
            </w:r>
            <w:r w:rsidR="00D76F93">
              <w:t xml:space="preserve"> </w:t>
            </w:r>
            <w:r w:rsidR="00267DD9">
              <w:t xml:space="preserve">The </w:t>
            </w:r>
            <w:r w:rsidR="008A4795">
              <w:t xml:space="preserve">medicine </w:t>
            </w:r>
            <w:r w:rsidR="00267DD9">
              <w:t xml:space="preserve">selpercatinib </w:t>
            </w:r>
            <w:r w:rsidR="008A4795">
              <w:t xml:space="preserve">specifically </w:t>
            </w:r>
            <w:r w:rsidR="00267DD9">
              <w:t xml:space="preserve">targets the </w:t>
            </w:r>
            <w:r w:rsidR="008A4795">
              <w:t xml:space="preserve">faulty </w:t>
            </w:r>
            <w:r w:rsidR="00B14353" w:rsidRPr="67015AB2">
              <w:rPr>
                <w:i/>
                <w:iCs/>
              </w:rPr>
              <w:t>RET</w:t>
            </w:r>
            <w:r w:rsidR="00267DD9">
              <w:t xml:space="preserve"> receptor </w:t>
            </w:r>
            <w:r w:rsidR="00232851">
              <w:t xml:space="preserve">to </w:t>
            </w:r>
            <w:r w:rsidR="00267DD9">
              <w:t xml:space="preserve">help treat the cancer. Selpercatinib </w:t>
            </w:r>
            <w:r w:rsidR="00232851">
              <w:t xml:space="preserve">is used </w:t>
            </w:r>
            <w:r w:rsidR="00267DD9">
              <w:t>for people with advanced or metastatic medullary thyroid cancer</w:t>
            </w:r>
            <w:r w:rsidR="00AD023A">
              <w:t>,</w:t>
            </w:r>
            <w:r w:rsidR="00267DD9">
              <w:t xml:space="preserve"> </w:t>
            </w:r>
            <w:r w:rsidR="00942D51">
              <w:t xml:space="preserve">meaning </w:t>
            </w:r>
            <w:r w:rsidR="00D27439">
              <w:t xml:space="preserve">cancer </w:t>
            </w:r>
            <w:r w:rsidR="00AD023A">
              <w:t>that has spread to other tissues and organs in the body</w:t>
            </w:r>
            <w:r w:rsidR="00267DD9">
              <w:t>.</w:t>
            </w:r>
          </w:p>
          <w:p w14:paraId="79C037B5" w14:textId="30F701FA" w:rsidR="0084553D" w:rsidRPr="0084553D" w:rsidRDefault="009D35BA" w:rsidP="00E13B64">
            <w:pPr>
              <w:jc w:val="left"/>
            </w:pPr>
            <w:r w:rsidRPr="009D35BA">
              <w:t>Selpercatinib only works for people whose cancer ha</w:t>
            </w:r>
            <w:r w:rsidR="005A1E5D">
              <w:t xml:space="preserve">s </w:t>
            </w:r>
            <w:r w:rsidR="43B68CBB">
              <w:t>an abnormal</w:t>
            </w:r>
            <w:r w:rsidR="00267DD9" w:rsidRPr="00267DD9">
              <w:t xml:space="preserve"> </w:t>
            </w:r>
            <w:r w:rsidR="00B14353" w:rsidRPr="00B14353">
              <w:rPr>
                <w:i/>
                <w:iCs/>
              </w:rPr>
              <w:t>RET</w:t>
            </w:r>
            <w:r w:rsidR="00267DD9" w:rsidRPr="00267DD9">
              <w:t xml:space="preserve"> </w:t>
            </w:r>
            <w:r w:rsidR="00FA1399">
              <w:t>gene</w:t>
            </w:r>
            <w:r w:rsidR="005A1E5D">
              <w:t xml:space="preserve">. </w:t>
            </w:r>
            <w:r w:rsidR="00267DD9" w:rsidRPr="00267DD9">
              <w:t xml:space="preserve"> </w:t>
            </w:r>
            <w:r w:rsidR="005A1E5D" w:rsidRPr="005A1E5D">
              <w:t>Because of this, people need genetic testing before they can receive the medicine.</w:t>
            </w:r>
            <w:r w:rsidR="00267DD9" w:rsidRPr="00267DD9">
              <w:t xml:space="preserve"> The </w:t>
            </w:r>
            <w:r w:rsidR="003B5D35">
              <w:t xml:space="preserve">test can be done using </w:t>
            </w:r>
            <w:r w:rsidR="00267DD9" w:rsidRPr="00267DD9">
              <w:t xml:space="preserve">tissue </w:t>
            </w:r>
            <w:r w:rsidR="003B5D35">
              <w:t>that was already taken during t</w:t>
            </w:r>
            <w:r w:rsidR="00267DD9" w:rsidRPr="00267DD9">
              <w:t>he original biopsy to diagnose the cancer</w:t>
            </w:r>
            <w:r w:rsidR="002D1AA7">
              <w:t>,</w:t>
            </w:r>
            <w:r w:rsidR="00267DD9" w:rsidRPr="00267DD9">
              <w:t xml:space="preserve"> so there are no safety </w:t>
            </w:r>
            <w:r w:rsidR="002D1AA7">
              <w:t>concerns</w:t>
            </w:r>
            <w:r w:rsidR="00267DD9" w:rsidRPr="00267DD9">
              <w:t>.</w:t>
            </w:r>
            <w:r w:rsidR="0084553D">
              <w:t xml:space="preserve"> </w:t>
            </w:r>
            <w:r w:rsidR="0084553D" w:rsidRPr="0084553D">
              <w:t xml:space="preserve">In rare cases, a new biopsy </w:t>
            </w:r>
            <w:r w:rsidR="0084553D">
              <w:t>may be required.</w:t>
            </w:r>
          </w:p>
          <w:p w14:paraId="4F4E57D5" w14:textId="68A1F6C0" w:rsidR="00267DD9" w:rsidRPr="00267DD9" w:rsidRDefault="00267DD9" w:rsidP="00E13B64">
            <w:pPr>
              <w:jc w:val="left"/>
            </w:pPr>
            <w:r w:rsidRPr="00267DD9">
              <w:t xml:space="preserve">MSAC considered that </w:t>
            </w:r>
            <w:r w:rsidR="00B14353" w:rsidRPr="00B14353">
              <w:rPr>
                <w:i/>
                <w:iCs/>
              </w:rPr>
              <w:t>RET</w:t>
            </w:r>
            <w:r w:rsidRPr="00267DD9">
              <w:t xml:space="preserve"> testing accurately identifies people who would be suitable to receive selpercatinib. MSAC </w:t>
            </w:r>
            <w:r w:rsidR="00A4178D">
              <w:t>advised</w:t>
            </w:r>
            <w:r w:rsidR="00A4178D" w:rsidRPr="00267DD9">
              <w:t xml:space="preserve"> </w:t>
            </w:r>
            <w:r w:rsidRPr="00267DD9">
              <w:t xml:space="preserve">it </w:t>
            </w:r>
            <w:r w:rsidR="00A4178D">
              <w:t>i</w:t>
            </w:r>
            <w:r w:rsidR="00A4178D" w:rsidRPr="00267DD9">
              <w:t xml:space="preserve">s </w:t>
            </w:r>
            <w:r w:rsidRPr="00267DD9">
              <w:t>appropriate to test everyone who is newly diagnosed with medullary thyroid cancer, even if the cancer is not advanced or metastatic. This means that, if someone does progress from early-stage to late-stage cancer during their cancer journey, they can access selpercatinib right away and not have to wait for more test results.</w:t>
            </w:r>
          </w:p>
          <w:p w14:paraId="0B8C56EE" w14:textId="05D297CE" w:rsidR="00267DD9" w:rsidRDefault="3FDC4FD7" w:rsidP="00E13B64">
            <w:pPr>
              <w:jc w:val="left"/>
            </w:pPr>
            <w:r>
              <w:t xml:space="preserve">This application was for somatic – not germline – </w:t>
            </w:r>
            <w:r w:rsidR="00B14353" w:rsidRPr="67015AB2">
              <w:rPr>
                <w:i/>
                <w:iCs/>
              </w:rPr>
              <w:t>RET</w:t>
            </w:r>
            <w:r>
              <w:t xml:space="preserve"> testing, which means </w:t>
            </w:r>
            <w:r w:rsidR="6957EFF5">
              <w:t xml:space="preserve">this test looks for </w:t>
            </w:r>
            <w:r w:rsidR="00B14353" w:rsidRPr="67015AB2">
              <w:rPr>
                <w:i/>
                <w:iCs/>
              </w:rPr>
              <w:t>RET</w:t>
            </w:r>
            <w:r w:rsidR="6957EFF5" w:rsidRPr="67015AB2">
              <w:rPr>
                <w:i/>
                <w:iCs/>
              </w:rPr>
              <w:t xml:space="preserve"> </w:t>
            </w:r>
            <w:r w:rsidR="6957EFF5">
              <w:t>gene changes in the tumour only</w:t>
            </w:r>
            <w:r>
              <w:t xml:space="preserve">. However, it is possible that </w:t>
            </w:r>
            <w:r w:rsidR="20E3124C">
              <w:t>a</w:t>
            </w:r>
            <w:r w:rsidR="5E3105AF">
              <w:t>n</w:t>
            </w:r>
            <w:r>
              <w:t xml:space="preserve"> </w:t>
            </w:r>
            <w:r w:rsidR="5DDAD5CC">
              <w:t>abnormal</w:t>
            </w:r>
            <w:r w:rsidR="20E3124C">
              <w:t xml:space="preserve"> </w:t>
            </w:r>
            <w:r w:rsidR="00B14353" w:rsidRPr="67015AB2">
              <w:rPr>
                <w:i/>
                <w:iCs/>
              </w:rPr>
              <w:t>RET</w:t>
            </w:r>
            <w:r>
              <w:t xml:space="preserve"> </w:t>
            </w:r>
            <w:r w:rsidR="183A0C71">
              <w:t xml:space="preserve">gene </w:t>
            </w:r>
            <w:r w:rsidR="5F2447E2">
              <w:t xml:space="preserve">found </w:t>
            </w:r>
            <w:r w:rsidR="183A0C71">
              <w:t xml:space="preserve">in a tumour was </w:t>
            </w:r>
            <w:r w:rsidR="57ED74E0">
              <w:t xml:space="preserve">an inherited </w:t>
            </w:r>
            <w:r w:rsidR="7613F065">
              <w:t>variant in the</w:t>
            </w:r>
            <w:r w:rsidR="5E3105AF">
              <w:t xml:space="preserve"> </w:t>
            </w:r>
            <w:r w:rsidR="2431DC96" w:rsidRPr="67015AB2">
              <w:rPr>
                <w:i/>
                <w:iCs/>
              </w:rPr>
              <w:t xml:space="preserve">RET </w:t>
            </w:r>
            <w:r w:rsidR="5E3105AF">
              <w:t xml:space="preserve">gene. </w:t>
            </w:r>
            <w:r>
              <w:t xml:space="preserve">For those who may </w:t>
            </w:r>
            <w:r w:rsidR="150C78D1">
              <w:t xml:space="preserve">need testing to see if they </w:t>
            </w:r>
            <w:r>
              <w:t xml:space="preserve">have </w:t>
            </w:r>
            <w:r w:rsidR="4EAEBF86">
              <w:t xml:space="preserve">inherited </w:t>
            </w:r>
            <w:r>
              <w:t xml:space="preserve">a germline </w:t>
            </w:r>
            <w:r w:rsidR="00B14353" w:rsidRPr="67015AB2">
              <w:rPr>
                <w:i/>
                <w:iCs/>
              </w:rPr>
              <w:t>RET</w:t>
            </w:r>
            <w:r>
              <w:t xml:space="preserve"> variant, there are </w:t>
            </w:r>
            <w:r w:rsidR="5E3105AF">
              <w:t>MBS</w:t>
            </w:r>
            <w:r>
              <w:t xml:space="preserve"> items </w:t>
            </w:r>
            <w:r w:rsidR="2EC6473C">
              <w:t xml:space="preserve">already </w:t>
            </w:r>
            <w:r>
              <w:t xml:space="preserve">available for </w:t>
            </w:r>
            <w:r w:rsidR="5E3105AF">
              <w:t>genetic testing for the patient and their</w:t>
            </w:r>
            <w:r>
              <w:t xml:space="preserve"> first-degree </w:t>
            </w:r>
            <w:r w:rsidR="5E3105AF">
              <w:t>family members</w:t>
            </w:r>
            <w:r w:rsidR="5CF40694">
              <w:t>.</w:t>
            </w:r>
          </w:p>
          <w:p w14:paraId="3D804826" w14:textId="6DB6FF31" w:rsidR="00AB736D" w:rsidRPr="00267DD9" w:rsidRDefault="00364756" w:rsidP="00E13B64">
            <w:pPr>
              <w:jc w:val="left"/>
            </w:pPr>
            <w:r w:rsidRPr="00364756">
              <w:rPr>
                <w:color w:val="000000"/>
              </w:rPr>
              <w:t>MSAC noted that the PBAC at its March 202</w:t>
            </w:r>
            <w:r>
              <w:rPr>
                <w:color w:val="000000"/>
              </w:rPr>
              <w:t>6</w:t>
            </w:r>
            <w:r w:rsidRPr="00364756">
              <w:rPr>
                <w:color w:val="000000"/>
              </w:rPr>
              <w:t xml:space="preserve"> meeting </w:t>
            </w:r>
            <w:r>
              <w:rPr>
                <w:color w:val="000000"/>
              </w:rPr>
              <w:t xml:space="preserve">deferred its decision but </w:t>
            </w:r>
            <w:r w:rsidRPr="00364756">
              <w:rPr>
                <w:color w:val="000000"/>
              </w:rPr>
              <w:t xml:space="preserve">was of a mind to recommend </w:t>
            </w:r>
            <w:r>
              <w:rPr>
                <w:color w:val="000000"/>
              </w:rPr>
              <w:t>selpercatinib</w:t>
            </w:r>
            <w:r w:rsidRPr="00364756">
              <w:rPr>
                <w:color w:val="000000"/>
              </w:rPr>
              <w:t xml:space="preserve"> to be listed on the PBS provided</w:t>
            </w:r>
            <w:r w:rsidR="00AB736D" w:rsidRPr="003D64C5">
              <w:rPr>
                <w:color w:val="000000"/>
              </w:rPr>
              <w:t xml:space="preserve"> the MSAC supported adding </w:t>
            </w:r>
            <w:r w:rsidR="00B14353" w:rsidRPr="00B14353">
              <w:rPr>
                <w:i/>
                <w:iCs/>
                <w:color w:val="000000"/>
              </w:rPr>
              <w:t>RET</w:t>
            </w:r>
            <w:r w:rsidR="00AB736D" w:rsidRPr="003D64C5">
              <w:rPr>
                <w:color w:val="000000"/>
              </w:rPr>
              <w:t xml:space="preserve"> testing to the MBS</w:t>
            </w:r>
            <w:r w:rsidR="00AB736D" w:rsidRPr="00267DD9">
              <w:t>.</w:t>
            </w:r>
          </w:p>
          <w:p w14:paraId="21EFA60E" w14:textId="0ECF11CA" w:rsidR="00267DD9" w:rsidRPr="00267DD9" w:rsidRDefault="00267DD9" w:rsidP="00E13B64">
            <w:pPr>
              <w:jc w:val="left"/>
            </w:pPr>
            <w:r w:rsidRPr="00267DD9">
              <w:lastRenderedPageBreak/>
              <w:t xml:space="preserve">MSAC considered </w:t>
            </w:r>
            <w:r w:rsidR="00B14353" w:rsidRPr="00B14353">
              <w:rPr>
                <w:i/>
                <w:iCs/>
              </w:rPr>
              <w:t>RET</w:t>
            </w:r>
            <w:r w:rsidRPr="00267DD9">
              <w:t xml:space="preserve"> testing to be good value for money. It would also have a modest impact on the MBS budget. MSAC therefore </w:t>
            </w:r>
            <w:r w:rsidR="009B71E2">
              <w:t>supported</w:t>
            </w:r>
            <w:r w:rsidRPr="00267DD9">
              <w:t xml:space="preserve"> </w:t>
            </w:r>
            <w:r w:rsidR="00B14353" w:rsidRPr="00B14353">
              <w:rPr>
                <w:i/>
                <w:iCs/>
              </w:rPr>
              <w:t>RET</w:t>
            </w:r>
            <w:r w:rsidRPr="00267DD9">
              <w:t xml:space="preserve"> testing </w:t>
            </w:r>
            <w:r w:rsidR="008B3E1F">
              <w:t xml:space="preserve">to </w:t>
            </w:r>
            <w:r w:rsidRPr="00267DD9">
              <w:t>be listed on the MBS</w:t>
            </w:r>
            <w:r w:rsidR="00F67B0F">
              <w:t>.</w:t>
            </w:r>
          </w:p>
          <w:p w14:paraId="01C22668" w14:textId="77777777" w:rsidR="00267DD9" w:rsidRPr="00F22035" w:rsidRDefault="00267DD9" w:rsidP="00E13B64">
            <w:pPr>
              <w:jc w:val="left"/>
              <w:rPr>
                <w:b/>
                <w:bCs/>
              </w:rPr>
            </w:pPr>
            <w:r w:rsidRPr="00F22035">
              <w:rPr>
                <w:b/>
                <w:bCs/>
              </w:rPr>
              <w:t xml:space="preserve">MSAC’s advice to the </w:t>
            </w:r>
            <w:proofErr w:type="gramStart"/>
            <w:r w:rsidRPr="00F22035">
              <w:rPr>
                <w:b/>
                <w:bCs/>
              </w:rPr>
              <w:t>Commonwealth Minister</w:t>
            </w:r>
            <w:proofErr w:type="gramEnd"/>
            <w:r w:rsidRPr="00F22035">
              <w:rPr>
                <w:b/>
                <w:bCs/>
              </w:rPr>
              <w:t xml:space="preserve"> for Health, Disability and Ageing</w:t>
            </w:r>
          </w:p>
          <w:p w14:paraId="08CEFC75" w14:textId="3AE4C59F" w:rsidR="00EC43BF" w:rsidRPr="0017788B" w:rsidRDefault="5AB9558F" w:rsidP="00E13B64">
            <w:pPr>
              <w:jc w:val="left"/>
            </w:pPr>
            <w:r>
              <w:t xml:space="preserve">MSAC supported listing </w:t>
            </w:r>
            <w:r w:rsidR="48EEAAA2" w:rsidRPr="5E176297">
              <w:rPr>
                <w:i/>
                <w:iCs/>
              </w:rPr>
              <w:t>RET</w:t>
            </w:r>
            <w:r>
              <w:t xml:space="preserve"> testing </w:t>
            </w:r>
            <w:r w:rsidR="0711A87B">
              <w:t xml:space="preserve">on the MBS </w:t>
            </w:r>
            <w:r>
              <w:t xml:space="preserve">for people with medullary thyroid cancer. MSAC considered </w:t>
            </w:r>
            <w:r w:rsidR="48EEAAA2" w:rsidRPr="5E176297">
              <w:rPr>
                <w:i/>
                <w:iCs/>
              </w:rPr>
              <w:t>RET</w:t>
            </w:r>
            <w:r>
              <w:t xml:space="preserve"> testing is effective, safe, good value for money and will not have a large impact on the MBS budget.</w:t>
            </w:r>
            <w:r w:rsidR="3FAAACCA">
              <w:t xml:space="preserve"> MSAC noted PBAC at its March 2026 meeting was of a mind to recommend the medicine </w:t>
            </w:r>
            <w:r w:rsidR="5440794B">
              <w:t>selpercatinib</w:t>
            </w:r>
            <w:r w:rsidR="67F74931">
              <w:t xml:space="preserve"> for people with locally advanced or metastatic </w:t>
            </w:r>
            <w:r w:rsidR="4005D758">
              <w:t>medullary thyroid cancer</w:t>
            </w:r>
            <w:r w:rsidR="3FAAACCA">
              <w:t xml:space="preserve"> if</w:t>
            </w:r>
            <w:r w:rsidR="005FA08F">
              <w:t xml:space="preserve"> MSAC supported the testing.</w:t>
            </w:r>
          </w:p>
        </w:tc>
      </w:tr>
    </w:tbl>
    <w:p w14:paraId="2F23E981" w14:textId="77777777" w:rsidR="00EC43BF" w:rsidRPr="00EC43BF" w:rsidRDefault="00EC43BF" w:rsidP="00601076">
      <w:pPr>
        <w:pStyle w:val="MSACHeading1"/>
        <w:numPr>
          <w:ilvl w:val="0"/>
          <w:numId w:val="15"/>
        </w:numPr>
        <w:ind w:hanging="720"/>
        <w:rPr>
          <w:rFonts w:ascii="Franklin Gothic Medium" w:hAnsi="Franklin Gothic Medium"/>
          <w:b w:val="0"/>
          <w:bCs w:val="0"/>
          <w:sz w:val="32"/>
          <w:szCs w:val="32"/>
        </w:rPr>
      </w:pPr>
      <w:r w:rsidRPr="00EC43BF">
        <w:rPr>
          <w:rFonts w:ascii="Franklin Gothic Medium" w:hAnsi="Franklin Gothic Medium"/>
          <w:b w:val="0"/>
          <w:bCs w:val="0"/>
          <w:sz w:val="32"/>
          <w:szCs w:val="32"/>
        </w:rPr>
        <w:lastRenderedPageBreak/>
        <w:t>Summary of consideration and rationale for MSAC’s advice</w:t>
      </w:r>
    </w:p>
    <w:p w14:paraId="57DF1C03" w14:textId="41EEE60C" w:rsidR="002362D5" w:rsidRPr="002362D5" w:rsidRDefault="3BAD0F8F" w:rsidP="00046D86">
      <w:pPr>
        <w:suppressAutoHyphens w:val="0"/>
        <w:jc w:val="left"/>
        <w:rPr>
          <w:rFonts w:eastAsia="Calibri" w:cs="Times New Roman"/>
        </w:rPr>
      </w:pPr>
      <w:r w:rsidRPr="5E176297">
        <w:rPr>
          <w:rFonts w:eastAsia="Calibri" w:cs="Times New Roman"/>
        </w:rPr>
        <w:t xml:space="preserve">MSAC noted this codependent application from Eli Lilly Australia </w:t>
      </w:r>
      <w:r w:rsidR="503B5159" w:rsidRPr="5E176297">
        <w:rPr>
          <w:rFonts w:eastAsia="Calibri" w:cs="Times New Roman"/>
        </w:rPr>
        <w:t>requested</w:t>
      </w:r>
      <w:r w:rsidRPr="5E176297">
        <w:rPr>
          <w:rFonts w:eastAsia="Calibri" w:cs="Times New Roman"/>
        </w:rPr>
        <w:t xml:space="preserve"> Medicare Benefits Schedule (MBS) listing of </w:t>
      </w:r>
      <w:r w:rsidR="14C83F7A" w:rsidRPr="5E176297">
        <w:rPr>
          <w:rFonts w:eastAsia="Calibri" w:cs="Times New Roman"/>
        </w:rPr>
        <w:t xml:space="preserve">ret </w:t>
      </w:r>
      <w:r w:rsidRPr="5E176297">
        <w:rPr>
          <w:rFonts w:eastAsia="Calibri" w:cs="Times New Roman"/>
        </w:rPr>
        <w:t>proto-oncogene (</w:t>
      </w:r>
      <w:r w:rsidR="48EEAAA2" w:rsidRPr="5E176297">
        <w:rPr>
          <w:rFonts w:eastAsia="Calibri" w:cs="Times New Roman"/>
          <w:i/>
          <w:iCs/>
        </w:rPr>
        <w:t>RET</w:t>
      </w:r>
      <w:r w:rsidRPr="5E176297">
        <w:rPr>
          <w:rFonts w:eastAsia="Calibri" w:cs="Times New Roman"/>
        </w:rPr>
        <w:t xml:space="preserve">) variant testing for access to the tyrosine kinase inhibitor (TKI) selpercatinib to treat locally advanced or metastatic medullary thyroid cancer (MTC). </w:t>
      </w:r>
    </w:p>
    <w:p w14:paraId="25428C90" w14:textId="5B12C03A" w:rsidR="002362D5" w:rsidRPr="002362D5" w:rsidRDefault="00F90099" w:rsidP="00046D86">
      <w:pPr>
        <w:suppressAutoHyphens w:val="0"/>
        <w:jc w:val="left"/>
        <w:rPr>
          <w:rFonts w:eastAsia="Calibri" w:cs="Times New Roman"/>
        </w:rPr>
      </w:pPr>
      <w:r w:rsidRPr="00F90099">
        <w:rPr>
          <w:rFonts w:eastAsia="Calibri" w:cs="Times New Roman"/>
        </w:rPr>
        <w:t xml:space="preserve">MSAC noted that </w:t>
      </w:r>
      <w:r>
        <w:rPr>
          <w:rFonts w:eastAsia="Calibri" w:cs="Times New Roman"/>
        </w:rPr>
        <w:t>a</w:t>
      </w:r>
      <w:r w:rsidR="002362D5" w:rsidRPr="002362D5">
        <w:rPr>
          <w:rFonts w:eastAsia="Calibri" w:cs="Times New Roman"/>
        </w:rPr>
        <w:t xml:space="preserve">t its March 2026 meeting, the Pharmaceutical Benefits Advisory Committee (PBAC) deferred its decision </w:t>
      </w:r>
      <w:r w:rsidR="0073203D">
        <w:rPr>
          <w:rFonts w:eastAsia="Calibri" w:cs="Times New Roman"/>
        </w:rPr>
        <w:t>to</w:t>
      </w:r>
      <w:r w:rsidR="0073203D" w:rsidRPr="002362D5">
        <w:rPr>
          <w:rFonts w:eastAsia="Calibri" w:cs="Times New Roman"/>
        </w:rPr>
        <w:t xml:space="preserve"> </w:t>
      </w:r>
      <w:r w:rsidR="002362D5" w:rsidRPr="002362D5">
        <w:rPr>
          <w:rFonts w:eastAsia="Calibri" w:cs="Times New Roman"/>
        </w:rPr>
        <w:t xml:space="preserve">list selpercatinib on the Pharmaceutical Benefits Scheme (PBS), with a mind to </w:t>
      </w:r>
      <w:r w:rsidR="009A6EC4">
        <w:rPr>
          <w:rFonts w:eastAsia="Calibri" w:cs="Times New Roman"/>
        </w:rPr>
        <w:t>recommend</w:t>
      </w:r>
      <w:r w:rsidR="009A6EC4" w:rsidRPr="002362D5">
        <w:rPr>
          <w:rFonts w:eastAsia="Calibri" w:cs="Times New Roman"/>
        </w:rPr>
        <w:t xml:space="preserve"> </w:t>
      </w:r>
      <w:r w:rsidR="002362D5" w:rsidRPr="002362D5">
        <w:rPr>
          <w:rFonts w:eastAsia="Calibri" w:cs="Times New Roman"/>
        </w:rPr>
        <w:t xml:space="preserve">pending MSAC’s consideration of </w:t>
      </w:r>
      <w:r w:rsidR="00B14353" w:rsidRPr="00B14353">
        <w:rPr>
          <w:rFonts w:eastAsia="Calibri" w:cs="Times New Roman"/>
          <w:i/>
          <w:iCs/>
        </w:rPr>
        <w:t>RET</w:t>
      </w:r>
      <w:r w:rsidR="002362D5" w:rsidRPr="00F22035">
        <w:rPr>
          <w:rFonts w:eastAsia="Calibri" w:cs="Times New Roman"/>
          <w:i/>
          <w:iCs/>
        </w:rPr>
        <w:t xml:space="preserve"> </w:t>
      </w:r>
      <w:r w:rsidR="002362D5" w:rsidRPr="002362D5">
        <w:rPr>
          <w:rFonts w:eastAsia="Calibri" w:cs="Times New Roman"/>
        </w:rPr>
        <w:t>testing.</w:t>
      </w:r>
    </w:p>
    <w:p w14:paraId="33379D60" w14:textId="1F976DE1" w:rsidR="002362D5" w:rsidRPr="002362D5" w:rsidRDefault="3BAD0F8F" w:rsidP="00046D86">
      <w:pPr>
        <w:suppressAutoHyphens w:val="0"/>
        <w:jc w:val="left"/>
        <w:rPr>
          <w:rFonts w:eastAsia="Calibri" w:cs="Times New Roman"/>
        </w:rPr>
      </w:pPr>
      <w:r w:rsidRPr="5E176297">
        <w:rPr>
          <w:rFonts w:eastAsia="Calibri" w:cs="Times New Roman"/>
        </w:rPr>
        <w:t xml:space="preserve">MSAC has </w:t>
      </w:r>
      <w:r w:rsidR="25641F8E" w:rsidRPr="5E176297">
        <w:rPr>
          <w:rFonts w:eastAsia="Calibri" w:cs="Times New Roman"/>
        </w:rPr>
        <w:t xml:space="preserve">not previously </w:t>
      </w:r>
      <w:r w:rsidRPr="5E176297">
        <w:rPr>
          <w:rFonts w:eastAsia="Calibri" w:cs="Times New Roman"/>
        </w:rPr>
        <w:t xml:space="preserve">considered somatic </w:t>
      </w:r>
      <w:r w:rsidR="48EEAAA2" w:rsidRPr="5E176297">
        <w:rPr>
          <w:rFonts w:eastAsia="Calibri" w:cs="Times New Roman"/>
          <w:i/>
          <w:iCs/>
        </w:rPr>
        <w:t>RET</w:t>
      </w:r>
      <w:r w:rsidRPr="5E176297">
        <w:rPr>
          <w:rFonts w:eastAsia="Calibri" w:cs="Times New Roman"/>
        </w:rPr>
        <w:t xml:space="preserve"> testing </w:t>
      </w:r>
      <w:r w:rsidR="47638926" w:rsidRPr="5E176297">
        <w:rPr>
          <w:rFonts w:eastAsia="Calibri" w:cs="Times New Roman"/>
        </w:rPr>
        <w:t xml:space="preserve">in patients with MTC </w:t>
      </w:r>
      <w:r w:rsidRPr="5E176297">
        <w:rPr>
          <w:rFonts w:eastAsia="Calibri" w:cs="Times New Roman"/>
        </w:rPr>
        <w:t xml:space="preserve">for MBS listing; however, MSAC </w:t>
      </w:r>
      <w:r w:rsidR="1D2CE8A2" w:rsidRPr="5E176297">
        <w:rPr>
          <w:rFonts w:eastAsia="Calibri" w:cs="Times New Roman"/>
        </w:rPr>
        <w:t xml:space="preserve">recalled </w:t>
      </w:r>
      <w:r w:rsidR="0C429264" w:rsidRPr="5E176297">
        <w:rPr>
          <w:rFonts w:eastAsia="Calibri" w:cs="Times New Roman"/>
        </w:rPr>
        <w:t xml:space="preserve">it had supported </w:t>
      </w:r>
      <w:r w:rsidRPr="5E176297">
        <w:rPr>
          <w:rFonts w:eastAsia="Calibri" w:cs="Times New Roman"/>
        </w:rPr>
        <w:t xml:space="preserve">germline </w:t>
      </w:r>
      <w:r w:rsidR="48EEAAA2" w:rsidRPr="5E176297">
        <w:rPr>
          <w:rFonts w:eastAsia="Calibri" w:cs="Times New Roman"/>
          <w:i/>
          <w:iCs/>
        </w:rPr>
        <w:t>RET</w:t>
      </w:r>
      <w:r w:rsidRPr="5E176297">
        <w:rPr>
          <w:rFonts w:eastAsia="Calibri" w:cs="Times New Roman"/>
          <w:i/>
          <w:iCs/>
        </w:rPr>
        <w:t xml:space="preserve"> </w:t>
      </w:r>
      <w:r w:rsidRPr="5E176297">
        <w:rPr>
          <w:rFonts w:eastAsia="Calibri" w:cs="Times New Roman"/>
        </w:rPr>
        <w:t>testing for suspected multiple endocrine neoplasia type 2 (MEN2; MBS items 73339 and 73340) in March 2018 (</w:t>
      </w:r>
      <w:hyperlink r:id="rId12">
        <w:r w:rsidRPr="5E176297">
          <w:rPr>
            <w:rFonts w:eastAsia="Calibri" w:cs="Times New Roman"/>
          </w:rPr>
          <w:t>Application 1152</w:t>
        </w:r>
      </w:hyperlink>
      <w:r w:rsidRPr="5E176297">
        <w:rPr>
          <w:rFonts w:eastAsia="Calibri" w:cs="Times New Roman"/>
        </w:rPr>
        <w:t xml:space="preserve">). </w:t>
      </w:r>
      <w:r w:rsidR="3016FCCD" w:rsidRPr="5E176297">
        <w:rPr>
          <w:rFonts w:eastAsia="Calibri" w:cs="Times New Roman"/>
        </w:rPr>
        <w:t>MSAC noted t</w:t>
      </w:r>
      <w:r w:rsidRPr="5E176297">
        <w:rPr>
          <w:rFonts w:eastAsia="Calibri" w:cs="Times New Roman"/>
        </w:rPr>
        <w:t xml:space="preserve">hese patients </w:t>
      </w:r>
      <w:r w:rsidR="3016FCCD" w:rsidRPr="5E176297">
        <w:rPr>
          <w:rFonts w:eastAsia="Calibri" w:cs="Times New Roman"/>
        </w:rPr>
        <w:t xml:space="preserve">would </w:t>
      </w:r>
      <w:r w:rsidRPr="5E176297">
        <w:rPr>
          <w:rFonts w:eastAsia="Calibri" w:cs="Times New Roman"/>
        </w:rPr>
        <w:t xml:space="preserve">not require additional </w:t>
      </w:r>
      <w:r w:rsidR="48EEAAA2" w:rsidRPr="5E176297">
        <w:rPr>
          <w:rFonts w:eastAsia="Calibri" w:cs="Times New Roman"/>
          <w:i/>
          <w:iCs/>
        </w:rPr>
        <w:t>RET</w:t>
      </w:r>
      <w:r w:rsidRPr="5E176297">
        <w:rPr>
          <w:rFonts w:eastAsia="Calibri" w:cs="Times New Roman"/>
        </w:rPr>
        <w:t xml:space="preserve"> testing if they </w:t>
      </w:r>
      <w:r w:rsidR="1787A432" w:rsidRPr="5E176297">
        <w:rPr>
          <w:rFonts w:eastAsia="Calibri" w:cs="Times New Roman"/>
        </w:rPr>
        <w:t>were</w:t>
      </w:r>
      <w:r w:rsidRPr="5E176297">
        <w:rPr>
          <w:rFonts w:eastAsia="Calibri" w:cs="Times New Roman"/>
        </w:rPr>
        <w:t xml:space="preserve"> diagnosed with </w:t>
      </w:r>
      <w:r w:rsidR="7CF4A893" w:rsidRPr="5E176297">
        <w:rPr>
          <w:rFonts w:eastAsia="Calibri" w:cs="Times New Roman"/>
        </w:rPr>
        <w:t xml:space="preserve">germline </w:t>
      </w:r>
      <w:r w:rsidR="7CAEDA9C" w:rsidRPr="5E176297">
        <w:rPr>
          <w:rFonts w:eastAsia="Calibri" w:cs="Times New Roman"/>
          <w:i/>
          <w:iCs/>
        </w:rPr>
        <w:t>RET</w:t>
      </w:r>
      <w:r w:rsidR="7CAEDA9C" w:rsidRPr="5E176297">
        <w:rPr>
          <w:rFonts w:eastAsia="Calibri" w:cs="Times New Roman"/>
        </w:rPr>
        <w:t xml:space="preserve"> variants because they would </w:t>
      </w:r>
      <w:r w:rsidR="30661530" w:rsidRPr="5E176297">
        <w:rPr>
          <w:rFonts w:eastAsia="Calibri" w:cs="Times New Roman"/>
        </w:rPr>
        <w:t xml:space="preserve">already </w:t>
      </w:r>
      <w:r w:rsidR="7CAEDA9C" w:rsidRPr="5E176297">
        <w:rPr>
          <w:rFonts w:eastAsia="Calibri" w:cs="Times New Roman"/>
        </w:rPr>
        <w:t>be eligible for selpercatinib</w:t>
      </w:r>
      <w:r w:rsidR="44B420AB" w:rsidRPr="5E176297">
        <w:rPr>
          <w:rFonts w:eastAsia="Calibri" w:cs="Times New Roman"/>
        </w:rPr>
        <w:t xml:space="preserve"> </w:t>
      </w:r>
      <w:proofErr w:type="gramStart"/>
      <w:r w:rsidR="44B420AB" w:rsidRPr="5E176297">
        <w:rPr>
          <w:rFonts w:eastAsia="Calibri" w:cs="Times New Roman"/>
        </w:rPr>
        <w:t>on the basis of</w:t>
      </w:r>
      <w:proofErr w:type="gramEnd"/>
      <w:r w:rsidR="44B420AB" w:rsidRPr="5E176297">
        <w:rPr>
          <w:rFonts w:eastAsia="Calibri" w:cs="Times New Roman"/>
        </w:rPr>
        <w:t xml:space="preserve"> their germline status</w:t>
      </w:r>
      <w:r w:rsidR="3016FCCD" w:rsidRPr="5E176297">
        <w:rPr>
          <w:rFonts w:eastAsia="Calibri" w:cs="Times New Roman"/>
        </w:rPr>
        <w:t xml:space="preserve">. </w:t>
      </w:r>
      <w:r w:rsidR="1B2F2D73" w:rsidRPr="5E176297">
        <w:rPr>
          <w:rFonts w:eastAsia="Calibri" w:cs="Times New Roman"/>
        </w:rPr>
        <w:t xml:space="preserve">MSAC also recalled </w:t>
      </w:r>
      <w:r w:rsidR="48EEAAA2" w:rsidRPr="5E176297">
        <w:rPr>
          <w:rFonts w:eastAsia="Calibri" w:cs="Times New Roman"/>
          <w:i/>
          <w:iCs/>
        </w:rPr>
        <w:t>RET</w:t>
      </w:r>
      <w:r w:rsidRPr="5E176297">
        <w:rPr>
          <w:rFonts w:eastAsia="Calibri" w:cs="Times New Roman"/>
        </w:rPr>
        <w:t xml:space="preserve"> testing for non-small cell lung cancer (NSCLC)</w:t>
      </w:r>
      <w:r w:rsidR="5CCB5695" w:rsidRPr="5E176297">
        <w:rPr>
          <w:rFonts w:eastAsia="Calibri" w:cs="Times New Roman"/>
        </w:rPr>
        <w:t>,</w:t>
      </w:r>
      <w:r w:rsidRPr="5E176297">
        <w:rPr>
          <w:rFonts w:eastAsia="Calibri" w:cs="Times New Roman"/>
        </w:rPr>
        <w:t xml:space="preserve"> as part of a gene panel to access selpercatinib (MBS items 73437 and 73439) </w:t>
      </w:r>
      <w:r w:rsidR="65157272" w:rsidRPr="5E176297">
        <w:rPr>
          <w:rFonts w:eastAsia="Calibri" w:cs="Times New Roman"/>
        </w:rPr>
        <w:t xml:space="preserve">was considered and supported at its </w:t>
      </w:r>
      <w:r w:rsidRPr="5E176297">
        <w:rPr>
          <w:rFonts w:eastAsia="Calibri" w:cs="Times New Roman"/>
        </w:rPr>
        <w:t>November 2022</w:t>
      </w:r>
      <w:r w:rsidR="65157272" w:rsidRPr="5E176297">
        <w:rPr>
          <w:rFonts w:eastAsia="Calibri" w:cs="Times New Roman"/>
        </w:rPr>
        <w:t xml:space="preserve"> meeting</w:t>
      </w:r>
      <w:r w:rsidRPr="5E176297">
        <w:rPr>
          <w:rFonts w:eastAsia="Calibri" w:cs="Times New Roman"/>
        </w:rPr>
        <w:t xml:space="preserve"> (</w:t>
      </w:r>
      <w:hyperlink r:id="rId13">
        <w:r w:rsidRPr="5E176297">
          <w:rPr>
            <w:rFonts w:eastAsia="Calibri" w:cs="Times New Roman"/>
          </w:rPr>
          <w:t>Application 1721</w:t>
        </w:r>
      </w:hyperlink>
      <w:r w:rsidRPr="5E176297">
        <w:rPr>
          <w:rFonts w:eastAsia="Calibri" w:cs="Times New Roman"/>
        </w:rPr>
        <w:t>).</w:t>
      </w:r>
    </w:p>
    <w:p w14:paraId="65212AD3" w14:textId="0491747C" w:rsidR="002362D5" w:rsidRPr="002362D5" w:rsidRDefault="1CA7771B" w:rsidP="00046D86">
      <w:pPr>
        <w:spacing w:line="259" w:lineRule="auto"/>
        <w:jc w:val="left"/>
        <w:rPr>
          <w:rFonts w:eastAsia="Calibri" w:cs="Times New Roman"/>
        </w:rPr>
      </w:pPr>
      <w:r w:rsidRPr="5E176297">
        <w:rPr>
          <w:rFonts w:eastAsia="Calibri" w:cs="Times New Roman"/>
        </w:rPr>
        <w:t>MSAC noted the consultation input</w:t>
      </w:r>
      <w:r w:rsidR="1BCB0AF5" w:rsidRPr="5E176297">
        <w:rPr>
          <w:rFonts w:eastAsia="Calibri" w:cs="Times New Roman"/>
        </w:rPr>
        <w:t xml:space="preserve"> from medical/health organisations and consumer groups </w:t>
      </w:r>
      <w:r w:rsidRPr="5E176297">
        <w:rPr>
          <w:rFonts w:eastAsia="Calibri" w:cs="Times New Roman"/>
        </w:rPr>
        <w:t>indicated support for this application</w:t>
      </w:r>
      <w:r w:rsidR="3BAD0F8F" w:rsidRPr="5E176297">
        <w:rPr>
          <w:rFonts w:eastAsia="Calibri" w:cs="Times New Roman"/>
        </w:rPr>
        <w:t xml:space="preserve">. </w:t>
      </w:r>
      <w:r w:rsidR="59632CE1" w:rsidRPr="5E176297">
        <w:rPr>
          <w:rFonts w:eastAsia="Calibri" w:cs="Times New Roman"/>
        </w:rPr>
        <w:t xml:space="preserve">MSAC noted feedback </w:t>
      </w:r>
      <w:r w:rsidR="3E4FCCCB" w:rsidRPr="5E176297">
        <w:rPr>
          <w:rFonts w:eastAsia="Calibri" w:cs="Times New Roman"/>
        </w:rPr>
        <w:t>emphasised</w:t>
      </w:r>
      <w:r w:rsidR="59632CE1" w:rsidRPr="5E176297">
        <w:rPr>
          <w:rFonts w:eastAsia="Calibri" w:cs="Times New Roman"/>
        </w:rPr>
        <w:t xml:space="preserve"> </w:t>
      </w:r>
      <w:r w:rsidR="3BAD0F8F" w:rsidRPr="5E176297">
        <w:rPr>
          <w:rFonts w:eastAsia="Calibri" w:cs="Times New Roman"/>
        </w:rPr>
        <w:t>the importance of cascade testing and genetic counselling</w:t>
      </w:r>
      <w:r w:rsidR="1D076908" w:rsidRPr="5E176297">
        <w:rPr>
          <w:rFonts w:eastAsia="Calibri" w:cs="Times New Roman"/>
        </w:rPr>
        <w:t xml:space="preserve"> when a heritable variant is identified</w:t>
      </w:r>
      <w:r w:rsidR="3BAD0F8F" w:rsidRPr="5E176297">
        <w:rPr>
          <w:rFonts w:eastAsia="Calibri" w:cs="Times New Roman"/>
        </w:rPr>
        <w:t xml:space="preserve">, but considered this not relevant </w:t>
      </w:r>
      <w:r w:rsidR="1229F7DF" w:rsidRPr="5E176297">
        <w:rPr>
          <w:rFonts w:eastAsia="Calibri" w:cs="Times New Roman"/>
        </w:rPr>
        <w:t xml:space="preserve">to the </w:t>
      </w:r>
      <w:r w:rsidR="3BAD0F8F" w:rsidRPr="5E176297">
        <w:rPr>
          <w:rFonts w:eastAsia="Calibri" w:cs="Times New Roman"/>
        </w:rPr>
        <w:t xml:space="preserve">application </w:t>
      </w:r>
      <w:r w:rsidR="1229F7DF" w:rsidRPr="5E176297">
        <w:rPr>
          <w:rFonts w:eastAsia="Calibri" w:cs="Times New Roman"/>
        </w:rPr>
        <w:t xml:space="preserve">as </w:t>
      </w:r>
      <w:r w:rsidR="3BAD0F8F" w:rsidRPr="5E176297">
        <w:rPr>
          <w:rFonts w:eastAsia="Calibri" w:cs="Times New Roman"/>
        </w:rPr>
        <w:t xml:space="preserve">it was for somatic testing </w:t>
      </w:r>
      <w:r w:rsidR="1229F7DF" w:rsidRPr="5E176297">
        <w:rPr>
          <w:rFonts w:eastAsia="Calibri" w:cs="Times New Roman"/>
        </w:rPr>
        <w:t>of tumour</w:t>
      </w:r>
      <w:r w:rsidR="3BAD0F8F" w:rsidRPr="5E176297">
        <w:rPr>
          <w:rFonts w:eastAsia="Calibri" w:cs="Times New Roman"/>
        </w:rPr>
        <w:t xml:space="preserve"> tissue </w:t>
      </w:r>
      <w:r w:rsidR="05713CAC" w:rsidRPr="5E176297">
        <w:rPr>
          <w:rFonts w:eastAsia="Calibri" w:cs="Times New Roman"/>
        </w:rPr>
        <w:t>to enable</w:t>
      </w:r>
      <w:r w:rsidR="3BAD0F8F" w:rsidRPr="5E176297">
        <w:rPr>
          <w:rFonts w:eastAsia="Calibri" w:cs="Times New Roman"/>
        </w:rPr>
        <w:t xml:space="preserve"> access to </w:t>
      </w:r>
      <w:r w:rsidR="05713CAC" w:rsidRPr="5E176297">
        <w:rPr>
          <w:rFonts w:eastAsia="Calibri" w:cs="Times New Roman"/>
        </w:rPr>
        <w:t>treatment</w:t>
      </w:r>
      <w:r w:rsidR="3BAD0F8F" w:rsidRPr="5E176297">
        <w:rPr>
          <w:rFonts w:eastAsia="Calibri" w:cs="Times New Roman"/>
        </w:rPr>
        <w:t xml:space="preserve">, </w:t>
      </w:r>
      <w:r w:rsidR="05713CAC" w:rsidRPr="5E176297">
        <w:rPr>
          <w:rFonts w:eastAsia="Calibri" w:cs="Times New Roman"/>
        </w:rPr>
        <w:t xml:space="preserve">rather than </w:t>
      </w:r>
      <w:r w:rsidR="3BAD0F8F" w:rsidRPr="5E176297">
        <w:rPr>
          <w:rFonts w:eastAsia="Calibri" w:cs="Times New Roman"/>
        </w:rPr>
        <w:t>germline testing. However, MSAC acknowledged that the results from this test</w:t>
      </w:r>
      <w:r w:rsidR="45D78BFD" w:rsidRPr="5E176297">
        <w:rPr>
          <w:rFonts w:eastAsia="Calibri" w:cs="Times New Roman"/>
        </w:rPr>
        <w:t>ing</w:t>
      </w:r>
      <w:r w:rsidR="3BAD0F8F" w:rsidRPr="5E176297">
        <w:rPr>
          <w:rFonts w:eastAsia="Calibri" w:cs="Times New Roman"/>
        </w:rPr>
        <w:t xml:space="preserve"> may lead to additional </w:t>
      </w:r>
      <w:r w:rsidR="25767942" w:rsidRPr="5E176297">
        <w:rPr>
          <w:rFonts w:eastAsia="Calibri" w:cs="Times New Roman"/>
        </w:rPr>
        <w:t xml:space="preserve">germline </w:t>
      </w:r>
      <w:r w:rsidR="3BAD0F8F" w:rsidRPr="5E176297">
        <w:rPr>
          <w:rFonts w:eastAsia="Calibri" w:cs="Times New Roman"/>
        </w:rPr>
        <w:t xml:space="preserve">testing for some patients and their families </w:t>
      </w:r>
      <w:r w:rsidR="627000B2" w:rsidRPr="5E176297">
        <w:rPr>
          <w:rFonts w:eastAsia="Calibri" w:cs="Times New Roman"/>
        </w:rPr>
        <w:t xml:space="preserve">and this would be covered by existing </w:t>
      </w:r>
      <w:r w:rsidR="3BAD0F8F" w:rsidRPr="5E176297">
        <w:rPr>
          <w:rFonts w:eastAsia="Calibri" w:cs="Times New Roman"/>
        </w:rPr>
        <w:t xml:space="preserve">MBS items for </w:t>
      </w:r>
      <w:r w:rsidR="27E99E5D" w:rsidRPr="5E176297">
        <w:rPr>
          <w:rFonts w:eastAsia="Calibri" w:cs="Times New Roman"/>
        </w:rPr>
        <w:t>germli</w:t>
      </w:r>
      <w:r w:rsidR="0FC4C6D2" w:rsidRPr="5E176297">
        <w:rPr>
          <w:rFonts w:eastAsia="Calibri" w:cs="Times New Roman"/>
        </w:rPr>
        <w:t xml:space="preserve">ne testing </w:t>
      </w:r>
      <w:r w:rsidR="1CB7BAD7" w:rsidRPr="5E176297">
        <w:rPr>
          <w:rFonts w:eastAsia="Calibri" w:cs="Times New Roman"/>
        </w:rPr>
        <w:t xml:space="preserve">and cascade testing for </w:t>
      </w:r>
      <w:r w:rsidR="3BAD0F8F" w:rsidRPr="5E176297">
        <w:rPr>
          <w:rFonts w:eastAsia="Calibri" w:cs="Times New Roman"/>
        </w:rPr>
        <w:t>first-degree relatives.</w:t>
      </w:r>
    </w:p>
    <w:p w14:paraId="613B13B9" w14:textId="546E8A71" w:rsidR="00447708" w:rsidRDefault="002D55C6" w:rsidP="00046D86">
      <w:pPr>
        <w:suppressAutoHyphens w:val="0"/>
        <w:jc w:val="left"/>
        <w:rPr>
          <w:rFonts w:eastAsia="Calibri" w:cs="Times New Roman"/>
        </w:rPr>
      </w:pPr>
      <w:r>
        <w:rPr>
          <w:rFonts w:eastAsia="Calibri" w:cs="Times New Roman"/>
        </w:rPr>
        <w:t xml:space="preserve">MSAC noted </w:t>
      </w:r>
      <w:r w:rsidR="003C7143">
        <w:rPr>
          <w:rFonts w:eastAsia="Calibri" w:cs="Times New Roman"/>
        </w:rPr>
        <w:t xml:space="preserve">MTC </w:t>
      </w:r>
      <w:r w:rsidR="00513E42">
        <w:rPr>
          <w:rFonts w:eastAsia="Calibri" w:cs="Times New Roman"/>
        </w:rPr>
        <w:t xml:space="preserve">is a rare form of thyroid cancer that </w:t>
      </w:r>
      <w:r w:rsidR="00046526" w:rsidRPr="00046526">
        <w:rPr>
          <w:rFonts w:eastAsia="Calibri" w:cs="Times New Roman"/>
        </w:rPr>
        <w:t xml:space="preserve">accounts for </w:t>
      </w:r>
      <w:r w:rsidR="008806C2">
        <w:rPr>
          <w:rFonts w:eastAsia="Calibri" w:cs="Times New Roman"/>
        </w:rPr>
        <w:t>approximately</w:t>
      </w:r>
      <w:r w:rsidR="00046526" w:rsidRPr="00046526">
        <w:rPr>
          <w:rFonts w:eastAsia="Calibri" w:cs="Times New Roman"/>
        </w:rPr>
        <w:t xml:space="preserve"> 4% of all thyroid cancers</w:t>
      </w:r>
      <w:r w:rsidR="00065BD4">
        <w:rPr>
          <w:rStyle w:val="FootnoteReference"/>
          <w:rFonts w:eastAsia="Calibri" w:cs="Times New Roman"/>
        </w:rPr>
        <w:footnoteReference w:id="1"/>
      </w:r>
      <w:r w:rsidR="00046526" w:rsidRPr="00046526">
        <w:rPr>
          <w:rFonts w:eastAsia="Calibri" w:cs="Times New Roman"/>
        </w:rPr>
        <w:t xml:space="preserve">. It can occur sporadically or as a hereditary condition due to germline genetic changes </w:t>
      </w:r>
      <w:r w:rsidR="001A6F9F">
        <w:rPr>
          <w:rFonts w:eastAsia="Calibri" w:cs="Times New Roman"/>
        </w:rPr>
        <w:t xml:space="preserve">which may occur as part </w:t>
      </w:r>
      <w:r w:rsidR="005C1200">
        <w:rPr>
          <w:rFonts w:eastAsia="Calibri" w:cs="Times New Roman"/>
        </w:rPr>
        <w:t xml:space="preserve">of </w:t>
      </w:r>
      <w:r w:rsidR="00E066FB">
        <w:rPr>
          <w:rFonts w:eastAsia="Calibri" w:cs="Times New Roman"/>
        </w:rPr>
        <w:t>conditions</w:t>
      </w:r>
      <w:r w:rsidR="00046526" w:rsidRPr="00046526">
        <w:rPr>
          <w:rFonts w:eastAsia="Calibri" w:cs="Times New Roman"/>
        </w:rPr>
        <w:t xml:space="preserve"> such as multiple endocrine neoplasia type 2 (MEN2). </w:t>
      </w:r>
      <w:r w:rsidR="000E503B">
        <w:rPr>
          <w:rFonts w:eastAsia="Calibri" w:cs="Times New Roman"/>
        </w:rPr>
        <w:t>MSAC noted v</w:t>
      </w:r>
      <w:r w:rsidR="00046526" w:rsidRPr="00046526">
        <w:rPr>
          <w:rFonts w:eastAsia="Calibri" w:cs="Times New Roman"/>
        </w:rPr>
        <w:t xml:space="preserve">ariants in the </w:t>
      </w:r>
      <w:r w:rsidR="00B14353" w:rsidRPr="3978F4D8">
        <w:rPr>
          <w:rFonts w:eastAsia="Calibri" w:cs="Times New Roman"/>
          <w:i/>
          <w:iCs/>
        </w:rPr>
        <w:t>RET</w:t>
      </w:r>
      <w:r w:rsidR="00046526" w:rsidRPr="00046526">
        <w:rPr>
          <w:rFonts w:eastAsia="Calibri" w:cs="Times New Roman"/>
        </w:rPr>
        <w:t xml:space="preserve"> gene are present in approximately 70% of </w:t>
      </w:r>
      <w:r w:rsidR="00B14353">
        <w:rPr>
          <w:rFonts w:eastAsia="Calibri" w:cs="Times New Roman"/>
        </w:rPr>
        <w:t>patients</w:t>
      </w:r>
      <w:r w:rsidR="00046526" w:rsidRPr="00046526">
        <w:rPr>
          <w:rFonts w:eastAsia="Calibri" w:cs="Times New Roman"/>
        </w:rPr>
        <w:t xml:space="preserve"> with MTC</w:t>
      </w:r>
      <w:r w:rsidR="00977F44">
        <w:rPr>
          <w:rStyle w:val="FootnoteReference"/>
          <w:rFonts w:eastAsia="Calibri" w:cs="Times New Roman"/>
        </w:rPr>
        <w:footnoteReference w:id="2"/>
      </w:r>
      <w:r w:rsidR="00046526" w:rsidRPr="00046526">
        <w:rPr>
          <w:rFonts w:eastAsia="Calibri" w:cs="Times New Roman"/>
        </w:rPr>
        <w:t>, occurring in about 98% of hereditary cases and around 50–60% of sporadic cases</w:t>
      </w:r>
      <w:r w:rsidR="004322E6">
        <w:rPr>
          <w:rStyle w:val="FootnoteReference"/>
          <w:rFonts w:eastAsia="Calibri" w:cs="Times New Roman"/>
        </w:rPr>
        <w:footnoteReference w:id="3"/>
      </w:r>
      <w:r w:rsidR="00447708" w:rsidRPr="00F22035">
        <w:rPr>
          <w:rFonts w:eastAsia="Calibri" w:cs="Times New Roman"/>
          <w:vertAlign w:val="superscript"/>
        </w:rPr>
        <w:t>,</w:t>
      </w:r>
      <w:r w:rsidR="00447708">
        <w:rPr>
          <w:rStyle w:val="FootnoteReference"/>
          <w:rFonts w:eastAsia="Calibri" w:cs="Times New Roman"/>
        </w:rPr>
        <w:footnoteReference w:id="4"/>
      </w:r>
      <w:r w:rsidR="00046526" w:rsidRPr="00046526">
        <w:rPr>
          <w:rFonts w:eastAsia="Calibri" w:cs="Times New Roman"/>
        </w:rPr>
        <w:t xml:space="preserve">. The </w:t>
      </w:r>
      <w:r w:rsidR="00B14353" w:rsidRPr="3978F4D8">
        <w:rPr>
          <w:rFonts w:eastAsia="Calibri" w:cs="Times New Roman"/>
          <w:i/>
          <w:iCs/>
        </w:rPr>
        <w:lastRenderedPageBreak/>
        <w:t>RET</w:t>
      </w:r>
      <w:r w:rsidR="00046526" w:rsidRPr="00046526">
        <w:rPr>
          <w:rFonts w:eastAsia="Calibri" w:cs="Times New Roman"/>
        </w:rPr>
        <w:t xml:space="preserve"> gene encodes a transmembrane tyrosine kinase receptor. Clinically, MTC can range from </w:t>
      </w:r>
      <w:proofErr w:type="gramStart"/>
      <w:r w:rsidR="00046526" w:rsidRPr="00046526">
        <w:rPr>
          <w:rFonts w:eastAsia="Calibri" w:cs="Times New Roman"/>
        </w:rPr>
        <w:t>slow</w:t>
      </w:r>
      <w:r w:rsidR="00AE06A7">
        <w:rPr>
          <w:rFonts w:eastAsia="Calibri" w:cs="Times New Roman"/>
        </w:rPr>
        <w:t>-</w:t>
      </w:r>
      <w:r w:rsidR="00046526" w:rsidRPr="00046526">
        <w:rPr>
          <w:rFonts w:eastAsia="Calibri" w:cs="Times New Roman"/>
        </w:rPr>
        <w:t>growing</w:t>
      </w:r>
      <w:proofErr w:type="gramEnd"/>
      <w:r w:rsidR="00046526" w:rsidRPr="00046526">
        <w:rPr>
          <w:rFonts w:eastAsia="Calibri" w:cs="Times New Roman"/>
        </w:rPr>
        <w:t xml:space="preserve"> (indolent) to aggressive disease, and it is frequently metastatic, with around half of patients </w:t>
      </w:r>
      <w:r w:rsidR="006B66FE">
        <w:rPr>
          <w:rFonts w:eastAsia="Calibri" w:cs="Times New Roman"/>
        </w:rPr>
        <w:t>presenting with</w:t>
      </w:r>
      <w:r w:rsidR="006B66FE" w:rsidRPr="00046526">
        <w:rPr>
          <w:rFonts w:eastAsia="Calibri" w:cs="Times New Roman"/>
        </w:rPr>
        <w:t xml:space="preserve"> </w:t>
      </w:r>
      <w:r w:rsidR="00046526" w:rsidRPr="00046526">
        <w:rPr>
          <w:rFonts w:eastAsia="Calibri" w:cs="Times New Roman"/>
        </w:rPr>
        <w:t>metastatic disease at diagnosis.</w:t>
      </w:r>
    </w:p>
    <w:p w14:paraId="4474DFF5" w14:textId="3E4C21BE" w:rsidR="002362D5" w:rsidRPr="002362D5" w:rsidRDefault="4E1F5639" w:rsidP="00046D86">
      <w:pPr>
        <w:suppressAutoHyphens w:val="0"/>
        <w:jc w:val="left"/>
        <w:rPr>
          <w:rFonts w:eastAsia="Calibri" w:cs="Times New Roman"/>
        </w:rPr>
      </w:pPr>
      <w:r w:rsidRPr="5E6B98F9">
        <w:rPr>
          <w:rFonts w:eastAsia="Calibri" w:cs="Times New Roman"/>
        </w:rPr>
        <w:t>MSAC noted feedback from the Royal College of Pathologists of Australasia (RCPA) suggested that a fee of $682.35 for a small gene panel test</w:t>
      </w:r>
      <w:r w:rsidR="08559978" w:rsidRPr="5E6B98F9">
        <w:rPr>
          <w:rFonts w:eastAsia="Calibri" w:cs="Times New Roman"/>
        </w:rPr>
        <w:t xml:space="preserve">, consistent with </w:t>
      </w:r>
      <w:r w:rsidRPr="5E6B98F9">
        <w:rPr>
          <w:rFonts w:eastAsia="Calibri" w:cs="Times New Roman"/>
        </w:rPr>
        <w:t>MBS item 73438</w:t>
      </w:r>
      <w:r w:rsidR="08559978" w:rsidRPr="5E6B98F9">
        <w:rPr>
          <w:rFonts w:eastAsia="Calibri" w:cs="Times New Roman"/>
        </w:rPr>
        <w:t>,</w:t>
      </w:r>
      <w:r w:rsidRPr="5E6B98F9">
        <w:rPr>
          <w:rFonts w:eastAsia="Calibri" w:cs="Times New Roman"/>
        </w:rPr>
        <w:t xml:space="preserve"> would be appropriate</w:t>
      </w:r>
      <w:r w:rsidR="320D9D97" w:rsidRPr="5E6B98F9">
        <w:rPr>
          <w:rFonts w:eastAsia="Calibri" w:cs="Times New Roman"/>
        </w:rPr>
        <w:t xml:space="preserve">. MSAC further noted that the </w:t>
      </w:r>
      <w:r w:rsidRPr="5E6B98F9">
        <w:rPr>
          <w:rFonts w:eastAsia="Calibri" w:cs="Times New Roman"/>
        </w:rPr>
        <w:t>Neuroendocrine Cancer Australia supported a fee of $400</w:t>
      </w:r>
      <w:r w:rsidR="7C7AE14B" w:rsidRPr="5E6B98F9">
        <w:rPr>
          <w:rFonts w:eastAsia="Calibri" w:cs="Times New Roman"/>
        </w:rPr>
        <w:t>,</w:t>
      </w:r>
      <w:r w:rsidR="25D7F23C" w:rsidRPr="5E6B98F9">
        <w:rPr>
          <w:rFonts w:eastAsia="Calibri" w:cs="Times New Roman"/>
        </w:rPr>
        <w:t xml:space="preserve"> </w:t>
      </w:r>
      <w:r w:rsidR="7B6F39D0" w:rsidRPr="5E6B98F9">
        <w:rPr>
          <w:rFonts w:eastAsia="Calibri" w:cs="Times New Roman"/>
        </w:rPr>
        <w:t>which aligned with the fee advice received from Genomics Australia</w:t>
      </w:r>
      <w:r w:rsidR="28D5BDAB" w:rsidRPr="5E6B98F9">
        <w:rPr>
          <w:rFonts w:eastAsia="Calibri" w:cs="Times New Roman"/>
        </w:rPr>
        <w:t xml:space="preserve"> (GA)</w:t>
      </w:r>
      <w:r w:rsidRPr="5E6B98F9">
        <w:rPr>
          <w:rFonts w:eastAsia="Calibri" w:cs="Times New Roman"/>
        </w:rPr>
        <w:t>.</w:t>
      </w:r>
      <w:r w:rsidR="320D9D97" w:rsidRPr="5E6B98F9">
        <w:rPr>
          <w:rFonts w:eastAsia="Calibri" w:cs="Times New Roman"/>
        </w:rPr>
        <w:t xml:space="preserve"> </w:t>
      </w:r>
      <w:r w:rsidR="50EAC12C" w:rsidRPr="5E6B98F9">
        <w:rPr>
          <w:rFonts w:eastAsia="Calibri" w:cs="Times New Roman"/>
        </w:rPr>
        <w:t xml:space="preserve">MSAC </w:t>
      </w:r>
      <w:r w:rsidR="77388DF5" w:rsidRPr="5E6B98F9">
        <w:rPr>
          <w:rFonts w:eastAsia="Calibri" w:cs="Times New Roman"/>
        </w:rPr>
        <w:t xml:space="preserve">agreed </w:t>
      </w:r>
      <w:r w:rsidR="28D5BDAB" w:rsidRPr="5E6B98F9">
        <w:rPr>
          <w:rFonts w:eastAsia="Calibri" w:cs="Times New Roman"/>
        </w:rPr>
        <w:t xml:space="preserve">with GA </w:t>
      </w:r>
      <w:r w:rsidR="1DE9F54C" w:rsidRPr="5E6B98F9">
        <w:rPr>
          <w:rFonts w:eastAsia="Calibri" w:cs="Times New Roman"/>
        </w:rPr>
        <w:t xml:space="preserve">that </w:t>
      </w:r>
      <w:r w:rsidR="6239A5FD" w:rsidRPr="5E6B98F9">
        <w:rPr>
          <w:rFonts w:eastAsia="Calibri" w:cs="Times New Roman"/>
        </w:rPr>
        <w:t xml:space="preserve">a </w:t>
      </w:r>
      <w:r w:rsidR="50EAC12C" w:rsidRPr="5E6B98F9">
        <w:rPr>
          <w:rFonts w:eastAsia="Calibri" w:cs="Times New Roman"/>
        </w:rPr>
        <w:t xml:space="preserve">fee of $400 </w:t>
      </w:r>
      <w:r w:rsidR="1DE9F54C" w:rsidRPr="5E6B98F9">
        <w:rPr>
          <w:rFonts w:eastAsia="Calibri" w:cs="Times New Roman"/>
        </w:rPr>
        <w:t>was</w:t>
      </w:r>
      <w:r w:rsidR="50EAC12C" w:rsidRPr="5E6B98F9">
        <w:rPr>
          <w:rFonts w:eastAsia="Calibri" w:cs="Times New Roman"/>
        </w:rPr>
        <w:t xml:space="preserve"> appropriate for </w:t>
      </w:r>
      <w:r w:rsidR="4FBF485D" w:rsidRPr="5E6B98F9">
        <w:rPr>
          <w:rFonts w:eastAsia="Calibri" w:cs="Times New Roman"/>
        </w:rPr>
        <w:t xml:space="preserve">the proposed </w:t>
      </w:r>
      <w:r w:rsidR="50EAC12C" w:rsidRPr="5E6B98F9">
        <w:rPr>
          <w:rFonts w:eastAsia="Calibri" w:cs="Times New Roman"/>
        </w:rPr>
        <w:t xml:space="preserve">single-gene </w:t>
      </w:r>
      <w:r w:rsidR="1DE9F54C" w:rsidRPr="5E6B98F9">
        <w:rPr>
          <w:rFonts w:eastAsia="Calibri" w:cs="Times New Roman"/>
        </w:rPr>
        <w:t>method</w:t>
      </w:r>
      <w:r w:rsidR="099E0061" w:rsidRPr="5E6B98F9">
        <w:rPr>
          <w:rFonts w:eastAsia="Calibri" w:cs="Times New Roman"/>
        </w:rPr>
        <w:t>-</w:t>
      </w:r>
      <w:r w:rsidR="1DE9F54C" w:rsidRPr="5E6B98F9">
        <w:rPr>
          <w:rFonts w:eastAsia="Calibri" w:cs="Times New Roman"/>
        </w:rPr>
        <w:t xml:space="preserve">agnostic </w:t>
      </w:r>
      <w:r w:rsidR="50EAC12C" w:rsidRPr="5E6B98F9">
        <w:rPr>
          <w:rFonts w:eastAsia="Calibri" w:cs="Times New Roman"/>
        </w:rPr>
        <w:t>test.</w:t>
      </w:r>
      <w:r w:rsidR="55E7D700" w:rsidRPr="5E6B98F9">
        <w:rPr>
          <w:rFonts w:eastAsia="Calibri" w:cs="Times New Roman"/>
        </w:rPr>
        <w:t xml:space="preserve"> MSAC acknowledged that </w:t>
      </w:r>
      <w:r w:rsidR="0279A731" w:rsidRPr="5E6B98F9">
        <w:rPr>
          <w:rFonts w:eastAsia="Calibri" w:cs="Times New Roman"/>
          <w:i/>
          <w:iCs/>
        </w:rPr>
        <w:t>RET</w:t>
      </w:r>
      <w:r w:rsidR="0279A731" w:rsidRPr="5E6B98F9">
        <w:rPr>
          <w:rFonts w:eastAsia="Calibri" w:cs="Times New Roman"/>
        </w:rPr>
        <w:t xml:space="preserve"> testing </w:t>
      </w:r>
      <w:r w:rsidR="2BAB6900" w:rsidRPr="5E6B98F9">
        <w:rPr>
          <w:rFonts w:eastAsia="Calibri" w:cs="Times New Roman"/>
        </w:rPr>
        <w:t>methods are</w:t>
      </w:r>
      <w:r w:rsidR="0279A731" w:rsidRPr="5E6B98F9">
        <w:rPr>
          <w:rFonts w:eastAsia="Calibri" w:cs="Times New Roman"/>
        </w:rPr>
        <w:t xml:space="preserve"> </w:t>
      </w:r>
      <w:r w:rsidR="52E6A746" w:rsidRPr="5E6B98F9">
        <w:rPr>
          <w:rFonts w:eastAsia="Calibri" w:cs="Times New Roman"/>
        </w:rPr>
        <w:t xml:space="preserve">already </w:t>
      </w:r>
      <w:r w:rsidR="65A482D6" w:rsidRPr="5E6B98F9">
        <w:rPr>
          <w:rFonts w:eastAsia="Calibri" w:cs="Times New Roman"/>
        </w:rPr>
        <w:t xml:space="preserve">well </w:t>
      </w:r>
      <w:r w:rsidR="0279A731" w:rsidRPr="5E6B98F9">
        <w:rPr>
          <w:rFonts w:eastAsia="Calibri" w:cs="Times New Roman"/>
        </w:rPr>
        <w:t xml:space="preserve">established in Australia and </w:t>
      </w:r>
      <w:r w:rsidR="55E7D700" w:rsidRPr="5E6B98F9">
        <w:rPr>
          <w:rFonts w:eastAsia="Calibri" w:cs="Times New Roman"/>
        </w:rPr>
        <w:t xml:space="preserve">most </w:t>
      </w:r>
      <w:r w:rsidR="3798048F" w:rsidRPr="5E6B98F9">
        <w:rPr>
          <w:rFonts w:eastAsia="Calibri" w:cs="Times New Roman"/>
        </w:rPr>
        <w:t>l</w:t>
      </w:r>
      <w:r w:rsidR="55E7D700" w:rsidRPr="5E6B98F9">
        <w:rPr>
          <w:rFonts w:eastAsia="Calibri" w:cs="Times New Roman"/>
        </w:rPr>
        <w:t>aboratories will test using next-generation sequencing (NGS) based method</w:t>
      </w:r>
      <w:r w:rsidR="0FF9D750" w:rsidRPr="5E6B98F9">
        <w:rPr>
          <w:rFonts w:eastAsia="Calibri" w:cs="Times New Roman"/>
        </w:rPr>
        <w:t>s</w:t>
      </w:r>
      <w:r w:rsidR="55E7D700" w:rsidRPr="5E6B98F9">
        <w:rPr>
          <w:rFonts w:eastAsia="Calibri" w:cs="Times New Roman"/>
        </w:rPr>
        <w:t xml:space="preserve">, as it is more sensitive and preferable </w:t>
      </w:r>
      <w:r w:rsidR="52E6A746" w:rsidRPr="5E6B98F9">
        <w:rPr>
          <w:rFonts w:eastAsia="Calibri" w:cs="Times New Roman"/>
        </w:rPr>
        <w:t xml:space="preserve">compared </w:t>
      </w:r>
      <w:r w:rsidR="55E7D700" w:rsidRPr="5E6B98F9">
        <w:rPr>
          <w:rFonts w:eastAsia="Calibri" w:cs="Times New Roman"/>
        </w:rPr>
        <w:t>to polymerase chain reaction (PCR) method</w:t>
      </w:r>
      <w:r w:rsidR="0FF9D750" w:rsidRPr="5E6B98F9">
        <w:rPr>
          <w:rFonts w:eastAsia="Calibri" w:cs="Times New Roman"/>
        </w:rPr>
        <w:t>s</w:t>
      </w:r>
      <w:r w:rsidR="55E7D700" w:rsidRPr="5E6B98F9">
        <w:rPr>
          <w:rFonts w:eastAsia="Calibri" w:cs="Times New Roman"/>
        </w:rPr>
        <w:t>.</w:t>
      </w:r>
      <w:r w:rsidRPr="5E6B98F9">
        <w:rPr>
          <w:rFonts w:eastAsia="Calibri" w:cs="Times New Roman"/>
        </w:rPr>
        <w:t xml:space="preserve"> </w:t>
      </w:r>
    </w:p>
    <w:p w14:paraId="5B1EB5E5" w14:textId="2AD905C8" w:rsidR="00D81695" w:rsidRPr="003D64C5" w:rsidRDefault="3BAD0F8F" w:rsidP="00046D86">
      <w:pPr>
        <w:jc w:val="left"/>
        <w:rPr>
          <w:lang w:eastAsia="en-AU"/>
        </w:rPr>
      </w:pPr>
      <w:r w:rsidRPr="5E176297">
        <w:rPr>
          <w:rFonts w:eastAsia="Calibri" w:cs="Times New Roman"/>
        </w:rPr>
        <w:t>MSAC also agreed with ESC that using</w:t>
      </w:r>
      <w:r w:rsidR="4309105C" w:rsidRPr="5E176297">
        <w:rPr>
          <w:rFonts w:eastAsia="Calibri" w:cs="Times New Roman"/>
        </w:rPr>
        <w:t xml:space="preserve"> the wording</w:t>
      </w:r>
      <w:r w:rsidRPr="5E176297">
        <w:rPr>
          <w:rFonts w:eastAsia="Calibri" w:cs="Times New Roman"/>
        </w:rPr>
        <w:t xml:space="preserve"> ‘</w:t>
      </w:r>
      <w:r w:rsidR="48EEAAA2" w:rsidRPr="5E176297">
        <w:rPr>
          <w:rFonts w:eastAsia="Calibri" w:cs="Times New Roman"/>
          <w:i/>
          <w:iCs/>
        </w:rPr>
        <w:t>RET</w:t>
      </w:r>
      <w:r w:rsidRPr="5E176297">
        <w:rPr>
          <w:rFonts w:eastAsia="Calibri" w:cs="Times New Roman"/>
        </w:rPr>
        <w:t xml:space="preserve"> gene’ in the MBS item descriptor was appropriate as </w:t>
      </w:r>
      <w:r w:rsidR="09D74D7B" w:rsidRPr="5E176297">
        <w:rPr>
          <w:rFonts w:eastAsia="Calibri" w:cs="Times New Roman"/>
        </w:rPr>
        <w:t xml:space="preserve">the gene symbol </w:t>
      </w:r>
      <w:r w:rsidRPr="5E176297">
        <w:rPr>
          <w:rFonts w:eastAsia="Calibri" w:cs="Times New Roman"/>
        </w:rPr>
        <w:t xml:space="preserve">is familiar terminology, so it was not necessary to </w:t>
      </w:r>
      <w:r w:rsidR="74D4A594" w:rsidRPr="5E176297">
        <w:rPr>
          <w:rFonts w:eastAsia="Calibri" w:cs="Times New Roman"/>
        </w:rPr>
        <w:t xml:space="preserve">also </w:t>
      </w:r>
      <w:r w:rsidRPr="5E176297">
        <w:rPr>
          <w:rFonts w:eastAsia="Calibri" w:cs="Times New Roman"/>
        </w:rPr>
        <w:t xml:space="preserve">refer to </w:t>
      </w:r>
      <w:r w:rsidR="09D74D7B" w:rsidRPr="5E176297">
        <w:rPr>
          <w:rFonts w:eastAsia="Calibri" w:cs="Times New Roman"/>
        </w:rPr>
        <w:t>the gene’s full name</w:t>
      </w:r>
      <w:r w:rsidRPr="5E176297">
        <w:rPr>
          <w:rFonts w:eastAsia="Calibri" w:cs="Times New Roman"/>
        </w:rPr>
        <w:t xml:space="preserve"> ‘ret-proto-oncogene’ as suggested by the </w:t>
      </w:r>
      <w:r w:rsidR="15F4CC18" w:rsidRPr="5E176297">
        <w:rPr>
          <w:rFonts w:eastAsia="Calibri" w:cs="Times New Roman"/>
        </w:rPr>
        <w:t>department</w:t>
      </w:r>
      <w:r w:rsidRPr="5E176297">
        <w:rPr>
          <w:rFonts w:eastAsia="Calibri" w:cs="Times New Roman"/>
        </w:rPr>
        <w:t>.</w:t>
      </w:r>
      <w:r w:rsidR="4289306C" w:rsidRPr="5E176297">
        <w:rPr>
          <w:rFonts w:eastAsia="Calibri" w:cs="Times New Roman"/>
        </w:rPr>
        <w:t xml:space="preserve"> MSAC considered it appropriate to not specify testing frequency</w:t>
      </w:r>
      <w:r w:rsidR="5FBFCB12" w:rsidRPr="5E176297">
        <w:rPr>
          <w:rFonts w:eastAsia="Calibri" w:cs="Times New Roman"/>
        </w:rPr>
        <w:t xml:space="preserve"> to allow clinicians to order </w:t>
      </w:r>
      <w:r w:rsidR="1E8C665F">
        <w:t>repeat</w:t>
      </w:r>
      <w:r w:rsidR="5FBFCB12" w:rsidRPr="5E176297">
        <w:rPr>
          <w:rFonts w:eastAsia="Calibri" w:cs="Times New Roman"/>
        </w:rPr>
        <w:t xml:space="preserve"> test </w:t>
      </w:r>
      <w:r w:rsidR="17DB0B06" w:rsidRPr="5E176297">
        <w:rPr>
          <w:rFonts w:eastAsia="Calibri" w:cs="Times New Roman"/>
        </w:rPr>
        <w:t xml:space="preserve">if </w:t>
      </w:r>
      <w:r w:rsidR="059938B9" w:rsidRPr="5E176297">
        <w:rPr>
          <w:rFonts w:eastAsia="Calibri" w:cs="Times New Roman"/>
        </w:rPr>
        <w:t>clinically necessary</w:t>
      </w:r>
      <w:r w:rsidR="4289306C" w:rsidRPr="5E176297">
        <w:rPr>
          <w:rFonts w:eastAsia="Calibri" w:cs="Times New Roman"/>
        </w:rPr>
        <w:t xml:space="preserve">. </w:t>
      </w:r>
      <w:r w:rsidR="059938B9" w:rsidRPr="5E176297">
        <w:rPr>
          <w:rFonts w:eastAsia="Calibri" w:cs="Times New Roman"/>
        </w:rPr>
        <w:t xml:space="preserve">MSAC noted </w:t>
      </w:r>
      <w:r w:rsidR="725551F1" w:rsidRPr="5E176297">
        <w:rPr>
          <w:rFonts w:eastAsia="Calibri" w:cs="Times New Roman"/>
        </w:rPr>
        <w:t>that</w:t>
      </w:r>
      <w:r w:rsidR="059938B9" w:rsidRPr="5E176297">
        <w:rPr>
          <w:rFonts w:eastAsia="Calibri" w:cs="Times New Roman"/>
        </w:rPr>
        <w:t xml:space="preserve"> a</w:t>
      </w:r>
      <w:r w:rsidR="4289306C" w:rsidRPr="5E176297">
        <w:rPr>
          <w:rFonts w:eastAsia="Calibri" w:cs="Times New Roman"/>
        </w:rPr>
        <w:t xml:space="preserve">lthough it was unlikely that a patient would require additional testing, </w:t>
      </w:r>
      <w:r w:rsidR="7D2B71CE" w:rsidRPr="5E176297">
        <w:rPr>
          <w:rFonts w:eastAsia="Calibri" w:cs="Times New Roman"/>
        </w:rPr>
        <w:t xml:space="preserve">re-testing may be warranted in </w:t>
      </w:r>
      <w:r w:rsidR="4289306C" w:rsidRPr="5E176297">
        <w:rPr>
          <w:rFonts w:eastAsia="Calibri" w:cs="Times New Roman"/>
        </w:rPr>
        <w:t xml:space="preserve">cases of tumour heterogeneity </w:t>
      </w:r>
      <w:r w:rsidR="2DC68D44" w:rsidRPr="5E176297">
        <w:rPr>
          <w:rFonts w:eastAsia="Calibri" w:cs="Times New Roman"/>
        </w:rPr>
        <w:t>or</w:t>
      </w:r>
      <w:r w:rsidR="2E20A973" w:rsidRPr="5E176297">
        <w:rPr>
          <w:rFonts w:eastAsia="Calibri" w:cs="Times New Roman"/>
        </w:rPr>
        <w:t xml:space="preserve"> </w:t>
      </w:r>
      <w:r w:rsidR="4289306C" w:rsidRPr="5E176297">
        <w:rPr>
          <w:rFonts w:eastAsia="Calibri" w:cs="Times New Roman"/>
        </w:rPr>
        <w:t>treatment resist</w:t>
      </w:r>
      <w:r w:rsidR="2E20A973" w:rsidRPr="5E176297">
        <w:rPr>
          <w:rFonts w:eastAsia="Calibri" w:cs="Times New Roman"/>
        </w:rPr>
        <w:t>ance</w:t>
      </w:r>
      <w:r w:rsidR="4289306C" w:rsidRPr="5E176297">
        <w:rPr>
          <w:rFonts w:eastAsia="Calibri" w:cs="Times New Roman"/>
        </w:rPr>
        <w:t xml:space="preserve">. MSAC noted there </w:t>
      </w:r>
      <w:r w:rsidR="16C31941" w:rsidRPr="5E176297">
        <w:rPr>
          <w:rFonts w:eastAsia="Calibri" w:cs="Times New Roman"/>
        </w:rPr>
        <w:t>w</w:t>
      </w:r>
      <w:r w:rsidR="01AE1539" w:rsidRPr="5E176297">
        <w:rPr>
          <w:rFonts w:eastAsia="Calibri" w:cs="Times New Roman"/>
        </w:rPr>
        <w:t>er</w:t>
      </w:r>
      <w:r w:rsidR="0EEEAB45" w:rsidRPr="5E176297">
        <w:rPr>
          <w:rFonts w:eastAsia="Calibri" w:cs="Times New Roman"/>
        </w:rPr>
        <w:t>e</w:t>
      </w:r>
      <w:r w:rsidR="4289306C" w:rsidRPr="5E176297">
        <w:rPr>
          <w:rFonts w:eastAsia="Calibri" w:cs="Times New Roman"/>
        </w:rPr>
        <w:t xml:space="preserve"> currently no second-generation </w:t>
      </w:r>
      <w:r w:rsidR="4289306C" w:rsidRPr="5E176297">
        <w:rPr>
          <w:rFonts w:eastAsia="Calibri" w:cs="Times New Roman"/>
          <w:i/>
          <w:iCs/>
        </w:rPr>
        <w:t>RET</w:t>
      </w:r>
      <w:r w:rsidR="4289306C" w:rsidRPr="5E176297">
        <w:rPr>
          <w:rFonts w:eastAsia="Calibri" w:cs="Times New Roman"/>
        </w:rPr>
        <w:t xml:space="preserve"> inhibitors on the market, </w:t>
      </w:r>
      <w:r w:rsidR="16C31941" w:rsidRPr="5E176297">
        <w:rPr>
          <w:rFonts w:eastAsia="Calibri" w:cs="Times New Roman"/>
        </w:rPr>
        <w:t xml:space="preserve">but considered </w:t>
      </w:r>
      <w:r w:rsidR="4289306C" w:rsidRPr="5E176297">
        <w:rPr>
          <w:rFonts w:eastAsia="Calibri" w:cs="Times New Roman"/>
        </w:rPr>
        <w:t xml:space="preserve">this could change, so </w:t>
      </w:r>
      <w:r w:rsidR="526CFEF5" w:rsidRPr="5E176297">
        <w:rPr>
          <w:rFonts w:eastAsia="Calibri" w:cs="Times New Roman"/>
        </w:rPr>
        <w:t>ensuring there were</w:t>
      </w:r>
      <w:r w:rsidR="4289306C" w:rsidRPr="5E176297">
        <w:rPr>
          <w:rFonts w:eastAsia="Calibri" w:cs="Times New Roman"/>
        </w:rPr>
        <w:t xml:space="preserve"> no restrictions on testing frequency </w:t>
      </w:r>
      <w:r w:rsidR="16C31941" w:rsidRPr="5E176297">
        <w:rPr>
          <w:rFonts w:eastAsia="Calibri" w:cs="Times New Roman"/>
        </w:rPr>
        <w:t xml:space="preserve">would </w:t>
      </w:r>
      <w:r w:rsidR="4289306C" w:rsidRPr="5E176297">
        <w:rPr>
          <w:rFonts w:eastAsia="Calibri" w:cs="Times New Roman"/>
        </w:rPr>
        <w:t>futureproof the MBS item.</w:t>
      </w:r>
      <w:r w:rsidR="5908944E" w:rsidRPr="5E176297">
        <w:rPr>
          <w:rFonts w:eastAsia="Calibri" w:cs="Times New Roman"/>
        </w:rPr>
        <w:t xml:space="preserve"> </w:t>
      </w:r>
      <w:r w:rsidR="5908944E">
        <w:t xml:space="preserve">MSAC advised that the MBS item descriptor should be pathologist determinable and </w:t>
      </w:r>
      <w:r w:rsidR="5908944E" w:rsidRPr="5E176297">
        <w:rPr>
          <w:rFonts w:cs="Calibri"/>
        </w:rPr>
        <w:t>should restrict requesting of the test to specialist or consultant physicians.</w:t>
      </w:r>
      <w:r w:rsidR="75F23203" w:rsidRPr="5E176297">
        <w:rPr>
          <w:rFonts w:cs="Calibri"/>
        </w:rPr>
        <w:t xml:space="preserve"> </w:t>
      </w:r>
      <w:r w:rsidR="002362D5" w:rsidRPr="5E176297">
        <w:rPr>
          <w:rFonts w:cs="Calibri"/>
        </w:rPr>
        <w:t>MSAC advised t</w:t>
      </w:r>
      <w:r w:rsidR="75F23203" w:rsidRPr="5E176297">
        <w:rPr>
          <w:rFonts w:cs="Calibri"/>
        </w:rPr>
        <w:t xml:space="preserve">he </w:t>
      </w:r>
      <w:r w:rsidR="002362D5" w:rsidRPr="5E176297">
        <w:rPr>
          <w:rFonts w:cs="Calibri"/>
        </w:rPr>
        <w:t>d</w:t>
      </w:r>
      <w:r w:rsidR="75F23203" w:rsidRPr="5E176297">
        <w:rPr>
          <w:rFonts w:cs="Calibri"/>
        </w:rPr>
        <w:t xml:space="preserve">epartment and </w:t>
      </w:r>
      <w:r w:rsidR="3CC75A11" w:rsidRPr="5E176297">
        <w:rPr>
          <w:rFonts w:cs="Calibri"/>
        </w:rPr>
        <w:t>the</w:t>
      </w:r>
      <w:r w:rsidR="002362D5" w:rsidRPr="5E176297">
        <w:rPr>
          <w:rFonts w:cs="Calibri"/>
        </w:rPr>
        <w:t xml:space="preserve"> </w:t>
      </w:r>
      <w:r w:rsidR="3CC75A11" w:rsidRPr="5E176297">
        <w:rPr>
          <w:rFonts w:cs="Calibri"/>
        </w:rPr>
        <w:t xml:space="preserve">RCPA </w:t>
      </w:r>
      <w:r w:rsidR="00D10B0F">
        <w:rPr>
          <w:rFonts w:cs="Calibri"/>
        </w:rPr>
        <w:t>inform</w:t>
      </w:r>
      <w:r w:rsidR="364FB0F0" w:rsidRPr="5E176297">
        <w:rPr>
          <w:rFonts w:cs="Calibri"/>
        </w:rPr>
        <w:t xml:space="preserve"> </w:t>
      </w:r>
      <w:r w:rsidR="002362D5" w:rsidRPr="5E176297">
        <w:rPr>
          <w:rFonts w:cs="Calibri"/>
        </w:rPr>
        <w:t>pathologists</w:t>
      </w:r>
      <w:r w:rsidR="364FB0F0" w:rsidRPr="5E176297">
        <w:rPr>
          <w:rFonts w:cs="Calibri"/>
        </w:rPr>
        <w:t xml:space="preserve"> </w:t>
      </w:r>
      <w:r w:rsidR="573631FB" w:rsidRPr="5E176297">
        <w:rPr>
          <w:rFonts w:cs="Calibri"/>
        </w:rPr>
        <w:t>that th</w:t>
      </w:r>
      <w:r w:rsidR="266BFFF7" w:rsidRPr="5E176297">
        <w:rPr>
          <w:rFonts w:cs="Calibri"/>
        </w:rPr>
        <w:t>e test</w:t>
      </w:r>
      <w:r w:rsidR="22C98DDF" w:rsidRPr="5E176297">
        <w:rPr>
          <w:rFonts w:cs="Calibri"/>
        </w:rPr>
        <w:t xml:space="preserve"> </w:t>
      </w:r>
      <w:r w:rsidR="002362D5" w:rsidRPr="5E176297">
        <w:rPr>
          <w:rFonts w:cs="Calibri"/>
        </w:rPr>
        <w:t>is</w:t>
      </w:r>
      <w:r w:rsidR="22C98DDF" w:rsidRPr="5E176297">
        <w:rPr>
          <w:rFonts w:cs="Calibri"/>
        </w:rPr>
        <w:t xml:space="preserve"> pathologist determinable</w:t>
      </w:r>
      <w:r w:rsidR="22127CFB" w:rsidRPr="5E176297">
        <w:rPr>
          <w:rFonts w:cs="Calibri"/>
        </w:rPr>
        <w:t>.</w:t>
      </w:r>
    </w:p>
    <w:p w14:paraId="04A8CFB0" w14:textId="4BF34165" w:rsidR="007A6598" w:rsidRPr="002362D5" w:rsidRDefault="002362D5" w:rsidP="00046D86">
      <w:pPr>
        <w:suppressAutoHyphens w:val="0"/>
        <w:jc w:val="left"/>
        <w:rPr>
          <w:rFonts w:eastAsia="Calibri" w:cs="Times New Roman"/>
        </w:rPr>
      </w:pPr>
      <w:r w:rsidRPr="5E176297">
        <w:rPr>
          <w:rFonts w:eastAsia="Calibri" w:cs="Times New Roman"/>
        </w:rPr>
        <w:t xml:space="preserve">MSAC noted that the testing could take place either at diagnosis (regardless of stage) or when patients have advanced or metastatic MTC. MSAC considered it appropriate to test at diagnosis to reduce treatment delays. </w:t>
      </w:r>
      <w:r w:rsidR="00D8534D" w:rsidRPr="5E176297">
        <w:rPr>
          <w:rFonts w:eastAsia="Calibri" w:cs="Times New Roman"/>
        </w:rPr>
        <w:t>MSA</w:t>
      </w:r>
      <w:r w:rsidR="00F51748" w:rsidRPr="5E176297">
        <w:rPr>
          <w:rFonts w:eastAsia="Calibri" w:cs="Times New Roman"/>
        </w:rPr>
        <w:t>C</w:t>
      </w:r>
      <w:r w:rsidR="00D8534D" w:rsidRPr="5E176297">
        <w:rPr>
          <w:rFonts w:eastAsia="Calibri" w:cs="Times New Roman"/>
        </w:rPr>
        <w:t xml:space="preserve"> considered </w:t>
      </w:r>
      <w:r w:rsidR="00F51748" w:rsidRPr="5E176297">
        <w:rPr>
          <w:rFonts w:eastAsia="Calibri" w:cs="Times New Roman"/>
        </w:rPr>
        <w:t>t</w:t>
      </w:r>
      <w:r w:rsidR="00D8534D" w:rsidRPr="5E176297">
        <w:rPr>
          <w:rFonts w:eastAsia="Calibri" w:cs="Times New Roman"/>
        </w:rPr>
        <w:t>his is particularly important for equity of access,</w:t>
      </w:r>
      <w:r w:rsidR="00DD1F45" w:rsidRPr="5E176297">
        <w:rPr>
          <w:rFonts w:eastAsia="Calibri" w:cs="Times New Roman"/>
        </w:rPr>
        <w:t xml:space="preserve"> as individuals</w:t>
      </w:r>
      <w:r w:rsidRPr="5E176297">
        <w:rPr>
          <w:rFonts w:eastAsia="Calibri" w:cs="Times New Roman"/>
        </w:rPr>
        <w:t xml:space="preserve"> in rural and remote areas </w:t>
      </w:r>
      <w:r w:rsidR="00DD1F45" w:rsidRPr="5E176297">
        <w:rPr>
          <w:rFonts w:eastAsia="Calibri" w:cs="Times New Roman"/>
        </w:rPr>
        <w:t xml:space="preserve">often experience longer </w:t>
      </w:r>
      <w:r w:rsidRPr="5E176297">
        <w:rPr>
          <w:rFonts w:eastAsia="Calibri" w:cs="Times New Roman"/>
        </w:rPr>
        <w:t xml:space="preserve">test turnaround times than </w:t>
      </w:r>
      <w:r w:rsidR="00DD1F45" w:rsidRPr="5E176297">
        <w:rPr>
          <w:rFonts w:eastAsia="Calibri" w:cs="Times New Roman"/>
        </w:rPr>
        <w:t xml:space="preserve">those </w:t>
      </w:r>
      <w:r w:rsidRPr="5E176297">
        <w:rPr>
          <w:rFonts w:eastAsia="Calibri" w:cs="Times New Roman"/>
        </w:rPr>
        <w:t>in metropolitan areas</w:t>
      </w:r>
      <w:r w:rsidR="00802695" w:rsidRPr="5E176297">
        <w:rPr>
          <w:rFonts w:eastAsia="Calibri" w:cs="Times New Roman"/>
        </w:rPr>
        <w:t xml:space="preserve"> and if treatment is required, they </w:t>
      </w:r>
      <w:r w:rsidR="00C545B9" w:rsidRPr="5E176297">
        <w:rPr>
          <w:rFonts w:eastAsia="Calibri" w:cs="Times New Roman"/>
        </w:rPr>
        <w:t>may need to plan their travel to a metropolitan centre</w:t>
      </w:r>
      <w:r w:rsidR="008870FC" w:rsidRPr="5E176297">
        <w:rPr>
          <w:rFonts w:eastAsia="Calibri" w:cs="Times New Roman"/>
        </w:rPr>
        <w:t xml:space="preserve"> </w:t>
      </w:r>
      <w:r w:rsidR="00172FFC" w:rsidRPr="5E176297">
        <w:rPr>
          <w:rFonts w:eastAsia="Calibri" w:cs="Times New Roman"/>
        </w:rPr>
        <w:t>to receive treatment</w:t>
      </w:r>
      <w:r w:rsidRPr="5E176297">
        <w:rPr>
          <w:rFonts w:eastAsia="Calibri" w:cs="Times New Roman"/>
        </w:rPr>
        <w:t xml:space="preserve">. MSAC acknowledged that, in some cases, patients </w:t>
      </w:r>
      <w:r w:rsidR="0021039B" w:rsidRPr="5E176297">
        <w:rPr>
          <w:rFonts w:eastAsia="Calibri" w:cs="Times New Roman"/>
        </w:rPr>
        <w:t xml:space="preserve">diagnosed </w:t>
      </w:r>
      <w:r w:rsidR="00B863CB" w:rsidRPr="5E176297">
        <w:rPr>
          <w:rFonts w:eastAsia="Calibri" w:cs="Times New Roman"/>
        </w:rPr>
        <w:t>with early</w:t>
      </w:r>
      <w:r w:rsidR="00B863CB" w:rsidRPr="5E176297">
        <w:rPr>
          <w:rFonts w:ascii="Cambria Math" w:eastAsia="Calibri" w:hAnsi="Cambria Math" w:cs="Cambria Math"/>
        </w:rPr>
        <w:t>‑</w:t>
      </w:r>
      <w:r w:rsidR="00B863CB" w:rsidRPr="5E176297">
        <w:rPr>
          <w:rFonts w:eastAsia="Calibri" w:cs="Times New Roman"/>
        </w:rPr>
        <w:t xml:space="preserve">stage disease </w:t>
      </w:r>
      <w:r w:rsidRPr="5E176297">
        <w:rPr>
          <w:rFonts w:eastAsia="Calibri" w:cs="Times New Roman"/>
        </w:rPr>
        <w:t xml:space="preserve">may not </w:t>
      </w:r>
      <w:r w:rsidR="00B863CB" w:rsidRPr="5E176297">
        <w:rPr>
          <w:rFonts w:eastAsia="Calibri" w:cs="Times New Roman"/>
        </w:rPr>
        <w:t>require immediate</w:t>
      </w:r>
      <w:r w:rsidRPr="5E176297">
        <w:rPr>
          <w:rFonts w:eastAsia="Calibri" w:cs="Times New Roman"/>
        </w:rPr>
        <w:t xml:space="preserve"> access </w:t>
      </w:r>
      <w:r w:rsidR="00E56565" w:rsidRPr="5E176297">
        <w:rPr>
          <w:rFonts w:eastAsia="Calibri" w:cs="Times New Roman"/>
        </w:rPr>
        <w:t>to</w:t>
      </w:r>
      <w:r w:rsidRPr="5E176297">
        <w:rPr>
          <w:rFonts w:eastAsia="Calibri" w:cs="Times New Roman"/>
        </w:rPr>
        <w:t xml:space="preserve"> selpercatinib</w:t>
      </w:r>
      <w:r w:rsidR="00B863CB" w:rsidRPr="5E176297">
        <w:rPr>
          <w:rFonts w:eastAsia="Calibri" w:cs="Times New Roman"/>
        </w:rPr>
        <w:t>, and that</w:t>
      </w:r>
      <w:r w:rsidR="00226421" w:rsidRPr="5E176297">
        <w:rPr>
          <w:rFonts w:eastAsia="Calibri" w:cs="Times New Roman"/>
        </w:rPr>
        <w:t xml:space="preserve"> </w:t>
      </w:r>
      <w:r w:rsidR="00E83035" w:rsidRPr="5E176297">
        <w:rPr>
          <w:rFonts w:eastAsia="Calibri" w:cs="Times New Roman"/>
        </w:rPr>
        <w:t xml:space="preserve">there may be a considerable period between </w:t>
      </w:r>
      <w:r w:rsidR="00226421" w:rsidRPr="5E176297">
        <w:rPr>
          <w:rFonts w:eastAsia="Calibri" w:cs="Times New Roman"/>
        </w:rPr>
        <w:t xml:space="preserve">genetic testing </w:t>
      </w:r>
      <w:r w:rsidR="00E83035" w:rsidRPr="5E176297">
        <w:rPr>
          <w:rFonts w:eastAsia="Calibri" w:cs="Times New Roman"/>
        </w:rPr>
        <w:t>and</w:t>
      </w:r>
      <w:r w:rsidR="00226421" w:rsidRPr="5E176297">
        <w:rPr>
          <w:rFonts w:eastAsia="Calibri" w:cs="Times New Roman"/>
        </w:rPr>
        <w:t xml:space="preserve"> initiation of treatment.</w:t>
      </w:r>
      <w:r w:rsidR="00F51748" w:rsidRPr="5E176297">
        <w:rPr>
          <w:rFonts w:eastAsia="Calibri" w:cs="Times New Roman"/>
        </w:rPr>
        <w:t xml:space="preserve"> </w:t>
      </w:r>
    </w:p>
    <w:p w14:paraId="1DBFD0F3" w14:textId="0E255AE5" w:rsidR="002362D5" w:rsidRPr="002362D5" w:rsidRDefault="00767951" w:rsidP="00046D86">
      <w:pPr>
        <w:suppressAutoHyphens w:val="0"/>
        <w:jc w:val="left"/>
        <w:rPr>
          <w:rFonts w:eastAsia="Calibri" w:cs="Times New Roman"/>
        </w:rPr>
      </w:pPr>
      <w:r w:rsidRPr="00767951">
        <w:rPr>
          <w:rFonts w:eastAsia="Calibri" w:cs="Times New Roman"/>
        </w:rPr>
        <w:t>MSAC noted the absence of trial data evaluating test performance using standard Australian testing methods; however, it accepted the assumption that the test would have 100% sensitivity and specificity when performed successfully.</w:t>
      </w:r>
      <w:r w:rsidR="00B64C38">
        <w:rPr>
          <w:rFonts w:eastAsia="Calibri" w:cs="Times New Roman"/>
        </w:rPr>
        <w:t xml:space="preserve"> MSAC </w:t>
      </w:r>
      <w:r w:rsidR="00243571">
        <w:rPr>
          <w:rFonts w:eastAsia="Calibri" w:cs="Times New Roman"/>
        </w:rPr>
        <w:t>noted</w:t>
      </w:r>
      <w:r w:rsidR="00B64C38">
        <w:rPr>
          <w:iCs/>
        </w:rPr>
        <w:t xml:space="preserve"> that</w:t>
      </w:r>
      <w:r w:rsidR="00B64C38" w:rsidRPr="002A0545">
        <w:rPr>
          <w:iCs/>
        </w:rPr>
        <w:t xml:space="preserve"> a quality assurance program (QAP) </w:t>
      </w:r>
      <w:r w:rsidR="005050B4">
        <w:rPr>
          <w:iCs/>
        </w:rPr>
        <w:t xml:space="preserve">was available for </w:t>
      </w:r>
      <w:r w:rsidR="005050B4" w:rsidRPr="00F22035">
        <w:rPr>
          <w:i/>
        </w:rPr>
        <w:t>RET</w:t>
      </w:r>
      <w:r w:rsidR="005050B4">
        <w:rPr>
          <w:iCs/>
        </w:rPr>
        <w:t xml:space="preserve"> testing in Australia and did not </w:t>
      </w:r>
      <w:r w:rsidR="003874CA">
        <w:rPr>
          <w:iCs/>
        </w:rPr>
        <w:t xml:space="preserve">foresee additional </w:t>
      </w:r>
      <w:r w:rsidR="00B64C38" w:rsidRPr="002A0545">
        <w:rPr>
          <w:iCs/>
        </w:rPr>
        <w:t>implement</w:t>
      </w:r>
      <w:r w:rsidR="003874CA">
        <w:rPr>
          <w:iCs/>
        </w:rPr>
        <w:t>ation issues</w:t>
      </w:r>
      <w:r w:rsidR="00B64C38">
        <w:rPr>
          <w:iCs/>
        </w:rPr>
        <w:t>.</w:t>
      </w:r>
      <w:r w:rsidR="00650AB8">
        <w:rPr>
          <w:iCs/>
        </w:rPr>
        <w:t xml:space="preserve"> </w:t>
      </w:r>
      <w:r w:rsidR="002362D5" w:rsidRPr="002362D5">
        <w:rPr>
          <w:rFonts w:eastAsia="Calibri" w:cs="Times New Roman"/>
        </w:rPr>
        <w:t>MSAC considered the test to be safe as it is conducted on existing biopsy tissue</w:t>
      </w:r>
      <w:r w:rsidR="00881444">
        <w:rPr>
          <w:rFonts w:eastAsia="Calibri" w:cs="Times New Roman"/>
        </w:rPr>
        <w:t xml:space="preserve"> obtained at diagnosis</w:t>
      </w:r>
      <w:r w:rsidR="002362D5" w:rsidRPr="002362D5">
        <w:rPr>
          <w:rFonts w:eastAsia="Calibri" w:cs="Times New Roman"/>
        </w:rPr>
        <w:t xml:space="preserve">. </w:t>
      </w:r>
      <w:r w:rsidR="006E46EC">
        <w:rPr>
          <w:rFonts w:eastAsia="Calibri" w:cs="Times New Roman"/>
        </w:rPr>
        <w:t>However</w:t>
      </w:r>
      <w:r w:rsidR="00A67F27">
        <w:rPr>
          <w:rFonts w:eastAsia="Calibri" w:cs="Times New Roman"/>
        </w:rPr>
        <w:t>,</w:t>
      </w:r>
      <w:r w:rsidR="006E46EC">
        <w:rPr>
          <w:rFonts w:eastAsia="Calibri" w:cs="Times New Roman"/>
        </w:rPr>
        <w:t xml:space="preserve"> </w:t>
      </w:r>
      <w:r w:rsidR="002362D5" w:rsidRPr="002362D5">
        <w:rPr>
          <w:rFonts w:eastAsia="Calibri" w:cs="Times New Roman"/>
        </w:rPr>
        <w:t xml:space="preserve">MSAC </w:t>
      </w:r>
      <w:r w:rsidR="00A67F27">
        <w:rPr>
          <w:rFonts w:eastAsia="Calibri" w:cs="Times New Roman"/>
        </w:rPr>
        <w:t xml:space="preserve">noted </w:t>
      </w:r>
      <w:r w:rsidR="000F1798">
        <w:rPr>
          <w:rFonts w:eastAsia="Calibri" w:cs="Times New Roman"/>
        </w:rPr>
        <w:t>i</w:t>
      </w:r>
      <w:r w:rsidR="004048FC" w:rsidRPr="004048FC">
        <w:rPr>
          <w:rFonts w:eastAsia="Calibri" w:cs="Times New Roman"/>
        </w:rPr>
        <w:t xml:space="preserve">n rare cases, if a new biopsy is </w:t>
      </w:r>
      <w:r w:rsidR="000F1798">
        <w:rPr>
          <w:rFonts w:eastAsia="Calibri" w:cs="Times New Roman"/>
        </w:rPr>
        <w:t>required</w:t>
      </w:r>
      <w:r w:rsidR="004048FC" w:rsidRPr="004048FC">
        <w:rPr>
          <w:rFonts w:eastAsia="Calibri" w:cs="Times New Roman"/>
        </w:rPr>
        <w:t>, it may carry some safety risks.</w:t>
      </w:r>
    </w:p>
    <w:p w14:paraId="0C614DBE" w14:textId="1D505C14" w:rsidR="00C53647" w:rsidRPr="00C53647" w:rsidRDefault="002362D5" w:rsidP="00046D86">
      <w:pPr>
        <w:suppressAutoHyphens w:val="0"/>
        <w:jc w:val="left"/>
        <w:rPr>
          <w:rFonts w:eastAsia="Calibri" w:cs="Times New Roman"/>
        </w:rPr>
      </w:pPr>
      <w:r w:rsidRPr="002362D5">
        <w:rPr>
          <w:rFonts w:eastAsia="Calibri" w:cs="Times New Roman"/>
        </w:rPr>
        <w:t xml:space="preserve">MSAC noted evidence supporting </w:t>
      </w:r>
      <w:proofErr w:type="spellStart"/>
      <w:r w:rsidRPr="5E176297">
        <w:rPr>
          <w:rFonts w:eastAsia="Calibri" w:cs="Times New Roman"/>
        </w:rPr>
        <w:t>selpercatinib’s</w:t>
      </w:r>
      <w:proofErr w:type="spellEnd"/>
      <w:r w:rsidRPr="5E176297">
        <w:rPr>
          <w:rFonts w:eastAsia="Calibri" w:cs="Times New Roman"/>
        </w:rPr>
        <w:t xml:space="preserve"> effectiveness for patients with </w:t>
      </w:r>
      <w:r w:rsidR="00B14353" w:rsidRPr="5E176297">
        <w:rPr>
          <w:rFonts w:eastAsia="Calibri" w:cs="Times New Roman"/>
          <w:i/>
          <w:iCs/>
        </w:rPr>
        <w:t>RET</w:t>
      </w:r>
      <w:r w:rsidRPr="002362D5">
        <w:rPr>
          <w:rFonts w:eastAsia="Calibri" w:cs="Times New Roman"/>
        </w:rPr>
        <w:t xml:space="preserve"> variants. </w:t>
      </w:r>
      <w:r w:rsidR="00CF0DCD" w:rsidRPr="5FD793C5">
        <w:t xml:space="preserve">MSAC acknowledged that there is a high unmet </w:t>
      </w:r>
      <w:r w:rsidR="008636E4">
        <w:t xml:space="preserve">clinical </w:t>
      </w:r>
      <w:r w:rsidR="00CF0DCD" w:rsidRPr="5FD793C5">
        <w:t xml:space="preserve">need for effective treatments for the proposed condition. </w:t>
      </w:r>
      <w:r w:rsidRPr="002362D5">
        <w:rPr>
          <w:rFonts w:eastAsia="Calibri" w:cs="Times New Roman"/>
        </w:rPr>
        <w:t xml:space="preserve">However, </w:t>
      </w:r>
      <w:r w:rsidR="00D03E67">
        <w:rPr>
          <w:rFonts w:eastAsia="Calibri" w:cs="Times New Roman"/>
        </w:rPr>
        <w:t xml:space="preserve">MSAC noted </w:t>
      </w:r>
      <w:r w:rsidRPr="002362D5">
        <w:rPr>
          <w:rFonts w:eastAsia="Calibri" w:cs="Times New Roman"/>
        </w:rPr>
        <w:t xml:space="preserve">there </w:t>
      </w:r>
      <w:r w:rsidR="00D03E67">
        <w:rPr>
          <w:rFonts w:eastAsia="Calibri" w:cs="Times New Roman"/>
        </w:rPr>
        <w:t>w</w:t>
      </w:r>
      <w:r w:rsidR="0099701A">
        <w:rPr>
          <w:rFonts w:eastAsia="Calibri" w:cs="Times New Roman"/>
        </w:rPr>
        <w:t>as</w:t>
      </w:r>
      <w:r w:rsidR="00D03E67" w:rsidRPr="002362D5">
        <w:rPr>
          <w:rFonts w:eastAsia="Calibri" w:cs="Times New Roman"/>
        </w:rPr>
        <w:t xml:space="preserve"> </w:t>
      </w:r>
      <w:r w:rsidRPr="002362D5">
        <w:rPr>
          <w:rFonts w:eastAsia="Calibri" w:cs="Times New Roman"/>
        </w:rPr>
        <w:t xml:space="preserve">no </w:t>
      </w:r>
      <w:r w:rsidR="0099701A">
        <w:rPr>
          <w:rFonts w:eastAsia="Calibri" w:cs="Times New Roman"/>
        </w:rPr>
        <w:t>evidence</w:t>
      </w:r>
      <w:r w:rsidR="0099701A" w:rsidRPr="002362D5">
        <w:rPr>
          <w:rFonts w:eastAsia="Calibri" w:cs="Times New Roman"/>
        </w:rPr>
        <w:t xml:space="preserve"> </w:t>
      </w:r>
      <w:r w:rsidR="00BB41F0">
        <w:rPr>
          <w:rFonts w:eastAsia="Calibri" w:cs="Times New Roman"/>
        </w:rPr>
        <w:t>to support</w:t>
      </w:r>
      <w:r w:rsidR="0099701A" w:rsidRPr="002362D5">
        <w:rPr>
          <w:rFonts w:eastAsia="Calibri" w:cs="Times New Roman"/>
        </w:rPr>
        <w:t xml:space="preserve"> </w:t>
      </w:r>
      <w:r w:rsidRPr="002362D5">
        <w:rPr>
          <w:rFonts w:eastAsia="Calibri" w:cs="Times New Roman"/>
        </w:rPr>
        <w:t xml:space="preserve">testing the drug’s effectiveness in patients that are </w:t>
      </w:r>
      <w:r w:rsidR="00B14353" w:rsidRPr="5E176297">
        <w:rPr>
          <w:rFonts w:eastAsia="Calibri" w:cs="Times New Roman"/>
          <w:i/>
          <w:iCs/>
        </w:rPr>
        <w:t>RET</w:t>
      </w:r>
      <w:r w:rsidRPr="002362D5">
        <w:rPr>
          <w:rFonts w:eastAsia="Calibri" w:cs="Times New Roman"/>
        </w:rPr>
        <w:t xml:space="preserve"> wildtype</w:t>
      </w:r>
      <w:r w:rsidR="007110C5">
        <w:rPr>
          <w:rFonts w:eastAsia="Calibri" w:cs="Times New Roman"/>
        </w:rPr>
        <w:t xml:space="preserve">, raising uncertainty about </w:t>
      </w:r>
      <w:r w:rsidR="00F87B0F">
        <w:rPr>
          <w:rFonts w:eastAsia="Calibri" w:cs="Times New Roman"/>
        </w:rPr>
        <w:t>codependency</w:t>
      </w:r>
      <w:r w:rsidRPr="002362D5">
        <w:rPr>
          <w:rFonts w:eastAsia="Calibri" w:cs="Times New Roman"/>
        </w:rPr>
        <w:t xml:space="preserve">. </w:t>
      </w:r>
      <w:r w:rsidR="00F87B0F">
        <w:rPr>
          <w:rFonts w:eastAsia="Calibri" w:cs="Times New Roman"/>
        </w:rPr>
        <w:t>However</w:t>
      </w:r>
      <w:r w:rsidR="00F87B0F" w:rsidRPr="5E176297">
        <w:rPr>
          <w:rFonts w:eastAsia="Calibri" w:cs="Times New Roman"/>
        </w:rPr>
        <w:t>,</w:t>
      </w:r>
      <w:r w:rsidRPr="002362D5">
        <w:rPr>
          <w:rFonts w:eastAsia="Calibri" w:cs="Times New Roman"/>
        </w:rPr>
        <w:t xml:space="preserve"> </w:t>
      </w:r>
      <w:r w:rsidRPr="5E176297">
        <w:rPr>
          <w:rFonts w:eastAsia="Calibri" w:cs="Times New Roman"/>
        </w:rPr>
        <w:t xml:space="preserve">MSAC noted that selpercatinib functions by binding to </w:t>
      </w:r>
      <w:r w:rsidR="00B14353" w:rsidRPr="5E176297">
        <w:rPr>
          <w:rFonts w:eastAsia="Calibri" w:cs="Times New Roman"/>
          <w:i/>
          <w:iCs/>
        </w:rPr>
        <w:t>RET</w:t>
      </w:r>
      <w:r w:rsidRPr="5E176297">
        <w:rPr>
          <w:rFonts w:eastAsia="Calibri" w:cs="Times New Roman"/>
        </w:rPr>
        <w:t xml:space="preserve"> receptors that are activated due to </w:t>
      </w:r>
      <w:r w:rsidR="00B14353" w:rsidRPr="5E176297">
        <w:rPr>
          <w:rFonts w:eastAsia="Calibri" w:cs="Times New Roman"/>
          <w:i/>
          <w:iCs/>
        </w:rPr>
        <w:t>RET</w:t>
      </w:r>
      <w:r w:rsidRPr="5E176297">
        <w:rPr>
          <w:rFonts w:eastAsia="Calibri" w:cs="Times New Roman"/>
        </w:rPr>
        <w:t xml:space="preserve"> gene varia</w:t>
      </w:r>
      <w:r w:rsidR="00035C6D" w:rsidRPr="5E176297">
        <w:rPr>
          <w:rFonts w:eastAsia="Calibri" w:cs="Times New Roman"/>
        </w:rPr>
        <w:t>n</w:t>
      </w:r>
      <w:r w:rsidRPr="5E176297">
        <w:rPr>
          <w:rFonts w:eastAsia="Calibri" w:cs="Times New Roman"/>
        </w:rPr>
        <w:t xml:space="preserve">ts. Therefore, MSAC </w:t>
      </w:r>
      <w:r w:rsidR="00CF7DB5" w:rsidRPr="5E176297">
        <w:rPr>
          <w:rFonts w:eastAsia="Calibri" w:cs="Times New Roman"/>
        </w:rPr>
        <w:t xml:space="preserve">agreed with ESC </w:t>
      </w:r>
      <w:r w:rsidR="00FA6379" w:rsidRPr="5E176297">
        <w:rPr>
          <w:rFonts w:eastAsia="Calibri" w:cs="Times New Roman"/>
        </w:rPr>
        <w:t xml:space="preserve">that based on its mechanism of action, </w:t>
      </w:r>
      <w:r w:rsidR="00C16CF8" w:rsidRPr="5E176297">
        <w:rPr>
          <w:rFonts w:eastAsia="Calibri" w:cs="Times New Roman"/>
        </w:rPr>
        <w:t xml:space="preserve">the </w:t>
      </w:r>
      <w:r w:rsidR="00FA6379" w:rsidRPr="5E176297">
        <w:rPr>
          <w:rFonts w:eastAsia="Calibri" w:cs="Times New Roman"/>
        </w:rPr>
        <w:t>biologically plausib</w:t>
      </w:r>
      <w:r w:rsidR="00C16CF8" w:rsidRPr="5E176297">
        <w:rPr>
          <w:rFonts w:eastAsia="Calibri" w:cs="Times New Roman"/>
        </w:rPr>
        <w:t>ility</w:t>
      </w:r>
      <w:r w:rsidR="00FA6379" w:rsidRPr="5E176297">
        <w:rPr>
          <w:rFonts w:eastAsia="Calibri" w:cs="Times New Roman"/>
        </w:rPr>
        <w:t xml:space="preserve"> that selpercatinib acts as a targeted treatment for patients with </w:t>
      </w:r>
      <w:r w:rsidR="00FA6379" w:rsidRPr="5E176297">
        <w:rPr>
          <w:rFonts w:eastAsia="Calibri" w:cs="Times New Roman"/>
          <w:i/>
          <w:iCs/>
        </w:rPr>
        <w:t>RET</w:t>
      </w:r>
      <w:r w:rsidR="00FA6379" w:rsidRPr="5E176297">
        <w:rPr>
          <w:rFonts w:eastAsia="Calibri" w:cs="Times New Roman"/>
        </w:rPr>
        <w:t xml:space="preserve"> variant MTC</w:t>
      </w:r>
      <w:r w:rsidR="00C16CF8" w:rsidRPr="5E176297">
        <w:rPr>
          <w:rFonts w:eastAsia="Calibri" w:cs="Times New Roman"/>
        </w:rPr>
        <w:t xml:space="preserve"> was reasonable. </w:t>
      </w:r>
      <w:r w:rsidR="00C53647" w:rsidRPr="5E176297">
        <w:rPr>
          <w:rFonts w:eastAsia="Calibri" w:cs="Times New Roman"/>
        </w:rPr>
        <w:t>Overall, MSAC considered that the clinical claim that selpercatinib is superior to placebo in terms of efficacy and has an inferior but clinically manageable safety profile in treatment</w:t>
      </w:r>
      <w:r w:rsidR="77848113" w:rsidRPr="5E176297">
        <w:rPr>
          <w:rFonts w:eastAsia="Calibri" w:cs="Times New Roman"/>
        </w:rPr>
        <w:t xml:space="preserve"> </w:t>
      </w:r>
      <w:r w:rsidR="00C53647" w:rsidRPr="5E176297">
        <w:rPr>
          <w:rFonts w:eastAsia="Calibri" w:cs="Times New Roman"/>
        </w:rPr>
        <w:t xml:space="preserve">naïve patients with </w:t>
      </w:r>
      <w:r w:rsidR="00C53647" w:rsidRPr="5E176297">
        <w:rPr>
          <w:rFonts w:eastAsia="Calibri" w:cs="Times New Roman"/>
          <w:i/>
          <w:iCs/>
        </w:rPr>
        <w:t>RET</w:t>
      </w:r>
      <w:r w:rsidR="0917FC37" w:rsidRPr="5E176297">
        <w:rPr>
          <w:rFonts w:eastAsia="Calibri" w:cs="Times New Roman"/>
          <w:i/>
          <w:iCs/>
        </w:rPr>
        <w:t xml:space="preserve"> </w:t>
      </w:r>
      <w:r w:rsidR="00C53647" w:rsidRPr="5E176297">
        <w:rPr>
          <w:rFonts w:eastAsia="Calibri" w:cs="Times New Roman"/>
        </w:rPr>
        <w:t>positive advanced or metastatic medullary thyroid cancer was reasonable.</w:t>
      </w:r>
    </w:p>
    <w:p w14:paraId="295980C9" w14:textId="3DD8A39F" w:rsidR="002362D5" w:rsidRPr="002D4482" w:rsidRDefault="002362D5" w:rsidP="00046D86">
      <w:pPr>
        <w:suppressAutoHyphens w:val="0"/>
        <w:jc w:val="left"/>
        <w:rPr>
          <w:rFonts w:eastAsia="Calibri" w:cs="Times New Roman"/>
        </w:rPr>
      </w:pPr>
      <w:r w:rsidRPr="002362D5">
        <w:rPr>
          <w:rFonts w:eastAsia="Calibri" w:cs="Times New Roman"/>
        </w:rPr>
        <w:t xml:space="preserve">MSAC noted the stepped economic evaluation </w:t>
      </w:r>
      <w:r w:rsidR="00664765">
        <w:rPr>
          <w:rFonts w:eastAsia="Calibri" w:cs="Times New Roman"/>
        </w:rPr>
        <w:t xml:space="preserve">presented </w:t>
      </w:r>
      <w:r w:rsidRPr="002362D5">
        <w:rPr>
          <w:rFonts w:eastAsia="Calibri" w:cs="Times New Roman"/>
        </w:rPr>
        <w:t xml:space="preserve">was a cost-utility analysis comparing selpercatinib to best supportive care (BSC). The incremental cost-effectiveness ratio (ICER) was </w:t>
      </w:r>
      <w:r w:rsidR="00034A0B">
        <w:rPr>
          <w:rFonts w:eastAsia="Calibri" w:cs="Times New Roman"/>
        </w:rPr>
        <w:t xml:space="preserve">           </w:t>
      </w:r>
      <w:r w:rsidRPr="002362D5">
        <w:rPr>
          <w:rFonts w:eastAsia="Calibri" w:cs="Times New Roman"/>
        </w:rPr>
        <w:t xml:space="preserve">analyses based on different numbers needed to treat (NNTs) and </w:t>
      </w:r>
      <w:r w:rsidR="00DE3F00">
        <w:rPr>
          <w:rFonts w:eastAsia="Calibri" w:cs="Times New Roman"/>
        </w:rPr>
        <w:t xml:space="preserve">the </w:t>
      </w:r>
      <w:r w:rsidR="00690FEE">
        <w:rPr>
          <w:rFonts w:eastAsia="Calibri" w:cs="Times New Roman"/>
        </w:rPr>
        <w:t xml:space="preserve">ESC suggested $400 </w:t>
      </w:r>
      <w:r w:rsidRPr="002362D5">
        <w:rPr>
          <w:rFonts w:eastAsia="Calibri" w:cs="Times New Roman"/>
        </w:rPr>
        <w:t xml:space="preserve">test </w:t>
      </w:r>
      <w:r w:rsidRPr="002362D5">
        <w:rPr>
          <w:rFonts w:eastAsia="Calibri" w:cs="Times New Roman"/>
        </w:rPr>
        <w:lastRenderedPageBreak/>
        <w:t xml:space="preserve">cost demonstrated that the ICER </w:t>
      </w:r>
      <w:r w:rsidR="00690FEE">
        <w:rPr>
          <w:rFonts w:eastAsia="Calibri" w:cs="Times New Roman"/>
        </w:rPr>
        <w:t>wa</w:t>
      </w:r>
      <w:r w:rsidRPr="002362D5">
        <w:rPr>
          <w:rFonts w:eastAsia="Calibri" w:cs="Times New Roman"/>
        </w:rPr>
        <w:t>s not sensitive to the testing component of the application</w:t>
      </w:r>
      <w:r w:rsidR="00C67308">
        <w:rPr>
          <w:rFonts w:eastAsia="Calibri" w:cs="Times New Roman"/>
        </w:rPr>
        <w:t xml:space="preserve">, </w:t>
      </w:r>
      <w:r w:rsidR="00C67308" w:rsidRPr="002D4482">
        <w:rPr>
          <w:rFonts w:eastAsia="Calibri" w:cs="Times New Roman"/>
        </w:rPr>
        <w:t xml:space="preserve">with </w:t>
      </w:r>
      <w:r w:rsidR="00AD6416" w:rsidRPr="002D4482">
        <w:rPr>
          <w:rFonts w:eastAsia="Calibri" w:cs="Times New Roman"/>
        </w:rPr>
        <w:t>c</w:t>
      </w:r>
      <w:r w:rsidR="00C67308" w:rsidRPr="002D4482">
        <w:rPr>
          <w:rFonts w:eastAsia="Calibri" w:cs="Times New Roman"/>
        </w:rPr>
        <w:t>ost</w:t>
      </w:r>
      <w:r w:rsidR="00C67308" w:rsidRPr="002D4482">
        <w:rPr>
          <w:rFonts w:eastAsia="Calibri" w:cs="Times New Roman"/>
        </w:rPr>
        <w:noBreakHyphen/>
        <w:t xml:space="preserve">effectiveness primarily driven by </w:t>
      </w:r>
      <w:r w:rsidRPr="002D4482">
        <w:rPr>
          <w:rFonts w:eastAsia="Calibri" w:cs="Times New Roman"/>
        </w:rPr>
        <w:t xml:space="preserve">the high cost of selpercatinib. </w:t>
      </w:r>
    </w:p>
    <w:p w14:paraId="69AE6945" w14:textId="22485FAA" w:rsidR="002362D5" w:rsidRPr="002362D5" w:rsidRDefault="3BAD0F8F" w:rsidP="00046D86">
      <w:pPr>
        <w:suppressAutoHyphens w:val="0"/>
        <w:jc w:val="left"/>
        <w:rPr>
          <w:rFonts w:eastAsia="Calibri" w:cs="Times New Roman"/>
        </w:rPr>
      </w:pPr>
      <w:r w:rsidRPr="002D4482">
        <w:rPr>
          <w:rFonts w:eastAsia="Calibri" w:cs="Times New Roman"/>
        </w:rPr>
        <w:t xml:space="preserve">MSAC noted that the financial impact to the MBS for testing all patients at diagnosis </w:t>
      </w:r>
      <w:r w:rsidR="489CB4F2" w:rsidRPr="002D4482">
        <w:rPr>
          <w:rFonts w:eastAsia="Calibri" w:cs="Times New Roman"/>
        </w:rPr>
        <w:t xml:space="preserve">was </w:t>
      </w:r>
      <w:r w:rsidR="004E3A02">
        <w:rPr>
          <w:rFonts w:eastAsia="Calibri" w:cs="Times New Roman"/>
        </w:rPr>
        <w:br/>
      </w:r>
      <w:r w:rsidRPr="002D4482">
        <w:rPr>
          <w:rFonts w:eastAsia="Calibri" w:cs="Times New Roman"/>
        </w:rPr>
        <w:t>$</w:t>
      </w:r>
      <w:r w:rsidR="006068CF" w:rsidRPr="002D4482">
        <w:rPr>
          <w:rFonts w:eastAsia="Calibri" w:cs="Times New Roman"/>
        </w:rPr>
        <w:t xml:space="preserve">0 to </w:t>
      </w:r>
      <w:r w:rsidR="00B91D03" w:rsidRPr="002D4482">
        <w:rPr>
          <w:rFonts w:eastAsia="Calibri" w:cs="Times New Roman"/>
        </w:rPr>
        <w:t>&lt; $10 million</w:t>
      </w:r>
      <w:r w:rsidRPr="002D4482">
        <w:rPr>
          <w:rFonts w:eastAsia="Calibri" w:cs="Times New Roman"/>
        </w:rPr>
        <w:t xml:space="preserve"> in </w:t>
      </w:r>
      <w:r w:rsidR="489CB4F2" w:rsidRPr="002D4482">
        <w:rPr>
          <w:rFonts w:eastAsia="Calibri" w:cs="Times New Roman"/>
        </w:rPr>
        <w:t>Year </w:t>
      </w:r>
      <w:r w:rsidRPr="002D4482">
        <w:rPr>
          <w:rFonts w:eastAsia="Calibri" w:cs="Times New Roman"/>
        </w:rPr>
        <w:t xml:space="preserve">1 </w:t>
      </w:r>
      <w:r w:rsidR="7B01D797" w:rsidRPr="002D4482">
        <w:rPr>
          <w:rFonts w:eastAsia="Calibri" w:cs="Times New Roman"/>
        </w:rPr>
        <w:t xml:space="preserve">increasing to </w:t>
      </w:r>
      <w:r w:rsidRPr="002D4482">
        <w:rPr>
          <w:rFonts w:eastAsia="Calibri" w:cs="Times New Roman"/>
        </w:rPr>
        <w:t>$</w:t>
      </w:r>
      <w:r w:rsidR="00B91D03" w:rsidRPr="002D4482">
        <w:rPr>
          <w:rFonts w:eastAsia="Calibri" w:cs="Times New Roman"/>
        </w:rPr>
        <w:t>0 to &lt; $10 million</w:t>
      </w:r>
      <w:r w:rsidRPr="002D4482">
        <w:rPr>
          <w:rFonts w:eastAsia="Calibri" w:cs="Times New Roman"/>
        </w:rPr>
        <w:t xml:space="preserve"> in </w:t>
      </w:r>
      <w:r w:rsidR="489CB4F2" w:rsidRPr="002D4482">
        <w:rPr>
          <w:rFonts w:eastAsia="Calibri" w:cs="Times New Roman"/>
        </w:rPr>
        <w:t>Year </w:t>
      </w:r>
      <w:r w:rsidRPr="002D4482">
        <w:rPr>
          <w:rFonts w:eastAsia="Calibri" w:cs="Times New Roman"/>
        </w:rPr>
        <w:t xml:space="preserve">6, based on estimated utilisation of </w:t>
      </w:r>
      <w:r w:rsidR="7B01D797" w:rsidRPr="002D4482">
        <w:rPr>
          <w:rFonts w:eastAsia="Calibri" w:cs="Times New Roman"/>
        </w:rPr>
        <w:t xml:space="preserve">approximately </w:t>
      </w:r>
      <w:r w:rsidR="005B7789" w:rsidRPr="002D4482">
        <w:rPr>
          <w:rFonts w:eastAsia="Calibri" w:cs="Times New Roman"/>
        </w:rPr>
        <w:t>&lt; 500</w:t>
      </w:r>
      <w:r w:rsidRPr="002D4482">
        <w:rPr>
          <w:rFonts w:eastAsia="Calibri" w:cs="Times New Roman"/>
        </w:rPr>
        <w:t> patients per year. Additional analyses in the commentary suggested that the financial impact to the MBS could be as high as $</w:t>
      </w:r>
      <w:r w:rsidR="00B91D03" w:rsidRPr="002D4482">
        <w:rPr>
          <w:rFonts w:eastAsia="Calibri" w:cs="Times New Roman"/>
        </w:rPr>
        <w:t>0 to &lt; $10 million</w:t>
      </w:r>
      <w:r w:rsidR="00A42564">
        <w:rPr>
          <w:rFonts w:eastAsia="Calibri" w:cs="Times New Roman"/>
        </w:rPr>
        <w:t xml:space="preserve"> </w:t>
      </w:r>
      <w:r w:rsidRPr="002D4482">
        <w:rPr>
          <w:rFonts w:eastAsia="Calibri" w:cs="Times New Roman"/>
        </w:rPr>
        <w:t xml:space="preserve">in </w:t>
      </w:r>
      <w:r w:rsidR="455133C0" w:rsidRPr="002D4482">
        <w:rPr>
          <w:rFonts w:eastAsia="Calibri" w:cs="Times New Roman"/>
        </w:rPr>
        <w:t>Y</w:t>
      </w:r>
      <w:r w:rsidRPr="002D4482">
        <w:rPr>
          <w:rFonts w:eastAsia="Calibri" w:cs="Times New Roman"/>
        </w:rPr>
        <w:t xml:space="preserve">ear 1 because of the </w:t>
      </w:r>
      <w:r w:rsidR="455133C0" w:rsidRPr="002D4482">
        <w:rPr>
          <w:rFonts w:eastAsia="Calibri" w:cs="Times New Roman"/>
        </w:rPr>
        <w:t xml:space="preserve">prevalent </w:t>
      </w:r>
      <w:r w:rsidRPr="002D4482">
        <w:rPr>
          <w:rFonts w:eastAsia="Calibri" w:cs="Times New Roman"/>
        </w:rPr>
        <w:t xml:space="preserve">patients requiring </w:t>
      </w:r>
      <w:r w:rsidR="48EEAAA2" w:rsidRPr="002D4482">
        <w:rPr>
          <w:rFonts w:eastAsia="Calibri" w:cs="Times New Roman"/>
          <w:i/>
          <w:iCs/>
        </w:rPr>
        <w:t>RET</w:t>
      </w:r>
      <w:r w:rsidRPr="5E176297">
        <w:rPr>
          <w:rFonts w:eastAsia="Calibri" w:cs="Times New Roman"/>
        </w:rPr>
        <w:t xml:space="preserve"> testing (approximately </w:t>
      </w:r>
      <w:r w:rsidR="00E83E0B">
        <w:rPr>
          <w:rFonts w:eastAsia="Calibri" w:cs="Times New Roman"/>
        </w:rPr>
        <w:t>500 to &lt; 5,000</w:t>
      </w:r>
      <w:r w:rsidR="00E83E0B" w:rsidRPr="5E176297">
        <w:rPr>
          <w:rFonts w:eastAsia="Calibri" w:cs="Times New Roman"/>
        </w:rPr>
        <w:t xml:space="preserve"> </w:t>
      </w:r>
      <w:r w:rsidRPr="5E176297">
        <w:rPr>
          <w:rFonts w:eastAsia="Calibri" w:cs="Times New Roman"/>
        </w:rPr>
        <w:t xml:space="preserve">patients in total). MSAC considered this number to be highly uncertain because there </w:t>
      </w:r>
      <w:r w:rsidR="59489B89" w:rsidRPr="5E176297">
        <w:rPr>
          <w:rFonts w:eastAsia="Calibri" w:cs="Times New Roman"/>
        </w:rPr>
        <w:t xml:space="preserve">were </w:t>
      </w:r>
      <w:r w:rsidRPr="5E176297">
        <w:rPr>
          <w:rFonts w:eastAsia="Calibri" w:cs="Times New Roman"/>
        </w:rPr>
        <w:t xml:space="preserve">no reliable estimates of patients </w:t>
      </w:r>
      <w:r w:rsidR="59489B89" w:rsidRPr="5E176297">
        <w:rPr>
          <w:rFonts w:eastAsia="Calibri" w:cs="Times New Roman"/>
        </w:rPr>
        <w:t xml:space="preserve">who were </w:t>
      </w:r>
      <w:r w:rsidRPr="5E176297">
        <w:rPr>
          <w:rFonts w:eastAsia="Calibri" w:cs="Times New Roman"/>
        </w:rPr>
        <w:t xml:space="preserve">self-funding the test </w:t>
      </w:r>
      <w:r w:rsidR="59489B89" w:rsidRPr="5E176297">
        <w:rPr>
          <w:rFonts w:eastAsia="Calibri" w:cs="Times New Roman"/>
        </w:rPr>
        <w:t>at the time</w:t>
      </w:r>
      <w:r w:rsidR="002362D5" w:rsidRPr="5E176297">
        <w:rPr>
          <w:rFonts w:eastAsia="Calibri" w:cs="Times New Roman"/>
        </w:rPr>
        <w:t>, but</w:t>
      </w:r>
      <w:r w:rsidRPr="5E176297">
        <w:rPr>
          <w:rFonts w:eastAsia="Calibri" w:cs="Times New Roman"/>
        </w:rPr>
        <w:t xml:space="preserve"> </w:t>
      </w:r>
      <w:r w:rsidR="729D6EB6" w:rsidRPr="5E176297">
        <w:rPr>
          <w:rFonts w:eastAsia="Calibri" w:cs="Times New Roman"/>
        </w:rPr>
        <w:t>MSA</w:t>
      </w:r>
      <w:r w:rsidR="13591D1A" w:rsidRPr="5E176297">
        <w:rPr>
          <w:rFonts w:eastAsia="Calibri" w:cs="Times New Roman"/>
        </w:rPr>
        <w:t>C</w:t>
      </w:r>
      <w:r w:rsidR="729D6EB6" w:rsidRPr="5E176297">
        <w:rPr>
          <w:rFonts w:eastAsia="Calibri" w:cs="Times New Roman"/>
        </w:rPr>
        <w:t xml:space="preserve"> </w:t>
      </w:r>
      <w:r w:rsidRPr="5E176297">
        <w:rPr>
          <w:rFonts w:eastAsia="Calibri" w:cs="Times New Roman"/>
        </w:rPr>
        <w:t xml:space="preserve">noted that the commentary used an average number of patients accessing the test of about </w:t>
      </w:r>
      <w:r w:rsidR="00E83E0B">
        <w:rPr>
          <w:rFonts w:eastAsia="Calibri" w:cs="Times New Roman"/>
        </w:rPr>
        <w:t>&lt; 500</w:t>
      </w:r>
      <w:r w:rsidR="00E83E0B" w:rsidRPr="5E176297">
        <w:rPr>
          <w:rFonts w:eastAsia="Calibri" w:cs="Times New Roman"/>
        </w:rPr>
        <w:t> </w:t>
      </w:r>
      <w:r w:rsidRPr="5E176297">
        <w:rPr>
          <w:rFonts w:eastAsia="Calibri" w:cs="Times New Roman"/>
        </w:rPr>
        <w:t xml:space="preserve">per year after </w:t>
      </w:r>
      <w:r w:rsidR="729D6EB6" w:rsidRPr="5E176297">
        <w:rPr>
          <w:rFonts w:eastAsia="Calibri" w:cs="Times New Roman"/>
        </w:rPr>
        <w:t>Year </w:t>
      </w:r>
      <w:r w:rsidRPr="5E176297">
        <w:rPr>
          <w:rFonts w:eastAsia="Calibri" w:cs="Times New Roman"/>
        </w:rPr>
        <w:t xml:space="preserve">1, which aligned with the base case financial impact in </w:t>
      </w:r>
      <w:r w:rsidR="729D6EB6" w:rsidRPr="5E176297">
        <w:rPr>
          <w:rFonts w:eastAsia="Calibri" w:cs="Times New Roman"/>
        </w:rPr>
        <w:t>Y</w:t>
      </w:r>
      <w:r w:rsidRPr="5E176297">
        <w:rPr>
          <w:rFonts w:eastAsia="Calibri" w:cs="Times New Roman"/>
        </w:rPr>
        <w:t xml:space="preserve">ears 2 to 6. Overall, MSAC considered the financial impact to the MBS to be modest due to the rarity of MTC, although the financial impact to the PBS </w:t>
      </w:r>
      <w:r w:rsidR="13591D1A" w:rsidRPr="5E176297">
        <w:rPr>
          <w:rFonts w:eastAsia="Calibri" w:cs="Times New Roman"/>
        </w:rPr>
        <w:t xml:space="preserve">was </w:t>
      </w:r>
      <w:r w:rsidRPr="5E176297">
        <w:rPr>
          <w:rFonts w:eastAsia="Calibri" w:cs="Times New Roman"/>
        </w:rPr>
        <w:t>substantial, driven by the high cost of selpercatinib.</w:t>
      </w:r>
    </w:p>
    <w:p w14:paraId="3C7809FB" w14:textId="77777777" w:rsidR="002F03F5" w:rsidRPr="00EC43BF" w:rsidRDefault="008F23FF" w:rsidP="00601076">
      <w:pPr>
        <w:pStyle w:val="MSACHeading1"/>
        <w:numPr>
          <w:ilvl w:val="0"/>
          <w:numId w:val="15"/>
        </w:numPr>
        <w:ind w:hanging="720"/>
        <w:rPr>
          <w:rFonts w:ascii="Franklin Gothic Medium" w:hAnsi="Franklin Gothic Medium"/>
          <w:b w:val="0"/>
          <w:bCs w:val="0"/>
          <w:sz w:val="32"/>
          <w:szCs w:val="32"/>
        </w:rPr>
      </w:pPr>
      <w:bookmarkStart w:id="4" w:name="_Toc219898303"/>
      <w:r w:rsidRPr="00EC43BF">
        <w:rPr>
          <w:rFonts w:ascii="Franklin Gothic Medium" w:hAnsi="Franklin Gothic Medium"/>
          <w:b w:val="0"/>
          <w:bCs w:val="0"/>
          <w:sz w:val="32"/>
          <w:szCs w:val="32"/>
        </w:rPr>
        <w:t>Background</w:t>
      </w:r>
      <w:bookmarkEnd w:id="4"/>
    </w:p>
    <w:p w14:paraId="3C7809FC" w14:textId="6E8D5D3A" w:rsidR="002F03F5" w:rsidRPr="00EC43BF" w:rsidRDefault="7596DC54" w:rsidP="63A4ACB5">
      <w:pPr>
        <w:pStyle w:val="MSACESParagraph"/>
        <w:jc w:val="left"/>
        <w:rPr>
          <w:rFonts w:ascii="Franklin Gothic Book" w:hAnsi="Franklin Gothic Book"/>
          <w:sz w:val="22"/>
        </w:rPr>
      </w:pPr>
      <w:r w:rsidRPr="5E176297">
        <w:rPr>
          <w:rFonts w:ascii="Franklin Gothic Book" w:hAnsi="Franklin Gothic Book"/>
          <w:sz w:val="22"/>
        </w:rPr>
        <w:t>MSAC has not previously considered somatic</w:t>
      </w:r>
      <w:r w:rsidRPr="5E176297">
        <w:rPr>
          <w:rFonts w:ascii="Franklin Gothic Book" w:hAnsi="Franklin Gothic Book"/>
          <w:i/>
          <w:iCs/>
          <w:sz w:val="22"/>
        </w:rPr>
        <w:t xml:space="preserve"> </w:t>
      </w:r>
      <w:r w:rsidR="48EEAAA2"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variant testing in MTC and the PBAC has not considered selpercatinib for the treatment of locally advanced or metastatic MTC. The submission claimed somatic</w:t>
      </w:r>
      <w:r w:rsidRPr="5E176297">
        <w:rPr>
          <w:rFonts w:ascii="Franklin Gothic Book" w:hAnsi="Franklin Gothic Book"/>
          <w:i/>
          <w:iCs/>
          <w:sz w:val="22"/>
        </w:rPr>
        <w:t xml:space="preserve"> </w:t>
      </w:r>
      <w:r w:rsidR="48EEAAA2"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variant testing for determining eligibility for selpercatinib is routinely performed in clinical practice but is funded under state and territory hospital funding arrangements or privately. The commentary noted that PASC stated that the number of patients who have received selpercatinib thus far is very low, which suggested that it was likely only a small number of patients had been receiving somatic</w:t>
      </w:r>
      <w:r w:rsidRPr="5E176297">
        <w:rPr>
          <w:rFonts w:ascii="Franklin Gothic Book" w:hAnsi="Franklin Gothic Book"/>
          <w:i/>
          <w:iCs/>
          <w:sz w:val="22"/>
        </w:rPr>
        <w:t xml:space="preserve"> </w:t>
      </w:r>
      <w:r w:rsidR="48EEAAA2"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testing for predictive purposes (p14, Ratified PICO Confirmation 1804).</w:t>
      </w:r>
    </w:p>
    <w:p w14:paraId="3C7809FD" w14:textId="1BDF2EC2"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testing has been previously considered by MSAC and supported for public funding for diagnostic purposes in patients suspected of Multiple Endocrine Neoplasia, type 2 (MEN2; MSAC Application 1152). Currently, there are two MBS funded items to (</w:t>
      </w:r>
      <w:proofErr w:type="spellStart"/>
      <w:r w:rsidRPr="00EC43BF">
        <w:rPr>
          <w:rFonts w:ascii="Franklin Gothic Book" w:hAnsi="Franklin Gothic Book"/>
          <w:sz w:val="22"/>
        </w:rPr>
        <w:t>i</w:t>
      </w:r>
      <w:proofErr w:type="spellEnd"/>
      <w:r w:rsidRPr="00EC43BF">
        <w:rPr>
          <w:rFonts w:ascii="Franklin Gothic Book" w:hAnsi="Franklin Gothic Book"/>
          <w:sz w:val="22"/>
        </w:rPr>
        <w:t>) identify 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alterations in patients with a suspected clinical diagnosis of MEN2 (MBS item 73339) and (ii) facilitate familial cascade testing for detection of a known mutation in the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gene in an asymptomatic relative of a patient with a documented pathogenic</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mutation (MBS item 73340). </w:t>
      </w:r>
    </w:p>
    <w:p w14:paraId="3C7809FE" w14:textId="5C119B32"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 xml:space="preserve">Somatic nucleic acid based multigene panel testing of the fusion status of </w:t>
      </w:r>
      <w:r w:rsidR="00B14353" w:rsidRPr="00B14353">
        <w:rPr>
          <w:rFonts w:ascii="Franklin Gothic Book" w:hAnsi="Franklin Gothic Book"/>
          <w:i/>
          <w:iCs/>
          <w:sz w:val="22"/>
        </w:rPr>
        <w:t>RET</w:t>
      </w:r>
      <w:r w:rsidRPr="00EC43BF">
        <w:rPr>
          <w:rFonts w:ascii="Franklin Gothic Book" w:hAnsi="Franklin Gothic Book"/>
          <w:sz w:val="22"/>
        </w:rPr>
        <w:t xml:space="preserve">, among other genes, in a patient with a new diagnosis of non-small cell lung cancer (NSCLC) to determine eligibility for relevant treatments on the PBS are also publicly funded (MBS items 73437 and 73439). </w:t>
      </w:r>
    </w:p>
    <w:p w14:paraId="3C7809FF" w14:textId="77777777" w:rsidR="002F03F5" w:rsidRPr="00EC43BF" w:rsidRDefault="008F23FF" w:rsidP="00601076">
      <w:pPr>
        <w:pStyle w:val="MSACHeading1"/>
        <w:numPr>
          <w:ilvl w:val="0"/>
          <w:numId w:val="15"/>
        </w:numPr>
        <w:ind w:hanging="720"/>
        <w:rPr>
          <w:rFonts w:ascii="Franklin Gothic Medium" w:hAnsi="Franklin Gothic Medium"/>
          <w:b w:val="0"/>
          <w:bCs w:val="0"/>
          <w:sz w:val="32"/>
          <w:szCs w:val="32"/>
        </w:rPr>
      </w:pPr>
      <w:bookmarkStart w:id="5" w:name="_Toc219898304"/>
      <w:r w:rsidRPr="00EC43BF">
        <w:rPr>
          <w:rFonts w:ascii="Franklin Gothic Medium" w:hAnsi="Franklin Gothic Medium"/>
          <w:b w:val="0"/>
          <w:bCs w:val="0"/>
          <w:sz w:val="32"/>
          <w:szCs w:val="32"/>
        </w:rPr>
        <w:t>Prerequisites to implementation of any funding advice</w:t>
      </w:r>
      <w:bookmarkEnd w:id="5"/>
    </w:p>
    <w:p w14:paraId="3C780A00" w14:textId="3EB6ACCB" w:rsidR="002F03F5" w:rsidRPr="00EC43BF" w:rsidRDefault="008F23FF" w:rsidP="5E176297">
      <w:pPr>
        <w:pStyle w:val="MSACESParagraph"/>
        <w:jc w:val="left"/>
        <w:rPr>
          <w:rFonts w:ascii="Franklin Gothic Book" w:hAnsi="Franklin Gothic Book"/>
          <w:i/>
          <w:iCs/>
          <w:sz w:val="22"/>
        </w:rPr>
      </w:pPr>
      <w:r w:rsidRPr="5E176297">
        <w:rPr>
          <w:rFonts w:ascii="Franklin Gothic Book" w:hAnsi="Franklin Gothic Book"/>
          <w:sz w:val="22"/>
        </w:rPr>
        <w:t>Laboratories conducting</w:t>
      </w:r>
      <w:r w:rsidRPr="5E176297">
        <w:rPr>
          <w:rFonts w:ascii="Franklin Gothic Book" w:hAnsi="Franklin Gothic Book"/>
          <w:i/>
          <w:iCs/>
          <w:sz w:val="22"/>
        </w:rPr>
        <w:t xml:space="preserve"> </w:t>
      </w:r>
      <w:r w:rsidR="00B14353"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variant testing using in-house in vitro diagnostic (IVD) medical devices would be National Association of Testing Authorities (NATA) accredited to ensure validity and compliance with national quality standards, and commercial IVDs would be registered on the Australian Register of Therapeutic Goods (ARTG). In the application process, it was stated that testing would be performed by qualified molecular pathologists, who require expertise in next generation sequencing (NGS) or polymerase chain reaction (PCR) based assays used for</w:t>
      </w:r>
      <w:r w:rsidRPr="5E176297">
        <w:rPr>
          <w:rFonts w:ascii="Franklin Gothic Book" w:hAnsi="Franklin Gothic Book"/>
          <w:i/>
          <w:iCs/>
          <w:sz w:val="22"/>
        </w:rPr>
        <w:t xml:space="preserve"> </w:t>
      </w:r>
      <w:r w:rsidR="00B14353"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testing.</w:t>
      </w:r>
      <w:r w:rsidRPr="5E176297">
        <w:rPr>
          <w:rStyle w:val="FootnoteReference"/>
          <w:rFonts w:ascii="Franklin Gothic Book" w:hAnsi="Franklin Gothic Book"/>
          <w:sz w:val="22"/>
        </w:rPr>
        <w:footnoteReference w:id="5"/>
      </w:r>
      <w:r w:rsidRPr="5E176297">
        <w:rPr>
          <w:rFonts w:ascii="Franklin Gothic Book" w:hAnsi="Franklin Gothic Book"/>
          <w:sz w:val="22"/>
        </w:rPr>
        <w:t xml:space="preserve"> Pathologist training and ongoing quality assurance programs</w:t>
      </w:r>
      <w:r w:rsidR="2AFF735A" w:rsidRPr="5E176297">
        <w:rPr>
          <w:rFonts w:ascii="Franklin Gothic Book" w:hAnsi="Franklin Gothic Book"/>
          <w:sz w:val="22"/>
        </w:rPr>
        <w:t xml:space="preserve"> </w:t>
      </w:r>
      <w:r w:rsidRPr="5E176297">
        <w:rPr>
          <w:rFonts w:ascii="Franklin Gothic Book" w:hAnsi="Franklin Gothic Book"/>
          <w:sz w:val="22"/>
        </w:rPr>
        <w:t>are expected to support the standardisation and accuracy of</w:t>
      </w:r>
      <w:r w:rsidRPr="5E176297">
        <w:rPr>
          <w:rFonts w:ascii="Franklin Gothic Book" w:hAnsi="Franklin Gothic Book"/>
          <w:i/>
          <w:iCs/>
          <w:sz w:val="22"/>
        </w:rPr>
        <w:t xml:space="preserve"> </w:t>
      </w:r>
      <w:r w:rsidR="00B14353"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testing, which is part of current standard practice in Australian laboratories.</w:t>
      </w:r>
      <w:r w:rsidRPr="5E176297">
        <w:rPr>
          <w:rFonts w:ascii="Franklin Gothic Book" w:hAnsi="Franklin Gothic Book"/>
          <w:i/>
          <w:iCs/>
          <w:sz w:val="22"/>
        </w:rPr>
        <w:t xml:space="preserve"> </w:t>
      </w:r>
    </w:p>
    <w:p w14:paraId="3C780A01" w14:textId="255BE5EA" w:rsidR="002F03F5" w:rsidRPr="00EC43BF" w:rsidRDefault="008F23FF" w:rsidP="00AE06A7">
      <w:pPr>
        <w:pStyle w:val="MSACESParagraph"/>
        <w:spacing w:line="259" w:lineRule="auto"/>
        <w:jc w:val="left"/>
        <w:rPr>
          <w:rFonts w:ascii="Franklin Gothic Book" w:hAnsi="Franklin Gothic Book"/>
          <w:sz w:val="22"/>
        </w:rPr>
      </w:pPr>
      <w:r w:rsidRPr="5E176297">
        <w:rPr>
          <w:rFonts w:ascii="Franklin Gothic Book" w:hAnsi="Franklin Gothic Book"/>
          <w:sz w:val="22"/>
        </w:rPr>
        <w:lastRenderedPageBreak/>
        <w:t xml:space="preserve">The </w:t>
      </w:r>
      <w:r w:rsidR="00507350" w:rsidRPr="5E176297">
        <w:rPr>
          <w:rFonts w:ascii="Franklin Gothic Book" w:hAnsi="Franklin Gothic Book"/>
          <w:sz w:val="22"/>
        </w:rPr>
        <w:t xml:space="preserve">commentary noted the </w:t>
      </w:r>
      <w:r w:rsidRPr="5E176297">
        <w:rPr>
          <w:rFonts w:ascii="Franklin Gothic Book" w:hAnsi="Franklin Gothic Book"/>
          <w:sz w:val="22"/>
        </w:rPr>
        <w:t>submission did not state how many laboratories currently perform somatic or germline</w:t>
      </w:r>
      <w:r w:rsidRPr="5E176297">
        <w:rPr>
          <w:rFonts w:ascii="Franklin Gothic Book" w:hAnsi="Franklin Gothic Book"/>
          <w:i/>
          <w:iCs/>
          <w:sz w:val="22"/>
        </w:rPr>
        <w:t xml:space="preserve"> </w:t>
      </w:r>
      <w:r w:rsidR="00B14353"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variant testing in Australia and this was not apparent during the evaluation. PASC noted that a quality assurance program (QAP) would be required to be assessed and established by the Royal College of Pathologists of Australasia Quality Assurance Programs (RCPA</w:t>
      </w:r>
      <w:r w:rsidR="198332D0" w:rsidRPr="5E176297">
        <w:rPr>
          <w:rFonts w:ascii="Franklin Gothic Book" w:hAnsi="Franklin Gothic Book"/>
          <w:sz w:val="22"/>
        </w:rPr>
        <w:t xml:space="preserve"> </w:t>
      </w:r>
      <w:r w:rsidRPr="5E176297">
        <w:rPr>
          <w:rFonts w:ascii="Franklin Gothic Book" w:hAnsi="Franklin Gothic Book"/>
          <w:sz w:val="22"/>
        </w:rPr>
        <w:t xml:space="preserve">QAP) for use in laboratories in Australia. PASC considered that </w:t>
      </w:r>
      <w:r w:rsidR="003D0A65">
        <w:rPr>
          <w:rFonts w:ascii="Franklin Gothic Book" w:hAnsi="Franklin Gothic Book"/>
          <w:sz w:val="22"/>
        </w:rPr>
        <w:t>“</w:t>
      </w:r>
      <w:r w:rsidRPr="5E176297">
        <w:rPr>
          <w:rFonts w:ascii="Franklin Gothic Book" w:hAnsi="Franklin Gothic Book"/>
          <w:sz w:val="22"/>
        </w:rPr>
        <w:t>a QAP should include training, standardisation and accuracy of</w:t>
      </w:r>
      <w:r w:rsidRPr="5E176297">
        <w:rPr>
          <w:rFonts w:ascii="Franklin Gothic Book" w:hAnsi="Franklin Gothic Book"/>
          <w:i/>
          <w:iCs/>
          <w:sz w:val="22"/>
        </w:rPr>
        <w:t xml:space="preserve"> </w:t>
      </w:r>
      <w:r w:rsidR="00B14353"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variant testing, and the appropriate curation of activating</w:t>
      </w:r>
      <w:r w:rsidRPr="5E176297">
        <w:rPr>
          <w:rFonts w:ascii="Franklin Gothic Book" w:hAnsi="Franklin Gothic Book"/>
          <w:i/>
          <w:iCs/>
          <w:sz w:val="22"/>
        </w:rPr>
        <w:t xml:space="preserve"> </w:t>
      </w:r>
      <w:r w:rsidR="00B14353"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variants (as in silico modelling is better validated for curation of loss of function variants)” (p16, Ratified PICO Confirmation 1804).</w:t>
      </w:r>
    </w:p>
    <w:p w14:paraId="3C780A02" w14:textId="1F2B313B"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The commentary noted the submission did not provide information on any relevant IVDs on the ARTG. The commentary noted the NGS Oncomine Dx Target Test (</w:t>
      </w:r>
      <w:proofErr w:type="spellStart"/>
      <w:r w:rsidRPr="00EC43BF">
        <w:rPr>
          <w:rFonts w:ascii="Franklin Gothic Book" w:hAnsi="Franklin Gothic Book"/>
          <w:sz w:val="22"/>
        </w:rPr>
        <w:t>ODxTT</w:t>
      </w:r>
      <w:proofErr w:type="spellEnd"/>
      <w:r w:rsidRPr="00EC43BF">
        <w:rPr>
          <w:rFonts w:ascii="Franklin Gothic Book" w:hAnsi="Franklin Gothic Book"/>
          <w:sz w:val="22"/>
        </w:rPr>
        <w:t>) is a gene panel test registered on the ARTG as a companion diagnostic test in patients with NSCLC and is indicated to detect sequence variations (SNVs, deletions, insertions, and fusions) in 26 cancer-related genes on DNA and RNA from formalin fixed paraffin embedded (FFPE) tissue samples.</w:t>
      </w:r>
      <w:r w:rsidRPr="00EC43BF">
        <w:rPr>
          <w:rStyle w:val="FootnoteReference"/>
          <w:rFonts w:ascii="Franklin Gothic Book" w:hAnsi="Franklin Gothic Book"/>
          <w:sz w:val="22"/>
        </w:rPr>
        <w:footnoteReference w:id="6"/>
      </w:r>
      <w:r w:rsidRPr="00EC43BF">
        <w:rPr>
          <w:rFonts w:ascii="Franklin Gothic Book" w:hAnsi="Franklin Gothic Book"/>
          <w:sz w:val="22"/>
        </w:rPr>
        <w:t xml:space="preserve"> In the LIBRETTO-531 trial, the LLT NGS assay was used but was not defined and details of the LLT assay were lacking. A concordance analysis was conducted in LIBRETTO-531 based on the enrolled MTC patients that compared the test results from using the LLT assay to the </w:t>
      </w:r>
      <w:proofErr w:type="spellStart"/>
      <w:r w:rsidRPr="00EC43BF">
        <w:rPr>
          <w:rFonts w:ascii="Franklin Gothic Book" w:hAnsi="Franklin Gothic Book"/>
          <w:sz w:val="22"/>
        </w:rPr>
        <w:t>ODxTT</w:t>
      </w:r>
      <w:proofErr w:type="spellEnd"/>
      <w:r w:rsidRPr="00EC43BF">
        <w:rPr>
          <w:rFonts w:ascii="Franklin Gothic Book" w:hAnsi="Franklin Gothic Book"/>
          <w:sz w:val="22"/>
        </w:rPr>
        <w:t xml:space="preserve"> test results (see Section 9 of the MSAC Executive Summary). During the application process, it was noted that somatic</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testing is offered privately as part of a comprehensive somatic mutation panel rather than a standalone test (offered by Sonic Genetics and Australian Clinical Labs); however, the details of these tests were not described.</w:t>
      </w:r>
      <w:r w:rsidRPr="00EC43BF">
        <w:rPr>
          <w:rStyle w:val="FootnoteReference"/>
          <w:rFonts w:ascii="Franklin Gothic Book" w:hAnsi="Franklin Gothic Book"/>
          <w:sz w:val="22"/>
        </w:rPr>
        <w:footnoteReference w:id="7"/>
      </w:r>
      <w:r w:rsidRPr="00EC43BF">
        <w:rPr>
          <w:rFonts w:ascii="Franklin Gothic Book" w:hAnsi="Franklin Gothic Book"/>
          <w:sz w:val="22"/>
        </w:rPr>
        <w:t xml:space="preserve"> It remained unclear what test would be used in clinical practice in Australia. </w:t>
      </w:r>
    </w:p>
    <w:p w14:paraId="3C780A03" w14:textId="570C5476"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Selpercatinib was recommended by the Therapeutic Goods Administration (TGA) delegate on 1 September 2025 for the treatment of adult and adolescent (12 years of age and older) patients with advanced or metastatic</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MTC who require systemic therapy.</w:t>
      </w:r>
    </w:p>
    <w:p w14:paraId="3C780A04" w14:textId="77777777" w:rsidR="002F03F5" w:rsidRPr="00EC43BF" w:rsidRDefault="008F23FF" w:rsidP="00601076">
      <w:pPr>
        <w:pStyle w:val="MSACHeading1"/>
        <w:numPr>
          <w:ilvl w:val="0"/>
          <w:numId w:val="15"/>
        </w:numPr>
        <w:ind w:hanging="720"/>
        <w:rPr>
          <w:rFonts w:ascii="Franklin Gothic Medium" w:hAnsi="Franklin Gothic Medium"/>
          <w:b w:val="0"/>
          <w:bCs w:val="0"/>
          <w:sz w:val="32"/>
          <w:szCs w:val="32"/>
        </w:rPr>
      </w:pPr>
      <w:bookmarkStart w:id="6" w:name="_Toc93322888"/>
      <w:bookmarkStart w:id="7" w:name="_Toc93044754"/>
      <w:bookmarkStart w:id="8" w:name="_Toc219898305"/>
      <w:bookmarkEnd w:id="6"/>
      <w:bookmarkEnd w:id="7"/>
      <w:r w:rsidRPr="00EC43BF">
        <w:rPr>
          <w:rFonts w:ascii="Franklin Gothic Medium" w:hAnsi="Franklin Gothic Medium"/>
          <w:b w:val="0"/>
          <w:bCs w:val="0"/>
          <w:sz w:val="32"/>
          <w:szCs w:val="32"/>
        </w:rPr>
        <w:t>Proposal for public funding</w:t>
      </w:r>
      <w:bookmarkEnd w:id="8"/>
    </w:p>
    <w:p w14:paraId="3C780A05" w14:textId="6DCA46C3" w:rsidR="002F03F5" w:rsidRPr="00EC43BF" w:rsidRDefault="008F23FF" w:rsidP="00EC43BF">
      <w:pPr>
        <w:pStyle w:val="MSACESParagraph"/>
        <w:jc w:val="left"/>
        <w:rPr>
          <w:rFonts w:ascii="Franklin Gothic Book" w:hAnsi="Franklin Gothic Book"/>
          <w:color w:val="0066FF"/>
          <w:sz w:val="22"/>
        </w:rPr>
      </w:pPr>
      <w:bookmarkStart w:id="9" w:name="_Ref94771322"/>
      <w:r w:rsidRPr="00EC43BF">
        <w:rPr>
          <w:rFonts w:ascii="Franklin Gothic Book" w:hAnsi="Franklin Gothic Book"/>
          <w:sz w:val="22"/>
        </w:rPr>
        <w:t>The submission’s proposed MBS item descriptor for somatic</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iCs/>
          <w:sz w:val="22"/>
        </w:rPr>
        <w:t xml:space="preserve"> </w:t>
      </w:r>
      <w:r w:rsidRPr="00EC43BF">
        <w:rPr>
          <w:rFonts w:ascii="Franklin Gothic Book" w:hAnsi="Franklin Gothic Book"/>
          <w:sz w:val="22"/>
        </w:rPr>
        <w:t>variant testing is presented in</w:t>
      </w:r>
      <w:r w:rsidR="00633FB9">
        <w:rPr>
          <w:rFonts w:ascii="Franklin Gothic Book" w:hAnsi="Franklin Gothic Book"/>
          <w:sz w:val="22"/>
        </w:rPr>
        <w:t xml:space="preserve"> </w:t>
      </w:r>
      <w:r w:rsidR="00633FB9" w:rsidRPr="00633FB9">
        <w:rPr>
          <w:rFonts w:ascii="Franklin Gothic Book" w:hAnsi="Franklin Gothic Book"/>
          <w:sz w:val="22"/>
        </w:rPr>
        <w:fldChar w:fldCharType="begin"/>
      </w:r>
      <w:r w:rsidR="00633FB9" w:rsidRPr="00633FB9">
        <w:rPr>
          <w:rFonts w:ascii="Franklin Gothic Book" w:hAnsi="Franklin Gothic Book"/>
          <w:sz w:val="22"/>
        </w:rPr>
        <w:instrText xml:space="preserve"> REF _Ref226641186 \h  \* MERGEFORMAT </w:instrText>
      </w:r>
      <w:r w:rsidR="00633FB9" w:rsidRPr="00633FB9">
        <w:rPr>
          <w:rFonts w:ascii="Franklin Gothic Book" w:hAnsi="Franklin Gothic Book"/>
          <w:sz w:val="22"/>
        </w:rPr>
      </w:r>
      <w:r w:rsidR="00633FB9" w:rsidRPr="00633FB9">
        <w:rPr>
          <w:rFonts w:ascii="Franklin Gothic Book" w:hAnsi="Franklin Gothic Book"/>
          <w:sz w:val="22"/>
        </w:rPr>
        <w:fldChar w:fldCharType="separate"/>
      </w:r>
      <w:r w:rsidR="005B2039" w:rsidRPr="00687588">
        <w:rPr>
          <w:rFonts w:ascii="Franklin Gothic Book" w:hAnsi="Franklin Gothic Book"/>
          <w:sz w:val="22"/>
        </w:rPr>
        <w:t xml:space="preserve">Table </w:t>
      </w:r>
      <w:r w:rsidR="005B2039" w:rsidRPr="00687588">
        <w:rPr>
          <w:rFonts w:ascii="Franklin Gothic Book" w:hAnsi="Franklin Gothic Book"/>
          <w:noProof/>
          <w:sz w:val="22"/>
        </w:rPr>
        <w:t>2</w:t>
      </w:r>
      <w:r w:rsidR="00633FB9" w:rsidRPr="00633FB9">
        <w:rPr>
          <w:rFonts w:ascii="Franklin Gothic Book" w:hAnsi="Franklin Gothic Book"/>
          <w:sz w:val="22"/>
        </w:rPr>
        <w:fldChar w:fldCharType="end"/>
      </w:r>
    </w:p>
    <w:p w14:paraId="3C780A06" w14:textId="48A93696" w:rsidR="002F03F5" w:rsidRDefault="00633FB9" w:rsidP="00633FB9">
      <w:pPr>
        <w:pStyle w:val="Caption"/>
      </w:pPr>
      <w:bookmarkStart w:id="10" w:name="_Ref226641186"/>
      <w:bookmarkEnd w:id="9"/>
      <w:r>
        <w:t xml:space="preserve">Table </w:t>
      </w:r>
      <w:r>
        <w:fldChar w:fldCharType="begin"/>
      </w:r>
      <w:r>
        <w:instrText>SEQ Table \* ARABIC</w:instrText>
      </w:r>
      <w:r>
        <w:fldChar w:fldCharType="separate"/>
      </w:r>
      <w:r w:rsidR="005B2039">
        <w:rPr>
          <w:noProof/>
        </w:rPr>
        <w:t>2</w:t>
      </w:r>
      <w:r>
        <w:fldChar w:fldCharType="end"/>
      </w:r>
      <w:bookmarkEnd w:id="10"/>
      <w:r>
        <w:t xml:space="preserve"> Submission proposed MBS item</w:t>
      </w:r>
    </w:p>
    <w:tbl>
      <w:tblPr>
        <w:tblW w:w="5000" w:type="pct"/>
        <w:tblLayout w:type="fixed"/>
        <w:tblLook w:val="04A0" w:firstRow="1" w:lastRow="0" w:firstColumn="1" w:lastColumn="0" w:noHBand="0" w:noVBand="1"/>
      </w:tblPr>
      <w:tblGrid>
        <w:gridCol w:w="9016"/>
      </w:tblGrid>
      <w:tr w:rsidR="002F03F5" w14:paraId="3C780A08" w14:textId="77777777" w:rsidTr="00AE06A7">
        <w:trPr>
          <w:trHeight w:val="440"/>
        </w:trPr>
        <w:tc>
          <w:tcPr>
            <w:tcW w:w="9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DFF73F" w14:textId="33E2C1DE" w:rsidR="002F03F5" w:rsidRDefault="7596DC54">
            <w:pPr>
              <w:pStyle w:val="TableText"/>
              <w:keepNext/>
            </w:pPr>
            <w:r>
              <w:t xml:space="preserve">Category 6 – </w:t>
            </w:r>
            <w:r w:rsidRPr="63A4ACB5">
              <w:rPr>
                <w:caps/>
              </w:rPr>
              <w:t>P</w:t>
            </w:r>
            <w:r>
              <w:t>athology Services</w:t>
            </w:r>
            <w:r w:rsidR="3413CAB9">
              <w:t xml:space="preserve"> </w:t>
            </w:r>
          </w:p>
          <w:p w14:paraId="3C780A07" w14:textId="6403A56F" w:rsidR="002F03F5" w:rsidRDefault="3413CAB9">
            <w:pPr>
              <w:pStyle w:val="TableText"/>
              <w:keepNext/>
            </w:pPr>
            <w:r>
              <w:t>Group P7 – Genetics</w:t>
            </w:r>
          </w:p>
        </w:tc>
      </w:tr>
      <w:tr w:rsidR="002F03F5" w14:paraId="3C780A0B" w14:textId="77777777" w:rsidTr="63A4ACB5">
        <w:tc>
          <w:tcPr>
            <w:tcW w:w="9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AB489D" w14:textId="2D62B10A" w:rsidR="7596DC54" w:rsidRDefault="7596DC54" w:rsidP="63A4ACB5">
            <w:pPr>
              <w:pStyle w:val="TableText"/>
              <w:keepNext/>
            </w:pPr>
            <w:r>
              <w:t xml:space="preserve">MBS item *YYYY </w:t>
            </w:r>
          </w:p>
          <w:p w14:paraId="3C780A0A" w14:textId="1EDEEB16" w:rsidR="002F03F5" w:rsidRDefault="7596DC54">
            <w:pPr>
              <w:pStyle w:val="TableText"/>
              <w:keepNext/>
            </w:pPr>
            <w:r>
              <w:t>Detection of mutations in the</w:t>
            </w:r>
            <w:r w:rsidRPr="63A4ACB5">
              <w:rPr>
                <w:i/>
                <w:iCs/>
              </w:rPr>
              <w:t xml:space="preserve"> </w:t>
            </w:r>
            <w:r w:rsidR="48EEAAA2" w:rsidRPr="63A4ACB5">
              <w:rPr>
                <w:i/>
                <w:iCs/>
              </w:rPr>
              <w:t>RET</w:t>
            </w:r>
            <w:r w:rsidRPr="63A4ACB5">
              <w:rPr>
                <w:i/>
                <w:iCs/>
              </w:rPr>
              <w:t xml:space="preserve"> </w:t>
            </w:r>
            <w:r>
              <w:t>gene in patients with a clinical diagnosis of medullary thyroid cancer requested by a specialist or consultant physician who manages the treatment of the patient to determine access to specific therapies relevant to these mutations listed on the Pharmaceutical Benefits Scheme (PBS).</w:t>
            </w:r>
          </w:p>
        </w:tc>
      </w:tr>
      <w:tr w:rsidR="002F03F5" w14:paraId="3C780A0D" w14:textId="77777777" w:rsidTr="63A4ACB5">
        <w:tc>
          <w:tcPr>
            <w:tcW w:w="90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80A0C" w14:textId="06BEBAF6" w:rsidR="002F03F5" w:rsidRDefault="7596DC54" w:rsidP="00AE06A7">
            <w:pPr>
              <w:pStyle w:val="TableText"/>
              <w:keepNext/>
              <w:spacing w:line="259" w:lineRule="auto"/>
            </w:pPr>
            <w:r>
              <w:t>Fee: $400.00 Benefit 75% $300.00 85% $340.00</w:t>
            </w:r>
          </w:p>
        </w:tc>
      </w:tr>
    </w:tbl>
    <w:p w14:paraId="3C780A0E" w14:textId="77777777" w:rsidR="002F03F5" w:rsidRDefault="008F23FF">
      <w:pPr>
        <w:pStyle w:val="TableFooter"/>
        <w:keepNext/>
      </w:pPr>
      <w:r>
        <w:t>Source: Table 1-6, p46 of the submission</w:t>
      </w:r>
    </w:p>
    <w:p w14:paraId="3C780A10" w14:textId="693EA844" w:rsidR="002F03F5" w:rsidRPr="00EC43BF" w:rsidRDefault="7596DC54" w:rsidP="63A4ACB5">
      <w:pPr>
        <w:pStyle w:val="MSACESParagraph"/>
        <w:spacing w:before="240"/>
        <w:jc w:val="left"/>
        <w:rPr>
          <w:rFonts w:ascii="Franklin Gothic Book" w:hAnsi="Franklin Gothic Book"/>
          <w:sz w:val="22"/>
        </w:rPr>
      </w:pPr>
      <w:r w:rsidRPr="5E176297">
        <w:rPr>
          <w:rFonts w:ascii="Franklin Gothic Book" w:hAnsi="Franklin Gothic Book"/>
          <w:sz w:val="22"/>
        </w:rPr>
        <w:t>The applicant proposed MBS fee was $400 per test, which was the same as MBS item 73339 for the detection of germline</w:t>
      </w:r>
      <w:r w:rsidRPr="5E176297">
        <w:rPr>
          <w:rFonts w:ascii="Franklin Gothic Book" w:hAnsi="Franklin Gothic Book"/>
          <w:i/>
          <w:iCs/>
          <w:sz w:val="22"/>
        </w:rPr>
        <w:t xml:space="preserve"> </w:t>
      </w:r>
      <w:r w:rsidR="48EEAAA2"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 xml:space="preserve">variants and </w:t>
      </w:r>
      <w:r w:rsidR="008F23FF" w:rsidRPr="5E176297">
        <w:rPr>
          <w:rFonts w:ascii="Franklin Gothic Book" w:hAnsi="Franklin Gothic Book"/>
          <w:sz w:val="22"/>
        </w:rPr>
        <w:t xml:space="preserve">is </w:t>
      </w:r>
      <w:r w:rsidRPr="5E176297">
        <w:rPr>
          <w:rFonts w:ascii="Franklin Gothic Book" w:hAnsi="Franklin Gothic Book"/>
          <w:sz w:val="22"/>
        </w:rPr>
        <w:t>consistent with other MBS items for single gene panel tests (e.g. MBS item 73338 fee $362.60). In the application process, it was noted that somatic</w:t>
      </w:r>
      <w:r w:rsidRPr="5E176297">
        <w:rPr>
          <w:rFonts w:ascii="Franklin Gothic Book" w:hAnsi="Franklin Gothic Book"/>
          <w:i/>
          <w:iCs/>
          <w:sz w:val="22"/>
        </w:rPr>
        <w:t xml:space="preserve"> </w:t>
      </w:r>
      <w:r w:rsidR="48EEAAA2" w:rsidRPr="5E176297">
        <w:rPr>
          <w:rFonts w:ascii="Franklin Gothic Book" w:hAnsi="Franklin Gothic Book"/>
          <w:i/>
          <w:iCs/>
          <w:sz w:val="22"/>
        </w:rPr>
        <w:t>RET</w:t>
      </w:r>
      <w:r w:rsidRPr="5E176297">
        <w:rPr>
          <w:rFonts w:ascii="Franklin Gothic Book" w:hAnsi="Franklin Gothic Book"/>
          <w:i/>
          <w:iCs/>
          <w:sz w:val="22"/>
        </w:rPr>
        <w:t xml:space="preserve"> </w:t>
      </w:r>
      <w:r w:rsidRPr="5E176297">
        <w:rPr>
          <w:rFonts w:ascii="Franklin Gothic Book" w:hAnsi="Franklin Gothic Book"/>
          <w:sz w:val="22"/>
        </w:rPr>
        <w:t xml:space="preserve">variant testing is offered by Sonic Genetics at a non-Medicare rebatable fee of $2,100 for a single nodule and $1,164 for each additional nodule, and by Australian Clinical Labs at a non-Medicare rebatable fee of $750. These fees were noted to be higher than the proposed item as these tests include broader variant gene panels. </w:t>
      </w:r>
    </w:p>
    <w:p w14:paraId="3C780A11" w14:textId="4A33F656" w:rsidR="002F03F5" w:rsidRPr="00EC43BF" w:rsidRDefault="008F23FF" w:rsidP="00EC43BF">
      <w:pPr>
        <w:pStyle w:val="MSACESParagraph"/>
        <w:jc w:val="left"/>
        <w:rPr>
          <w:rFonts w:ascii="Franklin Gothic Book" w:hAnsi="Franklin Gothic Book"/>
          <w:i/>
          <w:iCs/>
          <w:sz w:val="22"/>
        </w:rPr>
      </w:pPr>
      <w:r w:rsidRPr="00EC43BF">
        <w:rPr>
          <w:rFonts w:ascii="Franklin Gothic Book" w:hAnsi="Franklin Gothic Book"/>
          <w:sz w:val="22"/>
        </w:rPr>
        <w:lastRenderedPageBreak/>
        <w:t>The commentary noted that PASC considered the applicant proposed fee to be reasonable and comparable to other single gene tests listed on the MBS. Feedback from the Royal College of Pathologists of Australasia (RCPA) indicated that the RCPA considered the fee was too low and was concerned that some laboratories would not be able to provide the testing at the proposed fee. The RCPA instead suggested that a fee of $682.35 was more appropriate, citing MBS item 73438, which is for a multi-gene panel test. SA pathology confirmed that $400 would be sufficient to cover costs for</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testing by adapting </w:t>
      </w:r>
      <w:r w:rsidR="001E0B2D">
        <w:rPr>
          <w:rFonts w:ascii="Franklin Gothic Book" w:hAnsi="Franklin Gothic Book"/>
          <w:sz w:val="22"/>
        </w:rPr>
        <w:t xml:space="preserve">an </w:t>
      </w:r>
      <w:r w:rsidRPr="00EC43BF">
        <w:rPr>
          <w:rFonts w:ascii="Franklin Gothic Book" w:hAnsi="Franklin Gothic Book"/>
          <w:sz w:val="22"/>
        </w:rPr>
        <w:t>existing small solid tumour NGS panel to detect</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alterations for thyroid tumours.</w:t>
      </w:r>
    </w:p>
    <w:p w14:paraId="3C780A12" w14:textId="6185BA41"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PASC noted that testing of a single gene should not cost the same as a small gene panel. MSAC has previously supported single gene testing using NGS methods for a fee of $340 (Application 1750)</w:t>
      </w:r>
      <w:r w:rsidRPr="00EC43BF">
        <w:rPr>
          <w:rStyle w:val="FootnoteReference"/>
          <w:rFonts w:ascii="Franklin Gothic Book" w:hAnsi="Franklin Gothic Book"/>
          <w:sz w:val="22"/>
        </w:rPr>
        <w:footnoteReference w:id="8"/>
      </w:r>
      <w:r w:rsidRPr="00EC43BF">
        <w:rPr>
          <w:rFonts w:ascii="Franklin Gothic Book" w:hAnsi="Franklin Gothic Book"/>
          <w:sz w:val="22"/>
        </w:rPr>
        <w:t xml:space="preserve">, noting (p3) that ‘most contemporary </w:t>
      </w:r>
      <w:r w:rsidRPr="00EC43BF">
        <w:rPr>
          <w:rFonts w:ascii="Franklin Gothic Book" w:hAnsi="Franklin Gothic Book"/>
          <w:i/>
          <w:iCs/>
          <w:sz w:val="22"/>
        </w:rPr>
        <w:t xml:space="preserve">IDH1 </w:t>
      </w:r>
      <w:r w:rsidRPr="00EC43BF">
        <w:rPr>
          <w:rFonts w:ascii="Franklin Gothic Book" w:hAnsi="Franklin Gothic Book"/>
          <w:sz w:val="22"/>
        </w:rPr>
        <w:t>tumour testing is performed as part of a gene panel test (using next generation sequencing) rather than as a single gene test’. PASC additionally noted that not all laboratories need to be able to provide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testing due to the small number of patients expected to be tested. </w:t>
      </w:r>
    </w:p>
    <w:p w14:paraId="3C780A13" w14:textId="624735F7"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 xml:space="preserve">The proposed MBS item descriptor was </w:t>
      </w:r>
      <w:proofErr w:type="gramStart"/>
      <w:r w:rsidRPr="00EC43BF">
        <w:rPr>
          <w:rFonts w:ascii="Franklin Gothic Book" w:hAnsi="Franklin Gothic Book"/>
          <w:sz w:val="22"/>
        </w:rPr>
        <w:t>test</w:t>
      </w:r>
      <w:proofErr w:type="gramEnd"/>
      <w:r w:rsidRPr="00EC43BF">
        <w:rPr>
          <w:rFonts w:ascii="Franklin Gothic Book" w:hAnsi="Franklin Gothic Book"/>
          <w:sz w:val="22"/>
        </w:rPr>
        <w:t xml:space="preserve"> assay agnostic as was the current MBS item for 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iCs/>
          <w:sz w:val="22"/>
        </w:rPr>
        <w:t xml:space="preserve"> </w:t>
      </w:r>
      <w:r w:rsidRPr="00EC43BF">
        <w:rPr>
          <w:rFonts w:ascii="Franklin Gothic Book" w:hAnsi="Franklin Gothic Book"/>
          <w:sz w:val="22"/>
        </w:rPr>
        <w:t>variant testing. The submission noted that conventional DNA-based methods such as NGS and PCR were expected to be used in practice. The RCPA noted NGS offered significantly higher sensitivity for detecting</w:t>
      </w:r>
      <w:r w:rsidRPr="00EC43BF">
        <w:rPr>
          <w:rFonts w:ascii="Franklin Gothic Book" w:hAnsi="Franklin Gothic Book"/>
          <w:i/>
          <w:sz w:val="22"/>
        </w:rPr>
        <w:t xml:space="preserve"> </w:t>
      </w:r>
      <w:r w:rsidRPr="00EC43BF">
        <w:rPr>
          <w:rFonts w:ascii="Franklin Gothic Book" w:hAnsi="Franklin Gothic Book"/>
          <w:i/>
          <w:iCs/>
          <w:sz w:val="22"/>
        </w:rPr>
        <w:t xml:space="preserve">RET </w:t>
      </w:r>
      <w:r w:rsidRPr="00EC43BF">
        <w:rPr>
          <w:rFonts w:ascii="Franklin Gothic Book" w:hAnsi="Franklin Gothic Book"/>
          <w:sz w:val="22"/>
        </w:rPr>
        <w:t>variants and was more efficient and scalable, allowing laboratories to test for multiple tumour and gene types on a single platform. The commentary noted NGS was predominantly performed in the LIBRETTO-531 (263/291 [90.7%]) and the LIBRETTO-001 trials (86%) for detecting</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variants.</w:t>
      </w:r>
    </w:p>
    <w:p w14:paraId="3C780A14" w14:textId="77777777"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 xml:space="preserve">As discussed in Section 3 of the MSAC Executive Summary, the test expected to be used in Australian clinical practice, either a single gene or multi-gene panel test, was unclear. In MSAC Application 1766, MSAC considered that the proposed fee for </w:t>
      </w:r>
      <w:r w:rsidRPr="00EC43BF">
        <w:rPr>
          <w:rFonts w:ascii="Franklin Gothic Book" w:hAnsi="Franklin Gothic Book"/>
          <w:i/>
          <w:iCs/>
          <w:sz w:val="22"/>
        </w:rPr>
        <w:t>AKT</w:t>
      </w:r>
      <w:r w:rsidRPr="00EC43BF">
        <w:rPr>
          <w:rFonts w:ascii="Franklin Gothic Book" w:hAnsi="Franklin Gothic Book"/>
          <w:sz w:val="22"/>
        </w:rPr>
        <w:t xml:space="preserve"> pathway testing ($2,200) was high given it assumed comprehensive genomic profiling (CGP) testing was required; however, MSAC considered that the need for CGP testing was not clearly justified, as the testing would be performed for 3 genes only and more targeted options for testing were available, which could reduce both costs and failure rates (p6, MSAC Application 1766 Public Summary Document [PSD] November 2024).</w:t>
      </w:r>
      <w:r w:rsidRPr="00EC43BF">
        <w:rPr>
          <w:rStyle w:val="FootnoteReference"/>
          <w:rFonts w:ascii="Franklin Gothic Book" w:hAnsi="Franklin Gothic Book"/>
          <w:sz w:val="22"/>
        </w:rPr>
        <w:footnoteReference w:id="9"/>
      </w:r>
    </w:p>
    <w:p w14:paraId="3C780A15" w14:textId="2AC9D0B2"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The proposed MBS item descriptor allowed testing in patients with a clinical diagnosis of MTC. However, the commentary considered that patients with an already known 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would not require somatic testing since these patients would already be eligible for selpercatinib. It might be appropriate to include in the item descriptor that patients with “no known 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variant” would be eligible as per the test population described in the Ratified PICO Confirmation 1804. </w:t>
      </w:r>
    </w:p>
    <w:p w14:paraId="3C780A16" w14:textId="77777777" w:rsidR="002F03F5" w:rsidRDefault="008F23FF" w:rsidP="00EC43BF">
      <w:pPr>
        <w:pStyle w:val="MSACESParagraph"/>
        <w:jc w:val="left"/>
        <w:rPr>
          <w:rFonts w:ascii="Franklin Gothic Book" w:hAnsi="Franklin Gothic Book"/>
          <w:sz w:val="22"/>
        </w:rPr>
      </w:pPr>
      <w:r w:rsidRPr="00EC43BF">
        <w:rPr>
          <w:rFonts w:ascii="Franklin Gothic Book" w:hAnsi="Franklin Gothic Book"/>
          <w:sz w:val="22"/>
        </w:rPr>
        <w:t>PASC also noted that patients with a histological (rather than clinical) diagnosis of MTC would be eligible for testing, and advised that the proposed descriptor should permit more than one test per lifetime, because resistant variants may be identified in future that would be worthwhile identifying after treatment.</w:t>
      </w:r>
    </w:p>
    <w:p w14:paraId="79C04E33" w14:textId="19875107" w:rsidR="00E0400F" w:rsidRDefault="00E0400F" w:rsidP="00EC43BF">
      <w:pPr>
        <w:pStyle w:val="MSACESParagraph"/>
        <w:jc w:val="left"/>
        <w:rPr>
          <w:rFonts w:ascii="Franklin Gothic Book" w:hAnsi="Franklin Gothic Book"/>
          <w:sz w:val="22"/>
        </w:rPr>
      </w:pPr>
      <w:r w:rsidRPr="00E0400F">
        <w:rPr>
          <w:rFonts w:ascii="Franklin Gothic Book" w:hAnsi="Franklin Gothic Book"/>
          <w:sz w:val="22"/>
        </w:rPr>
        <w:t xml:space="preserve">The key </w:t>
      </w:r>
      <w:r>
        <w:rPr>
          <w:rFonts w:ascii="Franklin Gothic Book" w:hAnsi="Franklin Gothic Book"/>
          <w:sz w:val="22"/>
        </w:rPr>
        <w:t>c</w:t>
      </w:r>
      <w:r w:rsidRPr="00E0400F">
        <w:rPr>
          <w:rFonts w:ascii="Franklin Gothic Book" w:hAnsi="Franklin Gothic Book"/>
          <w:sz w:val="22"/>
        </w:rPr>
        <w:t xml:space="preserve">omponents </w:t>
      </w:r>
      <w:r>
        <w:rPr>
          <w:rFonts w:ascii="Franklin Gothic Book" w:hAnsi="Franklin Gothic Book"/>
          <w:sz w:val="22"/>
        </w:rPr>
        <w:t>addressed by</w:t>
      </w:r>
      <w:r w:rsidRPr="00E0400F">
        <w:rPr>
          <w:rFonts w:ascii="Franklin Gothic Book" w:hAnsi="Franklin Gothic Book"/>
          <w:sz w:val="22"/>
        </w:rPr>
        <w:t xml:space="preserve"> the submission are presented in</w:t>
      </w:r>
      <w:r>
        <w:rPr>
          <w:rFonts w:ascii="Franklin Gothic Book" w:hAnsi="Franklin Gothic Book"/>
          <w:sz w:val="22"/>
        </w:rPr>
        <w:t xml:space="preserve"> </w:t>
      </w:r>
      <w:r w:rsidRPr="00E0400F">
        <w:rPr>
          <w:rFonts w:ascii="Franklin Gothic Book" w:hAnsi="Franklin Gothic Book"/>
          <w:sz w:val="22"/>
        </w:rPr>
        <w:fldChar w:fldCharType="begin"/>
      </w:r>
      <w:r w:rsidRPr="00E0400F">
        <w:rPr>
          <w:rFonts w:ascii="Franklin Gothic Book" w:hAnsi="Franklin Gothic Book"/>
          <w:sz w:val="22"/>
        </w:rPr>
        <w:instrText xml:space="preserve"> REF _Ref226641288 \h  \* MERGEFORMAT </w:instrText>
      </w:r>
      <w:r w:rsidRPr="00E0400F">
        <w:rPr>
          <w:rFonts w:ascii="Franklin Gothic Book" w:hAnsi="Franklin Gothic Book"/>
          <w:sz w:val="22"/>
        </w:rPr>
      </w:r>
      <w:r w:rsidRPr="00E0400F">
        <w:rPr>
          <w:rFonts w:ascii="Franklin Gothic Book" w:hAnsi="Franklin Gothic Book"/>
          <w:sz w:val="22"/>
        </w:rPr>
        <w:fldChar w:fldCharType="separate"/>
      </w:r>
      <w:r w:rsidR="005B2039" w:rsidRPr="00687588">
        <w:rPr>
          <w:rFonts w:ascii="Franklin Gothic Book" w:hAnsi="Franklin Gothic Book"/>
          <w:sz w:val="22"/>
        </w:rPr>
        <w:t xml:space="preserve">Table </w:t>
      </w:r>
      <w:r w:rsidR="005B2039" w:rsidRPr="00687588">
        <w:rPr>
          <w:rFonts w:ascii="Franklin Gothic Book" w:hAnsi="Franklin Gothic Book"/>
          <w:noProof/>
          <w:sz w:val="22"/>
        </w:rPr>
        <w:t>3</w:t>
      </w:r>
      <w:r w:rsidRPr="00E0400F">
        <w:rPr>
          <w:rFonts w:ascii="Franklin Gothic Book" w:hAnsi="Franklin Gothic Book"/>
          <w:sz w:val="22"/>
        </w:rPr>
        <w:fldChar w:fldCharType="end"/>
      </w:r>
      <w:r w:rsidRPr="00E0400F">
        <w:rPr>
          <w:rFonts w:ascii="Franklin Gothic Book" w:hAnsi="Franklin Gothic Book"/>
          <w:sz w:val="22"/>
        </w:rPr>
        <w:t>.</w:t>
      </w:r>
    </w:p>
    <w:p w14:paraId="30A8DBD0" w14:textId="7A2AF17E" w:rsidR="00EE599C" w:rsidRDefault="00E0400F" w:rsidP="002809AC">
      <w:pPr>
        <w:pStyle w:val="Caption"/>
        <w:keepLines/>
      </w:pPr>
      <w:bookmarkStart w:id="11" w:name="_Ref226641288"/>
      <w:r>
        <w:lastRenderedPageBreak/>
        <w:t xml:space="preserve">Table </w:t>
      </w:r>
      <w:r>
        <w:fldChar w:fldCharType="begin"/>
      </w:r>
      <w:r>
        <w:instrText>SEQ Table \* ARABIC</w:instrText>
      </w:r>
      <w:r>
        <w:fldChar w:fldCharType="separate"/>
      </w:r>
      <w:r w:rsidR="005B2039">
        <w:rPr>
          <w:noProof/>
        </w:rPr>
        <w:t>3</w:t>
      </w:r>
      <w:r>
        <w:fldChar w:fldCharType="end"/>
      </w:r>
      <w:bookmarkEnd w:id="11"/>
      <w:r>
        <w:t xml:space="preserve"> </w:t>
      </w:r>
      <w:r w:rsidR="00EE599C">
        <w:t>Key components of the clinical issue addressed by the submission</w:t>
      </w:r>
    </w:p>
    <w:tbl>
      <w:tblPr>
        <w:tblStyle w:val="TableGrid"/>
        <w:tblW w:w="5000" w:type="pct"/>
        <w:tblLayout w:type="fixed"/>
        <w:tblCellMar>
          <w:left w:w="57" w:type="dxa"/>
          <w:right w:w="57" w:type="dxa"/>
        </w:tblCellMar>
        <w:tblLook w:val="04A0" w:firstRow="1" w:lastRow="0" w:firstColumn="1" w:lastColumn="0" w:noHBand="0" w:noVBand="1"/>
      </w:tblPr>
      <w:tblGrid>
        <w:gridCol w:w="1441"/>
        <w:gridCol w:w="7575"/>
      </w:tblGrid>
      <w:tr w:rsidR="00EE599C" w14:paraId="1DD63E8A" w14:textId="77777777">
        <w:trPr>
          <w:cnfStyle w:val="100000000000" w:firstRow="1" w:lastRow="0" w:firstColumn="0" w:lastColumn="0" w:oddVBand="0" w:evenVBand="0" w:oddHBand="0" w:evenHBand="0" w:firstRowFirstColumn="0" w:firstRowLastColumn="0" w:lastRowFirstColumn="0" w:lastRowLastColumn="0"/>
          <w:trHeight w:val="283"/>
        </w:trPr>
        <w:tc>
          <w:tcPr>
            <w:tcW w:w="14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586D7" w14:textId="77777777" w:rsidR="00EE599C" w:rsidRPr="002523E7" w:rsidRDefault="00EE599C" w:rsidP="002809AC">
            <w:pPr>
              <w:pStyle w:val="TableRowHeader"/>
              <w:keepNext/>
              <w:keepLines/>
              <w:rPr>
                <w:b/>
                <w:bCs/>
              </w:rPr>
            </w:pPr>
            <w:r w:rsidRPr="003148F2">
              <w:rPr>
                <w:rFonts w:eastAsia="Calibri" w:cs="Arial"/>
                <w:bCs/>
              </w:rPr>
              <w:t>Component</w:t>
            </w:r>
          </w:p>
        </w:tc>
        <w:tc>
          <w:tcPr>
            <w:tcW w:w="75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12BC7F" w14:textId="77777777" w:rsidR="00EE599C" w:rsidRPr="002523E7" w:rsidRDefault="00EE599C" w:rsidP="002809AC">
            <w:pPr>
              <w:pStyle w:val="TableRowHeader"/>
              <w:keepNext/>
              <w:keepLines/>
              <w:rPr>
                <w:b/>
                <w:bCs/>
              </w:rPr>
            </w:pPr>
            <w:r w:rsidRPr="002523E7">
              <w:rPr>
                <w:rFonts w:eastAsia="Calibri" w:cs="Arial"/>
                <w:bCs/>
              </w:rPr>
              <w:t>Description</w:t>
            </w:r>
          </w:p>
        </w:tc>
      </w:tr>
      <w:tr w:rsidR="00EE599C" w14:paraId="0DC95A5A" w14:textId="77777777">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3F29E4E9" w14:textId="77777777" w:rsidR="00EE599C" w:rsidRPr="002523E7" w:rsidRDefault="00EE599C" w:rsidP="002809AC">
            <w:pPr>
              <w:pStyle w:val="TableText"/>
              <w:keepNext/>
              <w:keepLines/>
            </w:pPr>
            <w:r w:rsidRPr="002523E7">
              <w:rPr>
                <w:rFonts w:eastAsia="Calibri" w:cs="Arial"/>
              </w:rPr>
              <w:t>Population</w:t>
            </w:r>
          </w:p>
        </w:tc>
        <w:tc>
          <w:tcPr>
            <w:tcW w:w="7584" w:type="dxa"/>
            <w:tcBorders>
              <w:top w:val="single" w:sz="4" w:space="0" w:color="000000"/>
              <w:left w:val="single" w:sz="4" w:space="0" w:color="000000"/>
              <w:bottom w:val="single" w:sz="4" w:space="0" w:color="000000"/>
              <w:right w:val="single" w:sz="4" w:space="0" w:color="000000"/>
            </w:tcBorders>
            <w:vAlign w:val="center"/>
          </w:tcPr>
          <w:p w14:paraId="453FA200" w14:textId="77777777" w:rsidR="00EE599C" w:rsidRPr="002523E7" w:rsidRDefault="00EE599C" w:rsidP="002809AC">
            <w:pPr>
              <w:pStyle w:val="TableText"/>
              <w:keepNext/>
              <w:keepLines/>
            </w:pPr>
            <w:r w:rsidRPr="002523E7">
              <w:rPr>
                <w:rFonts w:eastAsia="Calibri" w:cs="Arial"/>
                <w:u w:val="single"/>
              </w:rPr>
              <w:t>Test</w:t>
            </w:r>
            <w:r w:rsidRPr="002523E7">
              <w:rPr>
                <w:rFonts w:eastAsia="Calibri" w:cs="Arial"/>
              </w:rPr>
              <w:t>: Medullary thyroid cancer (MTC) patients without germline variants</w:t>
            </w:r>
          </w:p>
          <w:p w14:paraId="3536AE4C" w14:textId="1CF46A02" w:rsidR="00EE599C" w:rsidRPr="002523E7" w:rsidRDefault="00EE599C" w:rsidP="002809AC">
            <w:pPr>
              <w:pStyle w:val="TableText"/>
              <w:keepNext/>
              <w:keepLines/>
            </w:pPr>
            <w:r w:rsidRPr="002523E7">
              <w:rPr>
                <w:rFonts w:eastAsia="Calibri" w:cs="Arial"/>
                <w:u w:val="single"/>
              </w:rPr>
              <w:t>Drug</w:t>
            </w:r>
            <w:r w:rsidRPr="002523E7">
              <w:rPr>
                <w:rFonts w:eastAsia="Calibri" w:cs="Arial"/>
              </w:rPr>
              <w:t>: Patients with histologically and cytologically confirmed advanced or metastatic MTC with a</w:t>
            </w:r>
            <w:r w:rsidRPr="002523E7">
              <w:rPr>
                <w:rFonts w:eastAsia="Calibri" w:cs="Arial"/>
                <w:i/>
              </w:rPr>
              <w:t xml:space="preserve"> </w:t>
            </w:r>
            <w:r w:rsidR="00B14353" w:rsidRPr="00B14353">
              <w:rPr>
                <w:rFonts w:eastAsia="Calibri" w:cs="Arial"/>
                <w:i/>
                <w:iCs/>
              </w:rPr>
              <w:t>RET</w:t>
            </w:r>
            <w:r w:rsidRPr="002523E7">
              <w:rPr>
                <w:rFonts w:eastAsia="Calibri" w:cs="Arial"/>
                <w:i/>
              </w:rPr>
              <w:t xml:space="preserve"> </w:t>
            </w:r>
            <w:r w:rsidRPr="002523E7">
              <w:rPr>
                <w:rFonts w:eastAsia="Calibri" w:cs="Arial"/>
              </w:rPr>
              <w:t xml:space="preserve">alteration (somatic or germline) and (WHO) ECOG PS ≤2 </w:t>
            </w:r>
          </w:p>
        </w:tc>
      </w:tr>
      <w:tr w:rsidR="00EE599C" w14:paraId="32A50B96" w14:textId="77777777">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009BDFC7" w14:textId="77777777" w:rsidR="00EE599C" w:rsidRPr="002523E7" w:rsidRDefault="00EE599C" w:rsidP="002809AC">
            <w:pPr>
              <w:pStyle w:val="TableText"/>
              <w:keepNext/>
              <w:keepLines/>
            </w:pPr>
            <w:r w:rsidRPr="002523E7">
              <w:rPr>
                <w:rFonts w:eastAsia="Calibri" w:cs="Arial"/>
              </w:rPr>
              <w:t>Intervention</w:t>
            </w:r>
          </w:p>
        </w:tc>
        <w:tc>
          <w:tcPr>
            <w:tcW w:w="7584" w:type="dxa"/>
            <w:tcBorders>
              <w:top w:val="single" w:sz="4" w:space="0" w:color="000000"/>
              <w:left w:val="single" w:sz="4" w:space="0" w:color="000000"/>
              <w:bottom w:val="single" w:sz="4" w:space="0" w:color="000000"/>
              <w:right w:val="single" w:sz="4" w:space="0" w:color="000000"/>
            </w:tcBorders>
            <w:vAlign w:val="center"/>
          </w:tcPr>
          <w:p w14:paraId="76E487CB" w14:textId="77777777" w:rsidR="00EE599C" w:rsidRPr="002523E7" w:rsidRDefault="00EE599C" w:rsidP="002809AC">
            <w:pPr>
              <w:pStyle w:val="TableText"/>
              <w:keepNext/>
              <w:keepLines/>
            </w:pPr>
            <w:r w:rsidRPr="002523E7">
              <w:rPr>
                <w:rFonts w:eastAsia="Calibri" w:cs="Arial"/>
                <w:u w:val="single"/>
              </w:rPr>
              <w:t>Test</w:t>
            </w:r>
            <w:r w:rsidRPr="002523E7">
              <w:rPr>
                <w:rFonts w:eastAsia="Calibri" w:cs="Arial"/>
              </w:rPr>
              <w:t xml:space="preserve">: Testing of somatic </w:t>
            </w:r>
            <w:proofErr w:type="spellStart"/>
            <w:r w:rsidRPr="002523E7">
              <w:rPr>
                <w:rFonts w:eastAsia="Calibri" w:cs="Arial"/>
              </w:rPr>
              <w:t>tumour</w:t>
            </w:r>
            <w:proofErr w:type="spellEnd"/>
            <w:r w:rsidRPr="002523E7">
              <w:rPr>
                <w:rFonts w:eastAsia="Calibri" w:cs="Arial"/>
              </w:rPr>
              <w:t xml:space="preserve"> tissue using commercially available platforms or laboratory accredited in house tests.</w:t>
            </w:r>
          </w:p>
          <w:p w14:paraId="383A60EC" w14:textId="220ACA26" w:rsidR="00EE599C" w:rsidRPr="002523E7" w:rsidRDefault="00EE599C" w:rsidP="002809AC">
            <w:pPr>
              <w:pStyle w:val="TableText"/>
              <w:keepNext/>
              <w:keepLines/>
            </w:pPr>
            <w:r w:rsidRPr="002523E7">
              <w:rPr>
                <w:rFonts w:eastAsia="Calibri" w:cs="Arial"/>
                <w:u w:val="single"/>
              </w:rPr>
              <w:t>Drug</w:t>
            </w:r>
            <w:r w:rsidRPr="002523E7">
              <w:rPr>
                <w:rFonts w:eastAsia="Calibri" w:cs="Arial"/>
              </w:rPr>
              <w:t>: Selpercatinib orally administered in</w:t>
            </w:r>
            <w:r w:rsidRPr="002523E7">
              <w:rPr>
                <w:rFonts w:eastAsia="Calibri" w:cs="Arial"/>
                <w:i/>
              </w:rPr>
              <w:t xml:space="preserve"> </w:t>
            </w:r>
            <w:r w:rsidR="00B14353" w:rsidRPr="00B14353">
              <w:rPr>
                <w:rFonts w:eastAsia="Calibri" w:cs="Arial"/>
                <w:i/>
                <w:iCs/>
              </w:rPr>
              <w:t>RET</w:t>
            </w:r>
            <w:r w:rsidRPr="002523E7">
              <w:rPr>
                <w:rFonts w:eastAsia="Calibri" w:cs="Arial"/>
                <w:i/>
              </w:rPr>
              <w:t xml:space="preserve"> </w:t>
            </w:r>
            <w:r w:rsidRPr="002523E7">
              <w:rPr>
                <w:rFonts w:eastAsia="Calibri" w:cs="Arial"/>
              </w:rPr>
              <w:t>alteration MTC patients until disease progression. In patients with bodyweight ≥50 kg, the recommended dose of selpercatinib is 160 mg twice daily. In patients with bodyweight &lt;50 kg, the recommended dose of selpercatinib is 120 mg twice daily</w:t>
            </w:r>
          </w:p>
        </w:tc>
      </w:tr>
      <w:tr w:rsidR="00EE599C" w14:paraId="183BF93A" w14:textId="77777777">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00BA48C5" w14:textId="77777777" w:rsidR="00EE599C" w:rsidRPr="002523E7" w:rsidRDefault="00EE599C" w:rsidP="002809AC">
            <w:pPr>
              <w:pStyle w:val="TableText"/>
              <w:keepNext/>
              <w:keepLines/>
            </w:pPr>
            <w:r w:rsidRPr="002523E7">
              <w:rPr>
                <w:rFonts w:eastAsia="Calibri" w:cs="Arial"/>
              </w:rPr>
              <w:t>Comparator</w:t>
            </w:r>
          </w:p>
        </w:tc>
        <w:tc>
          <w:tcPr>
            <w:tcW w:w="7584" w:type="dxa"/>
            <w:tcBorders>
              <w:top w:val="single" w:sz="4" w:space="0" w:color="000000"/>
              <w:left w:val="single" w:sz="4" w:space="0" w:color="000000"/>
              <w:bottom w:val="single" w:sz="4" w:space="0" w:color="000000"/>
              <w:right w:val="single" w:sz="4" w:space="0" w:color="000000"/>
            </w:tcBorders>
            <w:vAlign w:val="center"/>
          </w:tcPr>
          <w:p w14:paraId="058667CA" w14:textId="17417A16" w:rsidR="00EE599C" w:rsidRPr="002523E7" w:rsidRDefault="00EE599C" w:rsidP="002809AC">
            <w:pPr>
              <w:pStyle w:val="TableText"/>
              <w:keepNext/>
              <w:keepLines/>
            </w:pPr>
            <w:r w:rsidRPr="002523E7">
              <w:rPr>
                <w:rFonts w:eastAsia="Calibri" w:cs="Arial"/>
                <w:u w:val="single"/>
              </w:rPr>
              <w:t>Test</w:t>
            </w:r>
            <w:r w:rsidRPr="002523E7">
              <w:rPr>
                <w:rFonts w:eastAsia="Calibri" w:cs="Arial"/>
              </w:rPr>
              <w:t>: No testing for somatic</w:t>
            </w:r>
            <w:r w:rsidRPr="002523E7">
              <w:rPr>
                <w:rFonts w:eastAsia="Calibri" w:cs="Arial"/>
                <w:i/>
              </w:rPr>
              <w:t xml:space="preserve"> </w:t>
            </w:r>
            <w:r w:rsidR="00B14353" w:rsidRPr="00B14353">
              <w:rPr>
                <w:rFonts w:eastAsia="Calibri" w:cs="Arial"/>
                <w:i/>
                <w:iCs/>
              </w:rPr>
              <w:t>RET</w:t>
            </w:r>
            <w:r w:rsidRPr="002523E7">
              <w:rPr>
                <w:rFonts w:eastAsia="Calibri" w:cs="Arial"/>
                <w:i/>
              </w:rPr>
              <w:t xml:space="preserve"> </w:t>
            </w:r>
            <w:r w:rsidRPr="002523E7">
              <w:rPr>
                <w:rFonts w:eastAsia="Calibri" w:cs="Arial"/>
              </w:rPr>
              <w:t>alteration</w:t>
            </w:r>
          </w:p>
          <w:p w14:paraId="10486908" w14:textId="77777777" w:rsidR="00EE599C" w:rsidRPr="002523E7" w:rsidRDefault="00EE599C" w:rsidP="002809AC">
            <w:pPr>
              <w:pStyle w:val="TableText"/>
              <w:keepNext/>
              <w:keepLines/>
            </w:pPr>
            <w:r w:rsidRPr="002523E7">
              <w:rPr>
                <w:rFonts w:eastAsia="Calibri" w:cs="Arial"/>
                <w:u w:val="single"/>
              </w:rPr>
              <w:t>Primary</w:t>
            </w:r>
            <w:r w:rsidRPr="002523E7">
              <w:rPr>
                <w:rFonts w:eastAsia="Calibri" w:cs="Arial"/>
              </w:rPr>
              <w:t xml:space="preserve">: Best supportive care </w:t>
            </w:r>
          </w:p>
          <w:p w14:paraId="44F2232B" w14:textId="77777777" w:rsidR="00EE599C" w:rsidRPr="002523E7" w:rsidRDefault="00EE599C" w:rsidP="002809AC">
            <w:pPr>
              <w:pStyle w:val="TableText"/>
              <w:keepNext/>
              <w:keepLines/>
            </w:pPr>
            <w:r w:rsidRPr="002523E7">
              <w:rPr>
                <w:rFonts w:eastAsia="Calibri" w:cs="Arial"/>
                <w:u w:val="single"/>
              </w:rPr>
              <w:t>Secondary</w:t>
            </w:r>
            <w:r w:rsidRPr="002523E7">
              <w:rPr>
                <w:rFonts w:eastAsia="Calibri" w:cs="Arial"/>
              </w:rPr>
              <w:t>: Standard of care (cabozantinib 140 mg/day or vandetanib 300 mg/day)</w:t>
            </w:r>
          </w:p>
        </w:tc>
      </w:tr>
      <w:tr w:rsidR="00EE599C" w14:paraId="259B7563" w14:textId="77777777">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4FD4F27F" w14:textId="77777777" w:rsidR="00EE599C" w:rsidRPr="002523E7" w:rsidRDefault="00EE599C" w:rsidP="002809AC">
            <w:pPr>
              <w:pStyle w:val="TableText"/>
              <w:keepNext/>
              <w:keepLines/>
            </w:pPr>
            <w:r w:rsidRPr="002523E7">
              <w:rPr>
                <w:rFonts w:eastAsia="Calibri" w:cs="Arial"/>
              </w:rPr>
              <w:t>Outcomes</w:t>
            </w:r>
          </w:p>
        </w:tc>
        <w:tc>
          <w:tcPr>
            <w:tcW w:w="7584" w:type="dxa"/>
            <w:tcBorders>
              <w:top w:val="single" w:sz="4" w:space="0" w:color="000000"/>
              <w:left w:val="single" w:sz="4" w:space="0" w:color="000000"/>
              <w:bottom w:val="single" w:sz="4" w:space="0" w:color="000000"/>
              <w:right w:val="single" w:sz="4" w:space="0" w:color="000000"/>
            </w:tcBorders>
            <w:vAlign w:val="center"/>
          </w:tcPr>
          <w:p w14:paraId="3767D677" w14:textId="77777777" w:rsidR="00EE599C" w:rsidRPr="002523E7" w:rsidRDefault="00EE599C" w:rsidP="002809AC">
            <w:pPr>
              <w:pStyle w:val="TableText"/>
              <w:keepNext/>
              <w:keepLines/>
            </w:pPr>
            <w:r w:rsidRPr="002523E7">
              <w:rPr>
                <w:rFonts w:eastAsia="Calibri" w:cs="Arial"/>
              </w:rPr>
              <w:t>Progression free survival, treatment failure free survival, overall survival, overall response, duration of response, safety, and health related quality of life</w:t>
            </w:r>
          </w:p>
        </w:tc>
      </w:tr>
      <w:tr w:rsidR="00EE599C" w14:paraId="2B593376" w14:textId="77777777">
        <w:trPr>
          <w:trHeight w:val="283"/>
        </w:trPr>
        <w:tc>
          <w:tcPr>
            <w:tcW w:w="1442" w:type="dxa"/>
            <w:tcBorders>
              <w:top w:val="single" w:sz="4" w:space="0" w:color="000000"/>
              <w:left w:val="single" w:sz="4" w:space="0" w:color="000000"/>
              <w:bottom w:val="single" w:sz="4" w:space="0" w:color="000000"/>
              <w:right w:val="single" w:sz="4" w:space="0" w:color="000000"/>
            </w:tcBorders>
            <w:vAlign w:val="center"/>
          </w:tcPr>
          <w:p w14:paraId="57F32EDB" w14:textId="77777777" w:rsidR="00EE599C" w:rsidRPr="002523E7" w:rsidRDefault="00EE599C" w:rsidP="002809AC">
            <w:pPr>
              <w:pStyle w:val="TableText"/>
              <w:keepNext/>
              <w:keepLines/>
            </w:pPr>
            <w:r w:rsidRPr="002523E7">
              <w:rPr>
                <w:rFonts w:eastAsia="Calibri" w:cs="Arial"/>
              </w:rPr>
              <w:t>Clinical claim</w:t>
            </w:r>
          </w:p>
        </w:tc>
        <w:tc>
          <w:tcPr>
            <w:tcW w:w="7584" w:type="dxa"/>
            <w:tcBorders>
              <w:top w:val="single" w:sz="4" w:space="0" w:color="000000"/>
              <w:left w:val="single" w:sz="4" w:space="0" w:color="000000"/>
              <w:bottom w:val="single" w:sz="4" w:space="0" w:color="000000"/>
              <w:right w:val="single" w:sz="4" w:space="0" w:color="000000"/>
            </w:tcBorders>
            <w:vAlign w:val="center"/>
          </w:tcPr>
          <w:p w14:paraId="275963DF" w14:textId="6E3AC629" w:rsidR="00EE599C" w:rsidRPr="002523E7" w:rsidRDefault="00EE599C" w:rsidP="002809AC">
            <w:pPr>
              <w:pStyle w:val="TableText"/>
              <w:keepNext/>
              <w:keepLines/>
            </w:pPr>
            <w:r w:rsidRPr="002523E7">
              <w:rPr>
                <w:rFonts w:eastAsia="Calibri" w:cs="Arial"/>
              </w:rPr>
              <w:t>In treatment naïve patients with</w:t>
            </w:r>
            <w:r w:rsidRPr="002523E7">
              <w:rPr>
                <w:rFonts w:eastAsia="Calibri" w:cs="Arial"/>
                <w:i/>
              </w:rPr>
              <w:t xml:space="preserve"> </w:t>
            </w:r>
            <w:r w:rsidR="00B14353" w:rsidRPr="00B14353">
              <w:rPr>
                <w:rFonts w:eastAsia="Calibri" w:cs="Arial"/>
                <w:i/>
                <w:iCs/>
              </w:rPr>
              <w:t>RET</w:t>
            </w:r>
            <w:r w:rsidRPr="002523E7">
              <w:rPr>
                <w:rFonts w:eastAsia="Calibri" w:cs="Arial"/>
                <w:i/>
              </w:rPr>
              <w:t xml:space="preserve"> </w:t>
            </w:r>
            <w:r w:rsidRPr="002523E7">
              <w:rPr>
                <w:rFonts w:eastAsia="Calibri" w:cs="Arial"/>
              </w:rPr>
              <w:t>alteration advanced or metastatic MTC, selpercatinib is superior to placebo in terms of efficacy and has an inferior, but clinically manageable, safety profile.</w:t>
            </w:r>
          </w:p>
        </w:tc>
      </w:tr>
    </w:tbl>
    <w:p w14:paraId="1817FA5B" w14:textId="77777777" w:rsidR="00EE599C" w:rsidRDefault="00EE599C" w:rsidP="002809AC">
      <w:pPr>
        <w:pStyle w:val="TableFooter"/>
        <w:keepNext/>
        <w:keepLines/>
      </w:pPr>
      <w:r>
        <w:t>Source: Table 1-1, p29 of the submission</w:t>
      </w:r>
    </w:p>
    <w:p w14:paraId="6AEC2948" w14:textId="0A62DF9A" w:rsidR="00EE599C" w:rsidRDefault="00EE599C" w:rsidP="002809AC">
      <w:pPr>
        <w:pStyle w:val="TableFooter"/>
        <w:keepNext/>
        <w:keepLines/>
      </w:pPr>
      <w:r>
        <w:t>ECOG = Eastern Cooperative Oncology Group; MTC = medullary thyroid cancer; PS = performance status;</w:t>
      </w:r>
      <w:r>
        <w:rPr>
          <w:i/>
        </w:rPr>
        <w:t xml:space="preserve"> </w:t>
      </w:r>
      <w:r w:rsidR="00B14353" w:rsidRPr="00B14353">
        <w:rPr>
          <w:i/>
          <w:iCs/>
        </w:rPr>
        <w:t>RET</w:t>
      </w:r>
      <w:r>
        <w:rPr>
          <w:i/>
          <w:iCs/>
        </w:rPr>
        <w:t xml:space="preserve"> = </w:t>
      </w:r>
      <w:r w:rsidR="00B14353" w:rsidRPr="00B14353">
        <w:rPr>
          <w:i/>
          <w:iCs/>
        </w:rPr>
        <w:t>RET</w:t>
      </w:r>
      <w:r>
        <w:rPr>
          <w:i/>
          <w:iCs/>
        </w:rPr>
        <w:t xml:space="preserve"> proto-oncogene</w:t>
      </w:r>
      <w:r>
        <w:t>; WHO = World Health Organisation</w:t>
      </w:r>
    </w:p>
    <w:p w14:paraId="00F8A027" w14:textId="720B9280" w:rsidR="00EE599C" w:rsidRPr="00EC43BF" w:rsidRDefault="00EE599C" w:rsidP="00EE599C">
      <w:pPr>
        <w:pStyle w:val="MSACESParagraph"/>
        <w:spacing w:before="240"/>
        <w:jc w:val="left"/>
        <w:rPr>
          <w:rFonts w:ascii="Franklin Gothic Book" w:hAnsi="Franklin Gothic Book"/>
          <w:sz w:val="22"/>
        </w:rPr>
      </w:pPr>
      <w:r w:rsidRPr="00EC43BF">
        <w:rPr>
          <w:rFonts w:ascii="Franklin Gothic Book" w:hAnsi="Franklin Gothic Book"/>
          <w:sz w:val="22"/>
        </w:rPr>
        <w:t xml:space="preserve">The commentary noted that the proposed populations for both testing and treatment with selpercatinib were inconsistently applied throughout the submission; in particular, the submission’s requested MBS test and PBS treatment populations did not align with the populations in the Ratified PICO Confirmation, proposed change in clinical management, the clinical evidence, economic model, and the financial estimates (see </w:t>
      </w:r>
      <w:r w:rsidRPr="00EC43BF">
        <w:rPr>
          <w:rFonts w:ascii="Franklin Gothic Book" w:hAnsi="Franklin Gothic Book"/>
          <w:sz w:val="22"/>
        </w:rPr>
        <w:fldChar w:fldCharType="begin"/>
      </w:r>
      <w:r w:rsidRPr="00EC43BF">
        <w:rPr>
          <w:rFonts w:ascii="Franklin Gothic Book" w:hAnsi="Franklin Gothic Book"/>
          <w:sz w:val="22"/>
        </w:rPr>
        <w:instrText xml:space="preserve"> REF _Ref219186540 \h  \* MERGEFORMAT </w:instrText>
      </w:r>
      <w:r w:rsidRPr="00EC43BF">
        <w:rPr>
          <w:rFonts w:ascii="Franklin Gothic Book" w:hAnsi="Franklin Gothic Book"/>
          <w:sz w:val="22"/>
        </w:rPr>
      </w:r>
      <w:r w:rsidRPr="00EC43BF">
        <w:rPr>
          <w:rFonts w:ascii="Franklin Gothic Book" w:hAnsi="Franklin Gothic Book"/>
          <w:sz w:val="22"/>
        </w:rPr>
        <w:fldChar w:fldCharType="end"/>
      </w:r>
      <w:r w:rsidR="001C0A69">
        <w:rPr>
          <w:rFonts w:ascii="Franklin Gothic Book" w:hAnsi="Franklin Gothic Book"/>
          <w:sz w:val="22"/>
        </w:rPr>
        <w:t xml:space="preserve">  </w:t>
      </w:r>
      <w:r w:rsidR="00C84F68">
        <w:rPr>
          <w:rFonts w:ascii="Franklin Gothic Book" w:hAnsi="Franklin Gothic Book"/>
          <w:sz w:val="22"/>
        </w:rPr>
        <w:t xml:space="preserve">   </w:t>
      </w:r>
      <w:r w:rsidRPr="00EC43BF">
        <w:rPr>
          <w:rFonts w:ascii="Franklin Gothic Book" w:hAnsi="Franklin Gothic Book"/>
          <w:sz w:val="22"/>
        </w:rPr>
        <w:t xml:space="preserve">Attachment to the MSAC ESC Report). As the intended testing and treatment populations were unclear in the submission, the generalisability of the evidence presented to the proposed testing and treatment populations in clinical practice is uncertain. </w:t>
      </w:r>
    </w:p>
    <w:p w14:paraId="5D24A858" w14:textId="77777777" w:rsidR="00EE599C" w:rsidRPr="00EC43BF" w:rsidRDefault="00EE599C" w:rsidP="00EE599C">
      <w:pPr>
        <w:pStyle w:val="MSACESParagraph"/>
        <w:jc w:val="left"/>
        <w:rPr>
          <w:rFonts w:ascii="Franklin Gothic Book" w:hAnsi="Franklin Gothic Book"/>
          <w:sz w:val="22"/>
        </w:rPr>
      </w:pPr>
      <w:r w:rsidRPr="00EC43BF">
        <w:rPr>
          <w:rFonts w:ascii="Franklin Gothic Book" w:hAnsi="Franklin Gothic Book"/>
          <w:sz w:val="22"/>
        </w:rPr>
        <w:t>The commentary considered it appropriate that:</w:t>
      </w:r>
    </w:p>
    <w:p w14:paraId="625B304E" w14:textId="6985A0AF" w:rsidR="00EE599C" w:rsidRPr="00EC43BF" w:rsidRDefault="00EE599C" w:rsidP="00EE599C">
      <w:pPr>
        <w:pStyle w:val="MainBodyBulletPoint"/>
        <w:rPr>
          <w:rFonts w:ascii="Franklin Gothic Book" w:hAnsi="Franklin Gothic Book"/>
        </w:rPr>
      </w:pPr>
      <w:r w:rsidRPr="00EC43BF">
        <w:rPr>
          <w:rFonts w:ascii="Franklin Gothic Book" w:hAnsi="Franklin Gothic Book"/>
        </w:rPr>
        <w:t>The population eligible for testing was patients “with a confirmed histological diagnosis of MTC, who have not already undergone testing of tumour tissue for clinically significant</w:t>
      </w:r>
      <w:r w:rsidRPr="00EC43BF">
        <w:rPr>
          <w:rFonts w:ascii="Franklin Gothic Book" w:hAnsi="Franklin Gothic Book"/>
          <w:i/>
        </w:rPr>
        <w:t xml:space="preserve"> </w:t>
      </w:r>
      <w:r w:rsidR="00B14353" w:rsidRPr="00B14353">
        <w:rPr>
          <w:rFonts w:ascii="Franklin Gothic Book" w:hAnsi="Franklin Gothic Book"/>
          <w:i/>
          <w:iCs/>
        </w:rPr>
        <w:t>RET</w:t>
      </w:r>
      <w:r w:rsidRPr="00EC43BF">
        <w:rPr>
          <w:rFonts w:ascii="Franklin Gothic Book" w:hAnsi="Franklin Gothic Book"/>
          <w:i/>
        </w:rPr>
        <w:t xml:space="preserve"> </w:t>
      </w:r>
      <w:r w:rsidRPr="00EC43BF">
        <w:rPr>
          <w:rFonts w:ascii="Franklin Gothic Book" w:hAnsi="Franklin Gothic Book"/>
        </w:rPr>
        <w:t>variants and do not have a known germline</w:t>
      </w:r>
      <w:r w:rsidRPr="00EC43BF">
        <w:rPr>
          <w:rFonts w:ascii="Franklin Gothic Book" w:hAnsi="Franklin Gothic Book"/>
          <w:i/>
        </w:rPr>
        <w:t xml:space="preserve"> </w:t>
      </w:r>
      <w:r w:rsidR="00B14353" w:rsidRPr="00B14353">
        <w:rPr>
          <w:rFonts w:ascii="Franklin Gothic Book" w:hAnsi="Franklin Gothic Book"/>
          <w:i/>
          <w:iCs/>
        </w:rPr>
        <w:t>RET</w:t>
      </w:r>
      <w:r w:rsidRPr="00EC43BF">
        <w:rPr>
          <w:rFonts w:ascii="Franklin Gothic Book" w:hAnsi="Franklin Gothic Book"/>
          <w:i/>
        </w:rPr>
        <w:t xml:space="preserve"> </w:t>
      </w:r>
      <w:r w:rsidRPr="00EC43BF">
        <w:rPr>
          <w:rFonts w:ascii="Franklin Gothic Book" w:hAnsi="Franklin Gothic Book"/>
        </w:rPr>
        <w:t>variant” as per the (p4) Ratified PICO Confirmation 1804.</w:t>
      </w:r>
    </w:p>
    <w:p w14:paraId="05A4486A" w14:textId="656ABE18" w:rsidR="00EE599C" w:rsidRPr="00EC43BF" w:rsidRDefault="00EE599C" w:rsidP="00EC43BF">
      <w:pPr>
        <w:pStyle w:val="MSACESParagraph"/>
        <w:jc w:val="left"/>
        <w:rPr>
          <w:rFonts w:ascii="Franklin Gothic Book" w:hAnsi="Franklin Gothic Book"/>
          <w:sz w:val="22"/>
        </w:rPr>
      </w:pPr>
      <w:r w:rsidRPr="00EC43BF">
        <w:rPr>
          <w:rFonts w:ascii="Franklin Gothic Book" w:hAnsi="Franklin Gothic Book"/>
          <w:sz w:val="22"/>
        </w:rPr>
        <w:t>The population eligible for treatment with selpercatinib was</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locally advanced or metastatic MTC patients with unresectable disease and documented disease progression as per the LIB</w:t>
      </w:r>
      <w:r w:rsidR="00B14353" w:rsidRPr="00687588">
        <w:rPr>
          <w:rFonts w:ascii="Franklin Gothic Book" w:hAnsi="Franklin Gothic Book"/>
          <w:sz w:val="22"/>
        </w:rPr>
        <w:t>RET</w:t>
      </w:r>
      <w:r w:rsidRPr="00EC43BF">
        <w:rPr>
          <w:rFonts w:ascii="Franklin Gothic Book" w:hAnsi="Franklin Gothic Book"/>
          <w:sz w:val="22"/>
        </w:rPr>
        <w:t>TO-531 trial.</w:t>
      </w:r>
    </w:p>
    <w:p w14:paraId="3C780A17" w14:textId="77777777" w:rsidR="002F03F5" w:rsidRPr="00EC43BF" w:rsidRDefault="008F23FF" w:rsidP="00601076">
      <w:pPr>
        <w:pStyle w:val="MSACHeading1"/>
        <w:numPr>
          <w:ilvl w:val="0"/>
          <w:numId w:val="15"/>
        </w:numPr>
        <w:ind w:hanging="720"/>
        <w:rPr>
          <w:rFonts w:ascii="Franklin Gothic Medium" w:hAnsi="Franklin Gothic Medium"/>
          <w:b w:val="0"/>
          <w:bCs w:val="0"/>
          <w:sz w:val="32"/>
          <w:szCs w:val="32"/>
        </w:rPr>
      </w:pPr>
      <w:bookmarkStart w:id="12" w:name="_Toc93322893"/>
      <w:bookmarkStart w:id="13" w:name="_Toc93044759"/>
      <w:bookmarkStart w:id="14" w:name="_Toc219898306"/>
      <w:bookmarkEnd w:id="12"/>
      <w:bookmarkEnd w:id="13"/>
      <w:r w:rsidRPr="00EC43BF">
        <w:rPr>
          <w:rFonts w:ascii="Franklin Gothic Medium" w:hAnsi="Franklin Gothic Medium"/>
          <w:b w:val="0"/>
          <w:bCs w:val="0"/>
          <w:sz w:val="32"/>
          <w:szCs w:val="32"/>
        </w:rPr>
        <w:t>Population</w:t>
      </w:r>
      <w:bookmarkEnd w:id="14"/>
    </w:p>
    <w:p w14:paraId="3C780A18" w14:textId="1CBAC8F0"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MTC is considered a neuroendocrine tumour that arises from parafollicular C cells within the thyroid and contributes to 4% of thyroid cancers.</w:t>
      </w:r>
      <w:r w:rsidRPr="00EC43BF">
        <w:rPr>
          <w:rStyle w:val="FootnoteReference"/>
          <w:rFonts w:ascii="Franklin Gothic Book" w:hAnsi="Franklin Gothic Book"/>
          <w:sz w:val="22"/>
        </w:rPr>
        <w:footnoteReference w:id="10"/>
      </w:r>
      <w:r w:rsidRPr="00EC43BF">
        <w:rPr>
          <w:rFonts w:ascii="Franklin Gothic Book" w:hAnsi="Franklin Gothic Book"/>
          <w:sz w:val="22"/>
        </w:rPr>
        <w:t xml:space="preserve"> There are two subtypes of MTC, (</w:t>
      </w:r>
      <w:proofErr w:type="spellStart"/>
      <w:r w:rsidRPr="00EC43BF">
        <w:rPr>
          <w:rFonts w:ascii="Franklin Gothic Book" w:hAnsi="Franklin Gothic Book"/>
          <w:sz w:val="22"/>
        </w:rPr>
        <w:t>i</w:t>
      </w:r>
      <w:proofErr w:type="spellEnd"/>
      <w:r w:rsidRPr="00EC43BF">
        <w:rPr>
          <w:rFonts w:ascii="Franklin Gothic Book" w:hAnsi="Franklin Gothic Book"/>
          <w:sz w:val="22"/>
        </w:rPr>
        <w:t>) sporadic and (ii) hereditary. The submission stated clinically significant</w:t>
      </w:r>
      <w:r w:rsidRPr="00EC43BF">
        <w:rPr>
          <w:rFonts w:ascii="Franklin Gothic Book" w:hAnsi="Franklin Gothic Book"/>
          <w:i/>
          <w:sz w:val="22"/>
        </w:rPr>
        <w:t xml:space="preserve"> </w:t>
      </w:r>
      <w:r w:rsidRPr="00EC43BF">
        <w:rPr>
          <w:rFonts w:ascii="Franklin Gothic Book" w:hAnsi="Franklin Gothic Book"/>
          <w:i/>
          <w:iCs/>
          <w:sz w:val="22"/>
        </w:rPr>
        <w:t xml:space="preserve">RET </w:t>
      </w:r>
      <w:r w:rsidRPr="00EC43BF">
        <w:rPr>
          <w:rFonts w:ascii="Franklin Gothic Book" w:hAnsi="Franklin Gothic Book"/>
          <w:sz w:val="22"/>
        </w:rPr>
        <w:t>variants were present in 70% of all MTC patients (98% of hereditary and 50-60% of sporadic MTC). Sporadic MTC represents 75-80% of MTC cases and predominantly affects patients in their fifth or sixth decade of life. Hereditary MTC is primarily due to germline variants in the</w:t>
      </w:r>
      <w:r w:rsidRPr="00EC43BF">
        <w:rPr>
          <w:rFonts w:ascii="Franklin Gothic Book" w:hAnsi="Franklin Gothic Book"/>
          <w:i/>
          <w:sz w:val="22"/>
        </w:rPr>
        <w:t xml:space="preserve"> RET </w:t>
      </w:r>
      <w:r w:rsidRPr="00EC43BF">
        <w:rPr>
          <w:rFonts w:ascii="Franklin Gothic Book" w:hAnsi="Franklin Gothic Book"/>
          <w:sz w:val="22"/>
        </w:rPr>
        <w:t xml:space="preserve">gene, and is present in 20-25% of cases with onset typically within a patient’s third decade of life. Hereditary MTC is the primary component leading to the inherited condition MEN2, which consists of 3 related disorders: MEN2A, MEN2B, and familial medullary thyroid carcinoma (FMTC). MEN2A is the cause of an estimated 23% of MTC cases and is characterised by MTC, pheochromocytoma, and primary </w:t>
      </w:r>
      <w:r w:rsidRPr="00EC43BF">
        <w:rPr>
          <w:rFonts w:ascii="Franklin Gothic Book" w:hAnsi="Franklin Gothic Book"/>
          <w:sz w:val="22"/>
        </w:rPr>
        <w:lastRenderedPageBreak/>
        <w:t>parathyroid hyperplasia, where onset typically occurs in the third decade of life. MEN2B is responsible for &lt;2% of MTC cases, is more aggressive than MEN2A, is characterised by MTC and pheochromocytoma (~50% of patients) but not hyperparathyroidism, and typically occurs within the first decade of life. FMTC accounts for &lt;1% of MTC cases and is characterised by MTC without pheochromocytoma or parathyroid hyperplasia, and onset occurs during the fifth to sixth decade of life (Raue 1994; Wells 2015; Haddad 2022).</w:t>
      </w:r>
      <w:r w:rsidRPr="00EC43BF">
        <w:rPr>
          <w:rStyle w:val="FootnoteReference"/>
          <w:rFonts w:ascii="Franklin Gothic Book" w:hAnsi="Franklin Gothic Book"/>
          <w:sz w:val="22"/>
        </w:rPr>
        <w:footnoteReference w:id="11"/>
      </w:r>
      <w:r w:rsidRPr="00EC43BF">
        <w:rPr>
          <w:rFonts w:ascii="Franklin Gothic Book" w:hAnsi="Franklin Gothic Book"/>
          <w:sz w:val="22"/>
          <w:vertAlign w:val="superscript"/>
        </w:rPr>
        <w:t>,</w:t>
      </w:r>
      <w:r w:rsidRPr="00EC43BF">
        <w:rPr>
          <w:rStyle w:val="FootnoteReference"/>
          <w:rFonts w:ascii="Franklin Gothic Book" w:hAnsi="Franklin Gothic Book"/>
          <w:sz w:val="22"/>
        </w:rPr>
        <w:footnoteReference w:id="12"/>
      </w:r>
      <w:r w:rsidRPr="00EC43BF">
        <w:rPr>
          <w:rFonts w:ascii="Franklin Gothic Book" w:hAnsi="Franklin Gothic Book"/>
          <w:sz w:val="22"/>
          <w:vertAlign w:val="superscript"/>
        </w:rPr>
        <w:t>,</w:t>
      </w:r>
      <w:r w:rsidRPr="00EC43BF">
        <w:rPr>
          <w:rStyle w:val="FootnoteReference"/>
          <w:rFonts w:ascii="Franklin Gothic Book" w:hAnsi="Franklin Gothic Book"/>
          <w:sz w:val="22"/>
        </w:rPr>
        <w:footnoteReference w:id="13"/>
      </w:r>
      <w:r w:rsidRPr="00EC43BF">
        <w:rPr>
          <w:rFonts w:ascii="Franklin Gothic Book" w:hAnsi="Franklin Gothic Book"/>
          <w:sz w:val="22"/>
        </w:rPr>
        <w:t xml:space="preserve">  </w:t>
      </w:r>
    </w:p>
    <w:p w14:paraId="3C780A19" w14:textId="21B39E9E"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RET is a transmembrane tyrosine kinase receptor encoded by the</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gene, which plays an important role in the development and maintenance of the enteric nervous and genitourinary systems in neonates such as kidney induction, </w:t>
      </w:r>
      <w:proofErr w:type="spellStart"/>
      <w:r w:rsidRPr="00EC43BF">
        <w:rPr>
          <w:rFonts w:ascii="Franklin Gothic Book" w:hAnsi="Franklin Gothic Book"/>
          <w:sz w:val="22"/>
        </w:rPr>
        <w:t>spermatogonial</w:t>
      </w:r>
      <w:proofErr w:type="spellEnd"/>
      <w:r w:rsidRPr="00EC43BF">
        <w:rPr>
          <w:rFonts w:ascii="Franklin Gothic Book" w:hAnsi="Franklin Gothic Book"/>
          <w:sz w:val="22"/>
        </w:rPr>
        <w:t xml:space="preserve"> stem cell maintenance, neural crest cell migration, and central and peripheral nervous system neuron maintenance (Walker &amp; Mulligan 2025).</w:t>
      </w:r>
      <w:r w:rsidRPr="00EC43BF">
        <w:rPr>
          <w:rStyle w:val="FootnoteReference"/>
          <w:rFonts w:ascii="Franklin Gothic Book" w:hAnsi="Franklin Gothic Book"/>
          <w:sz w:val="22"/>
        </w:rPr>
        <w:footnoteReference w:id="14"/>
      </w:r>
      <w:r w:rsidRPr="00EC43BF">
        <w:rPr>
          <w:rFonts w:ascii="Franklin Gothic Book" w:hAnsi="Franklin Gothic Book"/>
          <w:sz w:val="22"/>
        </w:rPr>
        <w:t xml:space="preserve"> Pathogenic</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variants in MTC are usually point mutations at exons 10, 11, 13, 14, 15, 16, and rarely in exons 5 and 8, that lead to constitutive activation of</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iCs/>
          <w:sz w:val="22"/>
        </w:rPr>
        <w:t xml:space="preserve"> </w:t>
      </w:r>
      <w:r w:rsidRPr="00EC43BF">
        <w:rPr>
          <w:rFonts w:ascii="Franklin Gothic Book" w:hAnsi="Franklin Gothic Book"/>
          <w:sz w:val="22"/>
        </w:rPr>
        <w:t>and uncontrolled cell proliferation, tumour development, and progression (Gild 2023). The most common clinically significant</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variant causing sporadic MTC is </w:t>
      </w:r>
      <w:r w:rsidRPr="00EC43BF">
        <w:rPr>
          <w:rFonts w:ascii="Franklin Gothic Book" w:hAnsi="Franklin Gothic Book"/>
          <w:i/>
          <w:iCs/>
          <w:sz w:val="22"/>
        </w:rPr>
        <w:t xml:space="preserve">M918T </w:t>
      </w:r>
      <w:r w:rsidRPr="00EC43BF">
        <w:rPr>
          <w:rFonts w:ascii="Franklin Gothic Book" w:hAnsi="Franklin Gothic Book"/>
          <w:sz w:val="22"/>
        </w:rPr>
        <w:t>(in exon 16), which was noted to be associated with more aggressive disease, characterised by larger tumours, nodal and distant metastases, advanced stage at diagnosis, recurrence, and reduced survival. The commentary noted the prognosis of</w:t>
      </w:r>
      <w:r w:rsidRPr="00EC43BF">
        <w:rPr>
          <w:rFonts w:ascii="Franklin Gothic Book" w:hAnsi="Franklin Gothic Book"/>
          <w:i/>
          <w:sz w:val="22"/>
        </w:rPr>
        <w:t xml:space="preserve"> </w:t>
      </w:r>
      <w:r w:rsidRPr="00EC43BF">
        <w:rPr>
          <w:rFonts w:ascii="Franklin Gothic Book" w:hAnsi="Franklin Gothic Book"/>
          <w:i/>
          <w:iCs/>
          <w:sz w:val="22"/>
        </w:rPr>
        <w:t>RET M918T</w:t>
      </w:r>
      <w:r w:rsidRPr="00EC43BF">
        <w:rPr>
          <w:rFonts w:ascii="Franklin Gothic Book" w:hAnsi="Franklin Gothic Book"/>
          <w:sz w:val="22"/>
        </w:rPr>
        <w:t xml:space="preserve"> variants may be similar in sporadic and hereditary MTC (Machens 2020).</w:t>
      </w:r>
      <w:r w:rsidRPr="00EC43BF">
        <w:rPr>
          <w:rStyle w:val="FootnoteReference"/>
          <w:rFonts w:ascii="Franklin Gothic Book" w:hAnsi="Franklin Gothic Book"/>
          <w:sz w:val="22"/>
        </w:rPr>
        <w:footnoteReference w:id="15"/>
      </w:r>
      <w:r w:rsidRPr="00EC43BF">
        <w:rPr>
          <w:rFonts w:ascii="Franklin Gothic Book" w:hAnsi="Franklin Gothic Book"/>
          <w:sz w:val="22"/>
        </w:rPr>
        <w:t xml:space="preserve"> Multiple</w:t>
      </w:r>
      <w:r w:rsidRPr="00EC43BF">
        <w:rPr>
          <w:rFonts w:ascii="Franklin Gothic Book" w:hAnsi="Franklin Gothic Book"/>
          <w:i/>
          <w:sz w:val="22"/>
        </w:rPr>
        <w:t xml:space="preserve"> </w:t>
      </w:r>
      <w:r w:rsidRPr="00EC43BF">
        <w:rPr>
          <w:rFonts w:ascii="Franklin Gothic Book" w:hAnsi="Franklin Gothic Book"/>
          <w:i/>
          <w:iCs/>
          <w:sz w:val="22"/>
        </w:rPr>
        <w:t xml:space="preserve">RET </w:t>
      </w:r>
      <w:r w:rsidRPr="00EC43BF">
        <w:rPr>
          <w:rFonts w:ascii="Franklin Gothic Book" w:hAnsi="Franklin Gothic Book"/>
          <w:sz w:val="22"/>
        </w:rPr>
        <w:t>variants or variants concurrent with</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may also exist and are associated with more aggressive disease (Romei 2016).</w:t>
      </w:r>
      <w:r w:rsidRPr="00EC43BF">
        <w:rPr>
          <w:rStyle w:val="FootnoteReference"/>
          <w:rFonts w:ascii="Franklin Gothic Book" w:hAnsi="Franklin Gothic Book"/>
          <w:sz w:val="22"/>
        </w:rPr>
        <w:footnoteReference w:id="16"/>
      </w:r>
      <w:r w:rsidRPr="00EC43BF">
        <w:rPr>
          <w:rFonts w:ascii="Franklin Gothic Book" w:hAnsi="Franklin Gothic Book"/>
          <w:sz w:val="22"/>
        </w:rPr>
        <w:t xml:space="preserve"> </w:t>
      </w:r>
    </w:p>
    <w:p w14:paraId="3C780A1A" w14:textId="58B989F3"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The submission stated clinically significant</w:t>
      </w:r>
      <w:r w:rsidRPr="00EC43BF">
        <w:rPr>
          <w:rFonts w:ascii="Franklin Gothic Book" w:hAnsi="Franklin Gothic Book"/>
          <w:i/>
          <w:sz w:val="22"/>
        </w:rPr>
        <w:t xml:space="preserve"> </w:t>
      </w:r>
      <w:r w:rsidRPr="00EC43BF">
        <w:rPr>
          <w:rFonts w:ascii="Franklin Gothic Book" w:hAnsi="Franklin Gothic Book"/>
          <w:i/>
          <w:iCs/>
          <w:sz w:val="22"/>
        </w:rPr>
        <w:t xml:space="preserve">RET </w:t>
      </w:r>
      <w:r w:rsidRPr="00EC43BF">
        <w:rPr>
          <w:rFonts w:ascii="Franklin Gothic Book" w:hAnsi="Franklin Gothic Book"/>
          <w:sz w:val="22"/>
        </w:rPr>
        <w:t>variants were present in 70% of all MTC patients (98% of hereditary and 50-60% of sporadic MTC), which the commentary considered was consistent with the literature (Elisei 2019 reported 115/117 [98.3%] hereditary MTC had a germline</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Ciampi 2019 reported 101/181 [55.8%] sporadic MTC had a</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Shirali 2024 reported 139/191 [72.8%] of sporadic MTC had a</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w:t>
      </w:r>
      <w:r w:rsidRPr="00EC43BF">
        <w:rPr>
          <w:rStyle w:val="FootnoteReference"/>
          <w:rFonts w:ascii="Franklin Gothic Book" w:hAnsi="Franklin Gothic Book"/>
          <w:sz w:val="22"/>
        </w:rPr>
        <w:footnoteReference w:id="17"/>
      </w:r>
      <w:r w:rsidRPr="00EC43BF">
        <w:rPr>
          <w:rFonts w:ascii="Franklin Gothic Book" w:hAnsi="Franklin Gothic Book"/>
          <w:sz w:val="22"/>
          <w:vertAlign w:val="superscript"/>
        </w:rPr>
        <w:t xml:space="preserve">, </w:t>
      </w:r>
      <w:r w:rsidRPr="00EC43BF">
        <w:rPr>
          <w:rStyle w:val="FootnoteReference"/>
          <w:rFonts w:ascii="Franklin Gothic Book" w:hAnsi="Franklin Gothic Book"/>
          <w:sz w:val="22"/>
        </w:rPr>
        <w:footnoteReference w:id="18"/>
      </w:r>
      <w:r w:rsidRPr="00EC43BF">
        <w:rPr>
          <w:rStyle w:val="FootnoteCharacters"/>
          <w:rFonts w:ascii="Franklin Gothic Book" w:hAnsi="Franklin Gothic Book"/>
          <w:sz w:val="22"/>
        </w:rPr>
        <w:t xml:space="preserve">, </w:t>
      </w:r>
      <w:r w:rsidRPr="00EC43BF">
        <w:rPr>
          <w:rStyle w:val="FootnoteReference"/>
          <w:rFonts w:ascii="Franklin Gothic Book" w:hAnsi="Franklin Gothic Book"/>
          <w:sz w:val="22"/>
        </w:rPr>
        <w:footnoteReference w:id="19"/>
      </w:r>
      <w:r w:rsidRPr="00EC43BF">
        <w:rPr>
          <w:rFonts w:ascii="Franklin Gothic Book" w:hAnsi="Franklin Gothic Book"/>
          <w:sz w:val="22"/>
        </w:rPr>
        <w:t xml:space="preserve"> The commentary noted the prevalence of</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variants may be higher in patients with advanced or metastatic disease where Romei 2016 reported approximately 94% of advanced tumours were</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variant. In some apparently sporadic MTC cases, following germline testing these patients may </w:t>
      </w:r>
      <w:proofErr w:type="gramStart"/>
      <w:r w:rsidRPr="00EC43BF">
        <w:rPr>
          <w:rFonts w:ascii="Franklin Gothic Book" w:hAnsi="Franklin Gothic Book"/>
          <w:sz w:val="22"/>
        </w:rPr>
        <w:t>actually have</w:t>
      </w:r>
      <w:proofErr w:type="gramEnd"/>
      <w:r w:rsidRPr="00EC43BF">
        <w:rPr>
          <w:rFonts w:ascii="Franklin Gothic Book" w:hAnsi="Franklin Gothic Book"/>
          <w:sz w:val="22"/>
        </w:rPr>
        <w:t xml:space="preserve"> the hereditary form (6% of cases; Gild 2023). In</w:t>
      </w:r>
      <w:r w:rsidRPr="00EC43BF">
        <w:rPr>
          <w:rFonts w:ascii="Franklin Gothic Book" w:hAnsi="Franklin Gothic Book"/>
          <w:i/>
          <w:sz w:val="22"/>
        </w:rPr>
        <w:t xml:space="preserve"> RET </w:t>
      </w:r>
      <w:r w:rsidRPr="00EC43BF">
        <w:rPr>
          <w:rFonts w:ascii="Franklin Gothic Book" w:hAnsi="Franklin Gothic Book"/>
          <w:sz w:val="22"/>
        </w:rPr>
        <w:t xml:space="preserve">wildtype patients, variants </w:t>
      </w:r>
      <w:r w:rsidRPr="00EC43BF">
        <w:rPr>
          <w:rFonts w:ascii="Franklin Gothic Book" w:hAnsi="Franklin Gothic Book"/>
          <w:sz w:val="22"/>
        </w:rPr>
        <w:lastRenderedPageBreak/>
        <w:t xml:space="preserve">at the </w:t>
      </w:r>
      <w:r w:rsidRPr="00EC43BF">
        <w:rPr>
          <w:rFonts w:ascii="Franklin Gothic Book" w:hAnsi="Franklin Gothic Book"/>
          <w:i/>
          <w:iCs/>
          <w:sz w:val="22"/>
        </w:rPr>
        <w:t>rat sarcoma oncogene</w:t>
      </w:r>
      <w:r w:rsidRPr="00EC43BF">
        <w:rPr>
          <w:rFonts w:ascii="Franklin Gothic Book" w:hAnsi="Franklin Gothic Book"/>
          <w:sz w:val="22"/>
        </w:rPr>
        <w:t xml:space="preserve"> (</w:t>
      </w:r>
      <w:r w:rsidRPr="00EC43BF">
        <w:rPr>
          <w:rFonts w:ascii="Franklin Gothic Book" w:hAnsi="Franklin Gothic Book"/>
          <w:i/>
          <w:iCs/>
          <w:sz w:val="22"/>
        </w:rPr>
        <w:t>RAS</w:t>
      </w:r>
      <w:r w:rsidRPr="00EC43BF">
        <w:rPr>
          <w:rFonts w:ascii="Franklin Gothic Book" w:hAnsi="Franklin Gothic Book"/>
          <w:sz w:val="22"/>
        </w:rPr>
        <w:t>)</w:t>
      </w:r>
      <w:r w:rsidRPr="00EC43BF">
        <w:rPr>
          <w:rFonts w:ascii="Franklin Gothic Book" w:hAnsi="Franklin Gothic Book"/>
          <w:i/>
          <w:iCs/>
          <w:sz w:val="22"/>
        </w:rPr>
        <w:t xml:space="preserve"> </w:t>
      </w:r>
      <w:r w:rsidRPr="00EC43BF">
        <w:rPr>
          <w:rFonts w:ascii="Franklin Gothic Book" w:hAnsi="Franklin Gothic Book"/>
          <w:sz w:val="22"/>
        </w:rPr>
        <w:t>contributed to approximately 70% of wildtype cases (Zhang 2024).</w:t>
      </w:r>
      <w:r w:rsidRPr="00EC43BF">
        <w:rPr>
          <w:rStyle w:val="FootnoteReference"/>
          <w:rFonts w:ascii="Franklin Gothic Book" w:hAnsi="Franklin Gothic Book"/>
          <w:sz w:val="22"/>
        </w:rPr>
        <w:footnoteReference w:id="20"/>
      </w:r>
      <w:r w:rsidRPr="00EC43BF">
        <w:rPr>
          <w:rFonts w:ascii="Franklin Gothic Book" w:hAnsi="Franklin Gothic Book"/>
          <w:sz w:val="22"/>
        </w:rPr>
        <w:t xml:space="preserve"> </w:t>
      </w:r>
    </w:p>
    <w:p w14:paraId="3C780A1B" w14:textId="1E58F775"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The submission did not discuss the stability of the biomarker (i.e. the likelihood that the biomarker would change over time such as in the primary tumour and in metastases). The commentary noted that MSAC considered germline</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variants were stable (p150, MSAC Application 1152).</w:t>
      </w:r>
      <w:r w:rsidRPr="00EC43BF">
        <w:rPr>
          <w:rStyle w:val="FootnoteReference"/>
          <w:rFonts w:ascii="Franklin Gothic Book" w:hAnsi="Franklin Gothic Book"/>
          <w:sz w:val="22"/>
        </w:rPr>
        <w:footnoteReference w:id="21"/>
      </w:r>
      <w:r w:rsidRPr="00EC43BF">
        <w:rPr>
          <w:rFonts w:ascii="Franklin Gothic Book" w:hAnsi="Franklin Gothic Book"/>
          <w:sz w:val="22"/>
        </w:rPr>
        <w:t xml:space="preserve"> In comparison, the commentary noted the stability of somatic</w:t>
      </w:r>
      <w:r w:rsidRPr="00EC43BF">
        <w:rPr>
          <w:rFonts w:ascii="Franklin Gothic Book" w:hAnsi="Franklin Gothic Book"/>
          <w:i/>
          <w:sz w:val="22"/>
        </w:rPr>
        <w:t xml:space="preserve"> </w:t>
      </w:r>
      <w:r w:rsidRPr="00EC43BF">
        <w:rPr>
          <w:rFonts w:ascii="Franklin Gothic Book" w:hAnsi="Franklin Gothic Book"/>
          <w:i/>
          <w:iCs/>
          <w:sz w:val="22"/>
        </w:rPr>
        <w:t xml:space="preserve">RET </w:t>
      </w:r>
      <w:r w:rsidRPr="00EC43BF">
        <w:rPr>
          <w:rFonts w:ascii="Franklin Gothic Book" w:hAnsi="Franklin Gothic Book"/>
          <w:sz w:val="22"/>
        </w:rPr>
        <w:t>variants was uncertain, where in a study in 56 patients with metastatic MTC, Romei 2018 reported 20% (11/56) discordance in</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profiles reported between primary MTC tumour and subsequent metastatic tumour tissue.</w:t>
      </w:r>
      <w:r w:rsidRPr="00EC43BF">
        <w:rPr>
          <w:rStyle w:val="FootnoteReference"/>
          <w:rFonts w:ascii="Franklin Gothic Book" w:hAnsi="Franklin Gothic Book"/>
          <w:sz w:val="22"/>
        </w:rPr>
        <w:footnoteReference w:id="22"/>
      </w:r>
      <w:r w:rsidRPr="00EC43BF">
        <w:rPr>
          <w:rFonts w:ascii="Franklin Gothic Book" w:hAnsi="Franklin Gothic Book"/>
          <w:sz w:val="22"/>
        </w:rPr>
        <w:t xml:space="preserve"> Of these cases, the authors noted that in 3 patients (5%) the primary MTC tumour was</w:t>
      </w:r>
      <w:r w:rsidRPr="00EC43BF">
        <w:rPr>
          <w:rFonts w:ascii="Franklin Gothic Book" w:hAnsi="Franklin Gothic Book"/>
          <w:i/>
          <w:sz w:val="22"/>
        </w:rPr>
        <w:t xml:space="preserve"> </w:t>
      </w:r>
      <w:r w:rsidRPr="00EC43BF">
        <w:rPr>
          <w:rFonts w:ascii="Franklin Gothic Book" w:hAnsi="Franklin Gothic Book"/>
          <w:i/>
          <w:iCs/>
          <w:sz w:val="22"/>
        </w:rPr>
        <w:t xml:space="preserve">RET </w:t>
      </w:r>
      <w:r w:rsidRPr="00EC43BF">
        <w:rPr>
          <w:rFonts w:ascii="Franklin Gothic Book" w:hAnsi="Franklin Gothic Book"/>
          <w:sz w:val="22"/>
        </w:rPr>
        <w:t>wildtype compared to its metastatic tumour being positive for a</w:t>
      </w:r>
      <w:r w:rsidRPr="00EC43BF">
        <w:rPr>
          <w:rFonts w:ascii="Franklin Gothic Book" w:hAnsi="Franklin Gothic Book"/>
          <w:i/>
          <w:sz w:val="22"/>
        </w:rPr>
        <w:t xml:space="preserve"> </w:t>
      </w:r>
      <w:r w:rsidRPr="00EC43BF">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While conclusions were uncertain, this might warrant secondary testing for some patients who initially tested negative for a</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but later experience distant recurrence.</w:t>
      </w:r>
    </w:p>
    <w:p w14:paraId="3C780A1C" w14:textId="0D5391EC"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The commentary also noted the Ratified PICO Confirmation 1804 stated that acquired resistance to targeted</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treatments can occur prior to initiation of treatment (i.e. primary resistance) due to on target variants or during treatment due to off target variants that bypass the inhibited</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pathway. The commentary noted that in patients treated with</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inhibitors (selpercatinib or </w:t>
      </w:r>
      <w:proofErr w:type="spellStart"/>
      <w:r w:rsidRPr="00EC43BF">
        <w:rPr>
          <w:rFonts w:ascii="Franklin Gothic Book" w:hAnsi="Franklin Gothic Book"/>
          <w:sz w:val="22"/>
        </w:rPr>
        <w:t>pralsetinib</w:t>
      </w:r>
      <w:proofErr w:type="spellEnd"/>
      <w:r w:rsidRPr="00EC43BF">
        <w:rPr>
          <w:rFonts w:ascii="Franklin Gothic Book" w:hAnsi="Franklin Gothic Book"/>
          <w:sz w:val="22"/>
        </w:rPr>
        <w:t>) acquired resistance via the bypass mechanism was reported in 9/12 patients and the remainder were due to on target resistance (</w:t>
      </w:r>
      <w:proofErr w:type="spellStart"/>
      <w:r w:rsidRPr="00EC43BF">
        <w:rPr>
          <w:rFonts w:ascii="Franklin Gothic Book" w:hAnsi="Franklin Gothic Book"/>
          <w:sz w:val="22"/>
        </w:rPr>
        <w:t>Hadoux</w:t>
      </w:r>
      <w:proofErr w:type="spellEnd"/>
      <w:r w:rsidRPr="00EC43BF">
        <w:rPr>
          <w:rFonts w:ascii="Franklin Gothic Book" w:hAnsi="Franklin Gothic Book"/>
          <w:sz w:val="22"/>
        </w:rPr>
        <w:t xml:space="preserve"> 2023);</w:t>
      </w:r>
      <w:r w:rsidRPr="00EC43BF">
        <w:rPr>
          <w:rStyle w:val="FootnoteReference"/>
          <w:rFonts w:ascii="Franklin Gothic Book" w:hAnsi="Franklin Gothic Book"/>
          <w:sz w:val="22"/>
        </w:rPr>
        <w:footnoteReference w:id="23"/>
      </w:r>
      <w:r w:rsidRPr="00EC43BF">
        <w:rPr>
          <w:rFonts w:ascii="Franklin Gothic Book" w:hAnsi="Franklin Gothic Book"/>
          <w:sz w:val="22"/>
        </w:rPr>
        <w:t xml:space="preserve"> though the frequency of acquired resistance in practice was unclear. </w:t>
      </w:r>
    </w:p>
    <w:p w14:paraId="3C780A1D" w14:textId="0DA74BFE"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 xml:space="preserve">Clinical presentations of MTC commonly include thyroid nodule in the upper portion of the gland where C cells are primarily located and cervical lymphadenopathy (i.e. swelling of lymph nodes). Approximately half of MTC patients present with stage III/IV MTC, of whom 10-20% may present with distant metastases in the brain, bones, lungs and liver. Clinical presentations of MTC are broadly similar between sporadic and hereditary MTC noting that onset of disease in hereditary MTC is earlier and typically involves bilateral tumours (i.e. both sides of the thyroid are involved) or multiple tumours compared to sporadic MTC in which onset is typically later and present with unilateral tumours. </w:t>
      </w:r>
    </w:p>
    <w:p w14:paraId="3C780A1E" w14:textId="77777777"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 xml:space="preserve">MTC may be suspected following clinical examination, imaging and blood tests, while confirmation of MTC diagnosis occurs only after histopathological assessment of surgical or biopsy specimen (using fine needle aspirate [FNA]). Calcitonin and carcinoembryonic antigen (CEA) levels and doubling times are key features of MTC where shorter doubling times confer higher risk of recurrence and worse survival. High histological grade and advanced/metastatic stage of disease at diagnosis are also predictors of worse outcomes. </w:t>
      </w:r>
    </w:p>
    <w:p w14:paraId="3C780A1F" w14:textId="77777777"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The commentary noted disease behaviour of MTC can range from indolent to aggressive. Santillan 2025 considered MTC to be a relatively slow growing tumour with favourable long term outcomes, including in patients with known metastatic disease.</w:t>
      </w:r>
      <w:r w:rsidRPr="00EC43BF">
        <w:rPr>
          <w:rStyle w:val="FootnoteReference"/>
          <w:rFonts w:ascii="Franklin Gothic Book" w:hAnsi="Franklin Gothic Book"/>
          <w:sz w:val="22"/>
        </w:rPr>
        <w:footnoteReference w:id="24"/>
      </w:r>
      <w:r w:rsidRPr="00EC43BF">
        <w:rPr>
          <w:rFonts w:ascii="Franklin Gothic Book" w:hAnsi="Franklin Gothic Book"/>
          <w:sz w:val="22"/>
        </w:rPr>
        <w:t xml:space="preserve"> In comparison, for patients with radiographic evidence of disease progression, their tumour may be considered more aggressive with greater disease burden and worse survival outcomes where rapid calcitonin or CEA doubling </w:t>
      </w:r>
      <w:r w:rsidRPr="00EC43BF">
        <w:rPr>
          <w:rFonts w:ascii="Franklin Gothic Book" w:hAnsi="Franklin Gothic Book"/>
          <w:sz w:val="22"/>
        </w:rPr>
        <w:lastRenderedPageBreak/>
        <w:t xml:space="preserve">times and high grade pathological grade were considered features of aggressive tumour behaviour (Santillan 2025). </w:t>
      </w:r>
      <w:proofErr w:type="gramStart"/>
      <w:r w:rsidRPr="00EC43BF">
        <w:rPr>
          <w:rFonts w:ascii="Franklin Gothic Book" w:hAnsi="Franklin Gothic Book"/>
          <w:sz w:val="22"/>
        </w:rPr>
        <w:t>Ten year</w:t>
      </w:r>
      <w:proofErr w:type="gramEnd"/>
      <w:r w:rsidRPr="00EC43BF">
        <w:rPr>
          <w:rFonts w:ascii="Franklin Gothic Book" w:hAnsi="Franklin Gothic Book"/>
          <w:sz w:val="22"/>
        </w:rPr>
        <w:t xml:space="preserve"> survival ranged between 76-92% in patients with locally advanced MTC and 38-53% in patients with metastatic MTC. In an Australian study centre (Royal North Shore Hospital in Sydney, Australia, between 1986 and 2020), Kesby 2022 (N=154) reported a median overall survival (OS) of 18.8 to 19.3 years in locally advanced or metastatic MTC patients and 11.8 years in the subset of patients with metastatic MTC. Notably, these survival estimates were likely representative of patients with indolent or non-progressive disease. </w:t>
      </w:r>
    </w:p>
    <w:p w14:paraId="3C780A20" w14:textId="77777777" w:rsidR="002F03F5" w:rsidRPr="00EC43BF" w:rsidRDefault="008F23FF" w:rsidP="00EC43BF">
      <w:pPr>
        <w:pStyle w:val="MSACESParagraph"/>
        <w:jc w:val="left"/>
        <w:rPr>
          <w:rFonts w:ascii="Franklin Gothic Book" w:hAnsi="Franklin Gothic Book"/>
          <w:sz w:val="22"/>
          <w:u w:val="single"/>
        </w:rPr>
      </w:pPr>
      <w:r w:rsidRPr="00EC43BF">
        <w:rPr>
          <w:rFonts w:ascii="Franklin Gothic Book" w:hAnsi="Franklin Gothic Book"/>
          <w:sz w:val="22"/>
          <w:u w:val="single"/>
        </w:rPr>
        <w:t>Test population</w:t>
      </w:r>
    </w:p>
    <w:p w14:paraId="3C780A21" w14:textId="77777777"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The submission considered two potential test scenarios as per the Ratified PICO Confirmation (pp19-20):</w:t>
      </w:r>
    </w:p>
    <w:p w14:paraId="3C780A22" w14:textId="1FE6857E" w:rsidR="002F03F5" w:rsidRPr="00EC43BF" w:rsidRDefault="008F23FF" w:rsidP="00EC43BF">
      <w:pPr>
        <w:pStyle w:val="MainBodyBulletPoint"/>
        <w:rPr>
          <w:rFonts w:ascii="Franklin Gothic Book" w:hAnsi="Franklin Gothic Book"/>
        </w:rPr>
      </w:pPr>
      <w:r w:rsidRPr="00EC43BF">
        <w:rPr>
          <w:rFonts w:ascii="Franklin Gothic Book" w:hAnsi="Franklin Gothic Book"/>
        </w:rPr>
        <w:t xml:space="preserve">Option 1: tumour tissue testing at diagnosis of or progression to (i.e. progression or recurrence) locally advanced or metastatic MTC (i.e. stage III/IV MTC). </w:t>
      </w:r>
    </w:p>
    <w:p w14:paraId="3C780A23" w14:textId="77777777" w:rsidR="002F03F5" w:rsidRPr="00EC43BF" w:rsidRDefault="008F23FF" w:rsidP="00EC43BF">
      <w:pPr>
        <w:pStyle w:val="MainBodyBulletPoint"/>
        <w:rPr>
          <w:rFonts w:ascii="Franklin Gothic Book" w:hAnsi="Franklin Gothic Book"/>
        </w:rPr>
      </w:pPr>
      <w:r w:rsidRPr="00EC43BF">
        <w:rPr>
          <w:rFonts w:ascii="Franklin Gothic Book" w:hAnsi="Franklin Gothic Book"/>
        </w:rPr>
        <w:t>Option 2: tumour tissue testing at the point of diagnosis, irrespective of stage.</w:t>
      </w:r>
    </w:p>
    <w:p w14:paraId="3C780A24" w14:textId="699BE5CC" w:rsidR="002F03F5" w:rsidRPr="00EC43BF" w:rsidRDefault="008F23FF" w:rsidP="00EC43BF">
      <w:pPr>
        <w:pStyle w:val="MSACESParagraph"/>
        <w:jc w:val="left"/>
        <w:rPr>
          <w:rFonts w:ascii="Franklin Gothic Book" w:hAnsi="Franklin Gothic Book"/>
          <w:i/>
          <w:iCs/>
          <w:sz w:val="22"/>
        </w:rPr>
      </w:pPr>
      <w:r w:rsidRPr="00EC43BF">
        <w:rPr>
          <w:rFonts w:ascii="Franklin Gothic Book" w:hAnsi="Franklin Gothic Book"/>
          <w:sz w:val="22"/>
        </w:rPr>
        <w:t>The submission proposed testing at the point of MTC diagnosis (i.e. Option 2) as the base case and noted this would avoid the need for tissue block and previous germline molecular report retrieval, allowing clinicians and patients to determine selpercatinib eligibility before disease progression. The commentary noted this was consistent with PASC advice that it would not be unreasonable to test all patients with MTC, regardless of stage.</w:t>
      </w:r>
      <w:r w:rsidRPr="00EC43BF">
        <w:rPr>
          <w:rFonts w:ascii="Franklin Gothic Book" w:hAnsi="Franklin Gothic Book"/>
          <w:i/>
          <w:iCs/>
          <w:sz w:val="22"/>
        </w:rPr>
        <w:t xml:space="preserve"> </w:t>
      </w:r>
      <w:r w:rsidRPr="00EC43BF">
        <w:rPr>
          <w:rFonts w:ascii="Franklin Gothic Book" w:hAnsi="Franklin Gothic Book"/>
          <w:sz w:val="22"/>
        </w:rPr>
        <w:t>PASC also noted advice from the applicant’s clinical experts that confirmation of a histological diagnosis of MTC would only occur after surgical resection when tumour tissue could be obtained for histology and that</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testing (either somatic or germline) would occur after this (p12, Ratified PICO Confirmation 1804). If surgery is not indicated, the tumour tissue sample would be obtained via biopsy.</w:t>
      </w:r>
      <w:r w:rsidRPr="00EC43BF">
        <w:rPr>
          <w:rFonts w:ascii="Franklin Gothic Book" w:hAnsi="Franklin Gothic Book"/>
          <w:i/>
          <w:iCs/>
          <w:sz w:val="22"/>
        </w:rPr>
        <w:t xml:space="preserve"> </w:t>
      </w:r>
      <w:r w:rsidRPr="00EC43BF">
        <w:rPr>
          <w:rFonts w:ascii="Franklin Gothic Book" w:hAnsi="Franklin Gothic Book"/>
          <w:sz w:val="22"/>
        </w:rPr>
        <w:t xml:space="preserve">The commentary considered that previous germline molecular report retrieval would still be required irrespective of stage of testing </w:t>
      </w:r>
      <w:proofErr w:type="gramStart"/>
      <w:r w:rsidRPr="00EC43BF">
        <w:rPr>
          <w:rFonts w:ascii="Franklin Gothic Book" w:hAnsi="Franklin Gothic Book"/>
          <w:sz w:val="22"/>
        </w:rPr>
        <w:t>in order to</w:t>
      </w:r>
      <w:proofErr w:type="gramEnd"/>
      <w:r w:rsidRPr="00EC43BF">
        <w:rPr>
          <w:rFonts w:ascii="Franklin Gothic Book" w:hAnsi="Franklin Gothic Book"/>
          <w:sz w:val="22"/>
        </w:rPr>
        <w:t xml:space="preserve"> confirm variant status.</w:t>
      </w:r>
    </w:p>
    <w:p w14:paraId="3C780A25" w14:textId="7BE14E49"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Alternatively, the commentary considered that testing at locally advanced or metastatic stages (Option 1) would also require tissue block retrieval and/or biopsy if the surgical resection sample was no longer viable, or if the tumour was unresectable (noting the increased likelihood of tumours being unresectable following progression to advanced/metastatic stages). The testing scenario in the pivotal trial LIBRETTO-531 was more aligned with Option 1 where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variant testing was conducted at enrolment in patients with unresectable locally advanced or metastatic MTC and documented disease progression. </w:t>
      </w:r>
    </w:p>
    <w:p w14:paraId="3C780A26" w14:textId="4C19A2FD" w:rsidR="002F03F5" w:rsidRPr="00EC43BF" w:rsidRDefault="008F23FF" w:rsidP="00EC43BF">
      <w:pPr>
        <w:jc w:val="left"/>
      </w:pPr>
      <w:r w:rsidRPr="00EC43BF">
        <w:t>The commentary noted that PASC considered patients would undergo testing for germline</w:t>
      </w:r>
      <w:r w:rsidRPr="00EC43BF">
        <w:rPr>
          <w:i/>
        </w:rPr>
        <w:t xml:space="preserve"> </w:t>
      </w:r>
      <w:r w:rsidR="00B14353" w:rsidRPr="00B14353">
        <w:rPr>
          <w:i/>
          <w:iCs/>
        </w:rPr>
        <w:t>RET</w:t>
      </w:r>
      <w:r w:rsidRPr="00EC43BF">
        <w:rPr>
          <w:i/>
          <w:iCs/>
        </w:rPr>
        <w:t xml:space="preserve"> </w:t>
      </w:r>
      <w:r w:rsidRPr="00EC43BF">
        <w:t>variants for diagnostic purposes of determining familial risk of MEN2 or testing for somatic</w:t>
      </w:r>
      <w:r w:rsidRPr="00EC43BF">
        <w:rPr>
          <w:i/>
        </w:rPr>
        <w:t xml:space="preserve"> </w:t>
      </w:r>
      <w:r w:rsidR="00B14353" w:rsidRPr="00B14353">
        <w:rPr>
          <w:i/>
          <w:iCs/>
        </w:rPr>
        <w:t>RET</w:t>
      </w:r>
      <w:r w:rsidRPr="00EC43BF">
        <w:rPr>
          <w:i/>
        </w:rPr>
        <w:t xml:space="preserve"> </w:t>
      </w:r>
      <w:r w:rsidRPr="00EC43BF">
        <w:t xml:space="preserve">variants for predictive purposes of determining eligibility for selpercatinib treatment. PASC also stated that it may be appropriate to perform germline testing first for patients with a family history of MTC or MEN2, otherwise performing somatic testing first would be more appropriate (pp12-13, Ratified PICO Confirmation 1804). </w:t>
      </w:r>
    </w:p>
    <w:p w14:paraId="3C780A27" w14:textId="5D6F53B9" w:rsidR="002F03F5" w:rsidRPr="00EC43BF" w:rsidRDefault="008F23FF" w:rsidP="00EC43BF">
      <w:pPr>
        <w:jc w:val="left"/>
      </w:pPr>
      <w:r w:rsidRPr="00EC43BF">
        <w:t>PASC considered that while patients would be interested in testing for both purposes, the time from test to result of germline</w:t>
      </w:r>
      <w:r w:rsidRPr="00EC43BF">
        <w:rPr>
          <w:i/>
        </w:rPr>
        <w:t xml:space="preserve"> </w:t>
      </w:r>
      <w:r w:rsidR="00B14353" w:rsidRPr="00B14353">
        <w:rPr>
          <w:i/>
          <w:iCs/>
        </w:rPr>
        <w:t>RET</w:t>
      </w:r>
      <w:r w:rsidRPr="00EC43BF">
        <w:rPr>
          <w:i/>
        </w:rPr>
        <w:t xml:space="preserve"> </w:t>
      </w:r>
      <w:r w:rsidRPr="00EC43BF">
        <w:t>variant testing was expected to be 8 to 12 weeks due to the requirement for genetic counselling (where PASC noted there is a shortage of counsellors). In comparison, somatic testing of tumour tissue was likely to influence a patient’s treatment faster given genetic counselling is not required. The turnaround time of</w:t>
      </w:r>
      <w:r w:rsidRPr="00EC43BF">
        <w:rPr>
          <w:i/>
        </w:rPr>
        <w:t xml:space="preserve"> </w:t>
      </w:r>
      <w:r w:rsidR="00B14353" w:rsidRPr="00B14353">
        <w:rPr>
          <w:i/>
          <w:iCs/>
        </w:rPr>
        <w:t>RET</w:t>
      </w:r>
      <w:r w:rsidRPr="00EC43BF">
        <w:rPr>
          <w:i/>
        </w:rPr>
        <w:t xml:space="preserve"> </w:t>
      </w:r>
      <w:r w:rsidRPr="00EC43BF">
        <w:t>variant testing itself (somatic or germline) was expected to be a few weeks according to clinical experts noted in the submission. PASC also considered somatic testing would be beneficial at reducing the number of patients who would require genetic counsellors (as those with wildtype</w:t>
      </w:r>
      <w:r w:rsidRPr="00EC43BF">
        <w:rPr>
          <w:i/>
        </w:rPr>
        <w:t xml:space="preserve"> </w:t>
      </w:r>
      <w:r w:rsidR="00B14353" w:rsidRPr="00B14353">
        <w:rPr>
          <w:i/>
          <w:iCs/>
        </w:rPr>
        <w:t>RET</w:t>
      </w:r>
      <w:r w:rsidRPr="00EC43BF">
        <w:rPr>
          <w:i/>
        </w:rPr>
        <w:t xml:space="preserve"> </w:t>
      </w:r>
      <w:r w:rsidRPr="00EC43BF">
        <w:t xml:space="preserve">genes in tumour tissue would not require genetic counselling or germline testing); this may therefore help triage the use of genetic counsellors to those most likely to need this service. </w:t>
      </w:r>
    </w:p>
    <w:p w14:paraId="3C780A28" w14:textId="207468AE"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lastRenderedPageBreak/>
        <w:t>If a clinically significant</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iCs/>
          <w:sz w:val="22"/>
        </w:rPr>
        <w:t xml:space="preserve"> </w:t>
      </w:r>
      <w:r w:rsidRPr="00EC43BF">
        <w:rPr>
          <w:rFonts w:ascii="Franklin Gothic Book" w:hAnsi="Franklin Gothic Book"/>
          <w:sz w:val="22"/>
        </w:rPr>
        <w:t>variant was identified in tumour tissue, based on the tumour tissue test result alone, it would be unknown whether the variant was somatic or germline in origin. This could only be confirmed through 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testing, with a positive 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test indicative of a germline variant (which then has implications for cascade testing of family members) and a negative germline test indicative of a somatic</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Patients with either a somatic or 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variant would be eligible for selpercatinib. Therefore, if a patient presents with a newly diagnosed MTC and has previously received germline testing, for the purposes of accessing selpercatinib, they </w:t>
      </w:r>
      <w:proofErr w:type="gramStart"/>
      <w:r w:rsidRPr="00EC43BF">
        <w:rPr>
          <w:rFonts w:ascii="Franklin Gothic Book" w:hAnsi="Franklin Gothic Book"/>
          <w:sz w:val="22"/>
        </w:rPr>
        <w:t>would</w:t>
      </w:r>
      <w:proofErr w:type="gramEnd"/>
      <w:r w:rsidRPr="00EC43BF">
        <w:rPr>
          <w:rFonts w:ascii="Franklin Gothic Book" w:hAnsi="Franklin Gothic Book"/>
          <w:sz w:val="22"/>
        </w:rPr>
        <w:t xml:space="preserve"> only require testing of tumour tissue if their previous test was unavailable or there was uncertainty about eligibility due to a wildtype, benign or negative </w:t>
      </w:r>
      <w:r w:rsidR="00800826">
        <w:rPr>
          <w:rFonts w:ascii="Franklin Gothic Book" w:hAnsi="Franklin Gothic Book"/>
          <w:sz w:val="22"/>
        </w:rPr>
        <w:t>finding</w:t>
      </w:r>
      <w:r w:rsidRPr="00EC43BF">
        <w:rPr>
          <w:rFonts w:ascii="Franklin Gothic Book" w:hAnsi="Franklin Gothic Book"/>
          <w:sz w:val="22"/>
        </w:rPr>
        <w:t>. Alternatively, if a clinically diagnosed MEN2 patient with a newly diagnosed MTC has not previously received</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testing, then they will require tumour tissue testing. They may also require 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 testing if the tumour test is positive for the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 xml:space="preserve">variant. </w:t>
      </w:r>
    </w:p>
    <w:p w14:paraId="3C780A29" w14:textId="77777777" w:rsidR="002F03F5" w:rsidRPr="00EC43BF" w:rsidRDefault="008F23FF" w:rsidP="00EC43BF">
      <w:pPr>
        <w:pStyle w:val="MSACESParagraph"/>
        <w:jc w:val="left"/>
        <w:rPr>
          <w:rFonts w:ascii="Franklin Gothic Book" w:hAnsi="Franklin Gothic Book"/>
          <w:sz w:val="22"/>
        </w:rPr>
      </w:pPr>
      <w:r w:rsidRPr="00EC43BF">
        <w:rPr>
          <w:rFonts w:ascii="Franklin Gothic Book" w:hAnsi="Franklin Gothic Book"/>
          <w:sz w:val="22"/>
        </w:rPr>
        <w:t>As noted by the commentary in Section 1 of the MSAC Executive Summary, the proposed test population in the submission was not clear, though the test population as per the Ratified PICO Confirmation 1804 may be appropriate:</w:t>
      </w:r>
    </w:p>
    <w:p w14:paraId="3C780A2A" w14:textId="1DDA955F" w:rsidR="002F03F5" w:rsidRPr="00EC43BF" w:rsidRDefault="008F23FF" w:rsidP="00687588">
      <w:pPr>
        <w:pStyle w:val="MSACESParagraph"/>
        <w:jc w:val="left"/>
        <w:rPr>
          <w:rFonts w:ascii="Franklin Gothic Book" w:hAnsi="Franklin Gothic Book"/>
          <w:sz w:val="22"/>
        </w:rPr>
      </w:pPr>
      <w:r w:rsidRPr="00EC43BF">
        <w:rPr>
          <w:rFonts w:ascii="Franklin Gothic Book" w:hAnsi="Franklin Gothic Book"/>
          <w:sz w:val="22"/>
        </w:rPr>
        <w:t>Patients with a confirmed histological diagnosis of MTC, who have not already undergone testing of tumour tissue for clinically significant</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sz w:val="22"/>
        </w:rPr>
        <w:t xml:space="preserve"> </w:t>
      </w:r>
      <w:r w:rsidRPr="00EC43BF">
        <w:rPr>
          <w:rFonts w:ascii="Franklin Gothic Book" w:hAnsi="Franklin Gothic Book"/>
          <w:sz w:val="22"/>
        </w:rPr>
        <w:t>variants and do not have a known germline</w:t>
      </w:r>
      <w:r w:rsidRPr="00EC43BF">
        <w:rPr>
          <w:rFonts w:ascii="Franklin Gothic Book" w:hAnsi="Franklin Gothic Book"/>
          <w:i/>
          <w:sz w:val="22"/>
        </w:rPr>
        <w:t xml:space="preserve"> </w:t>
      </w:r>
      <w:r w:rsidR="00B14353" w:rsidRPr="00B14353">
        <w:rPr>
          <w:rFonts w:ascii="Franklin Gothic Book" w:hAnsi="Franklin Gothic Book"/>
          <w:i/>
          <w:iCs/>
          <w:sz w:val="22"/>
        </w:rPr>
        <w:t>RET</w:t>
      </w:r>
      <w:r w:rsidRPr="00EC43BF">
        <w:rPr>
          <w:rFonts w:ascii="Franklin Gothic Book" w:hAnsi="Franklin Gothic Book"/>
          <w:i/>
          <w:iCs/>
          <w:sz w:val="22"/>
        </w:rPr>
        <w:t xml:space="preserve"> </w:t>
      </w:r>
      <w:r w:rsidRPr="00EC43BF">
        <w:rPr>
          <w:rFonts w:ascii="Franklin Gothic Book" w:hAnsi="Franklin Gothic Book"/>
          <w:sz w:val="22"/>
        </w:rPr>
        <w:t>variant (p4, Option 2 in Ratified PICO Confirmation 1804).</w:t>
      </w:r>
    </w:p>
    <w:p w14:paraId="3C780A2B" w14:textId="77777777" w:rsidR="002F03F5" w:rsidRPr="00EC43BF" w:rsidRDefault="008F23FF" w:rsidP="00601076">
      <w:pPr>
        <w:pStyle w:val="MSACHeading1"/>
        <w:numPr>
          <w:ilvl w:val="0"/>
          <w:numId w:val="15"/>
        </w:numPr>
        <w:ind w:hanging="720"/>
        <w:rPr>
          <w:rFonts w:ascii="Franklin Gothic Medium" w:hAnsi="Franklin Gothic Medium"/>
          <w:b w:val="0"/>
          <w:bCs w:val="0"/>
          <w:sz w:val="32"/>
          <w:szCs w:val="32"/>
        </w:rPr>
      </w:pPr>
      <w:bookmarkStart w:id="15" w:name="_Toc219898307"/>
      <w:r w:rsidRPr="00EC43BF">
        <w:rPr>
          <w:rFonts w:ascii="Franklin Gothic Medium" w:hAnsi="Franklin Gothic Medium"/>
          <w:b w:val="0"/>
          <w:bCs w:val="0"/>
          <w:sz w:val="32"/>
          <w:szCs w:val="32"/>
        </w:rPr>
        <w:t>Comparator</w:t>
      </w:r>
      <w:bookmarkEnd w:id="15"/>
    </w:p>
    <w:p w14:paraId="3C780A2C" w14:textId="77777777" w:rsidR="002F03F5" w:rsidRPr="002A0545" w:rsidRDefault="008F23FF" w:rsidP="002A0545">
      <w:pPr>
        <w:pStyle w:val="MSACESParagraph"/>
        <w:jc w:val="left"/>
        <w:rPr>
          <w:rFonts w:ascii="Franklin Gothic Book" w:hAnsi="Franklin Gothic Book"/>
          <w:sz w:val="22"/>
          <w:u w:val="single"/>
        </w:rPr>
      </w:pPr>
      <w:r w:rsidRPr="002A0545">
        <w:rPr>
          <w:rFonts w:ascii="Franklin Gothic Book" w:hAnsi="Franklin Gothic Book"/>
          <w:sz w:val="22"/>
          <w:u w:val="single"/>
        </w:rPr>
        <w:t>Test comparator</w:t>
      </w:r>
    </w:p>
    <w:p w14:paraId="3C780A2D" w14:textId="3C145E83"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comparator test used in the submission was no testing for somatic</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variants; the commentary considered this may be reasonable. </w:t>
      </w:r>
    </w:p>
    <w:p w14:paraId="3C780A2E" w14:textId="1F75EBCD"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commentary noted the nominated comparator differed to the comparator test proposed in the Ratified PICO Confirmation 1804 which was ‘germline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(as suspected in patients with MTC) with no</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variant testing of tumour tissue’.  </w:t>
      </w:r>
    </w:p>
    <w:p w14:paraId="3C780A2F" w14:textId="0B314BFC"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commentary noted that germline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may not be commonly conducted in practice due to limited access to genetic counsellors. Further, as noted by PASC, data from the Victorian Cancer Registry suggested only 66% of patients with MTC have been receiving germline testing, and based on the services processed for MBS item 73339, a total of 156 services were claimed between July 2020 and June 2025 in private clinical practice.</w:t>
      </w:r>
      <w:r w:rsidRPr="002A0545">
        <w:rPr>
          <w:rStyle w:val="FootnoteCharacters"/>
          <w:rFonts w:ascii="Franklin Gothic Book" w:hAnsi="Franklin Gothic Book"/>
          <w:sz w:val="22"/>
        </w:rPr>
        <w:t xml:space="preserve"> </w:t>
      </w:r>
      <w:r w:rsidRPr="002A0545">
        <w:rPr>
          <w:rStyle w:val="FootnoteReference"/>
          <w:rFonts w:ascii="Franklin Gothic Book" w:hAnsi="Franklin Gothic Book"/>
          <w:sz w:val="22"/>
        </w:rPr>
        <w:footnoteReference w:id="25"/>
      </w:r>
      <w:r w:rsidRPr="002A0545">
        <w:rPr>
          <w:rFonts w:ascii="Franklin Gothic Book" w:hAnsi="Franklin Gothic Book"/>
          <w:sz w:val="22"/>
        </w:rPr>
        <w:t xml:space="preserve"> While germline testing may be funded by states and territories (i.e. in public hospitals), the nature and magnitude of this testing was unknown. Additionally, the commentary considered that somatic</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testing would not replace all germline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testing. Those undergoing somatic</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 xml:space="preserve">testing </w:t>
      </w:r>
      <w:r w:rsidR="00C12E07">
        <w:rPr>
          <w:rFonts w:ascii="Franklin Gothic Book" w:hAnsi="Franklin Gothic Book"/>
          <w:sz w:val="22"/>
        </w:rPr>
        <w:t>with</w:t>
      </w:r>
      <w:r w:rsidRPr="002A0545">
        <w:rPr>
          <w:rFonts w:ascii="Franklin Gothic Book" w:hAnsi="Franklin Gothic Book"/>
          <w:sz w:val="22"/>
        </w:rPr>
        <w:t xml:space="preserve"> the test detecting a</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may still (and likely should) undergo germline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testing for the diagnosis of MEN2.</w:t>
      </w:r>
    </w:p>
    <w:p w14:paraId="3C780A30" w14:textId="77777777" w:rsidR="002F03F5" w:rsidRPr="002A0545" w:rsidRDefault="008F23FF" w:rsidP="00594280">
      <w:pPr>
        <w:pStyle w:val="MSACESParagraph"/>
        <w:keepNext/>
        <w:keepLines/>
        <w:jc w:val="left"/>
        <w:rPr>
          <w:rFonts w:ascii="Franklin Gothic Book" w:hAnsi="Franklin Gothic Book"/>
          <w:sz w:val="22"/>
          <w:u w:val="single"/>
        </w:rPr>
      </w:pPr>
      <w:r w:rsidRPr="002A0545">
        <w:rPr>
          <w:rFonts w:ascii="Franklin Gothic Book" w:hAnsi="Franklin Gothic Book"/>
          <w:sz w:val="22"/>
          <w:u w:val="single"/>
        </w:rPr>
        <w:lastRenderedPageBreak/>
        <w:t>Treatment comparator</w:t>
      </w:r>
    </w:p>
    <w:p w14:paraId="3C780A31" w14:textId="07E2A0CC" w:rsidR="002F03F5" w:rsidRPr="002A0545" w:rsidRDefault="008F23FF" w:rsidP="00594280">
      <w:pPr>
        <w:pStyle w:val="MSACESParagraph"/>
        <w:keepNext/>
        <w:keepLines/>
        <w:jc w:val="left"/>
        <w:rPr>
          <w:rFonts w:ascii="Franklin Gothic Book" w:hAnsi="Franklin Gothic Book"/>
          <w:sz w:val="22"/>
        </w:rPr>
      </w:pPr>
      <w:r w:rsidRPr="002A0545">
        <w:rPr>
          <w:rFonts w:ascii="Franklin Gothic Book" w:hAnsi="Franklin Gothic Book"/>
          <w:sz w:val="22"/>
        </w:rPr>
        <w:t xml:space="preserve">Best supportive care (BSC) was nominated as the main treatment comparator for selpercatinib, which the submission stated includes symptom control (e.g. diarrhoea) or palliative care (e.g. pain management). Cabozantinib and vandetanib were nominated as secondary comparators. </w:t>
      </w:r>
    </w:p>
    <w:p w14:paraId="3C780A32" w14:textId="77777777"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commentary considered these nominations were reasonable noting that access to </w:t>
      </w:r>
      <w:proofErr w:type="spellStart"/>
      <w:r w:rsidRPr="002A0545">
        <w:rPr>
          <w:rFonts w:ascii="Franklin Gothic Book" w:hAnsi="Franklin Gothic Book"/>
          <w:sz w:val="22"/>
        </w:rPr>
        <w:t>multikinase</w:t>
      </w:r>
      <w:proofErr w:type="spellEnd"/>
      <w:r w:rsidRPr="002A0545">
        <w:rPr>
          <w:rFonts w:ascii="Franklin Gothic Book" w:hAnsi="Franklin Gothic Book"/>
          <w:sz w:val="22"/>
        </w:rPr>
        <w:t xml:space="preserve"> inhibitor (MKI) therapies in Australia for the treatment of MTC was limited, as cabozantinib is not TGA approved and vandetanib, while TGA approved for MTC, is not PBS-listed for MTC. As such, most patients would receive BSC. According to the Australian sample from Papachristos 2023, treatment with kinase inhibitors was only reported in 30/235 (12.8%) MTC patients, of which 20/235 (8.5%) had cabozantinib or vandetanib. </w:t>
      </w:r>
    </w:p>
    <w:p w14:paraId="3C780A33" w14:textId="520E6601"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commentary noted that while the submission considered cabozantinib and vandetanib as the current standard of care (SOC), the NCCN and ESMO guidelines noted preference for selective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inhibitors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variant MTC (e.g. selpercatinib or </w:t>
      </w:r>
      <w:proofErr w:type="spellStart"/>
      <w:r w:rsidRPr="002A0545">
        <w:rPr>
          <w:rFonts w:ascii="Franklin Gothic Book" w:hAnsi="Franklin Gothic Book"/>
          <w:sz w:val="22"/>
        </w:rPr>
        <w:t>pralsetinib</w:t>
      </w:r>
      <w:proofErr w:type="spellEnd"/>
      <w:r w:rsidRPr="002A0545">
        <w:rPr>
          <w:rFonts w:ascii="Franklin Gothic Book" w:hAnsi="Franklin Gothic Book"/>
          <w:sz w:val="22"/>
        </w:rPr>
        <w:t>). However, cabozantinib and vandetanib may be the preferred option in MTC irrespective of</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status in jurisdictions where selective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inhibitors are not available.</w:t>
      </w:r>
    </w:p>
    <w:p w14:paraId="3C780A34" w14:textId="3254E691" w:rsidR="002F03F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commentary also noted that the proposed population eligible for treatment with selpercatinib did not specify that a patient required prior surgery or has unresectable disease, which was not consistent with the LIBRETTO-531 trial or clinical guideline recommendations. For the submission’s proposed population eligible for treatment, surgery may be considered the appropriate comparator; however, if the proposed treatment population was aligned with the LIBRETTO-531 trial, then BSC would be the appropriate comparator. </w:t>
      </w:r>
    </w:p>
    <w:p w14:paraId="4D709E59" w14:textId="08FBE0D1" w:rsidR="002A0545" w:rsidRPr="002A0545" w:rsidRDefault="002A0545" w:rsidP="005D0846">
      <w:pPr>
        <w:pStyle w:val="MSACHeading1"/>
        <w:numPr>
          <w:ilvl w:val="0"/>
          <w:numId w:val="15"/>
        </w:numPr>
        <w:ind w:hanging="720"/>
        <w:rPr>
          <w:rFonts w:ascii="Franklin Gothic Medium" w:hAnsi="Franklin Gothic Medium"/>
          <w:b w:val="0"/>
          <w:bCs w:val="0"/>
          <w:sz w:val="32"/>
          <w:szCs w:val="32"/>
        </w:rPr>
      </w:pPr>
      <w:r w:rsidRPr="002A0545">
        <w:rPr>
          <w:rFonts w:ascii="Franklin Gothic Medium" w:hAnsi="Franklin Gothic Medium"/>
          <w:b w:val="0"/>
          <w:bCs w:val="0"/>
          <w:sz w:val="32"/>
          <w:szCs w:val="32"/>
        </w:rPr>
        <w:t xml:space="preserve">Summary of public consultation input </w:t>
      </w:r>
    </w:p>
    <w:p w14:paraId="7477A860" w14:textId="77777777" w:rsidR="002A0545" w:rsidRPr="002A0545" w:rsidRDefault="002A0545" w:rsidP="005D0846">
      <w:pPr>
        <w:keepNext/>
        <w:keepLines/>
      </w:pPr>
      <w:r w:rsidRPr="002A0545">
        <w:t xml:space="preserve">Consultation input was welcomed from: </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80"/>
        <w:gridCol w:w="1230"/>
      </w:tblGrid>
      <w:tr w:rsidR="002A0545" w:rsidRPr="002A0545" w14:paraId="49C9225F" w14:textId="77777777" w:rsidTr="002A0545">
        <w:trPr>
          <w:trHeight w:val="694"/>
        </w:trPr>
        <w:tc>
          <w:tcPr>
            <w:tcW w:w="7780" w:type="dxa"/>
            <w:tcBorders>
              <w:top w:val="single" w:sz="6" w:space="0" w:color="000000"/>
              <w:left w:val="single" w:sz="6" w:space="0" w:color="000000"/>
              <w:bottom w:val="single" w:sz="6" w:space="0" w:color="auto"/>
              <w:right w:val="single" w:sz="6" w:space="0" w:color="auto"/>
            </w:tcBorders>
            <w:shd w:val="clear" w:color="auto" w:fill="D1D1D1"/>
            <w:vAlign w:val="center"/>
            <w:hideMark/>
          </w:tcPr>
          <w:p w14:paraId="488AAFCA" w14:textId="108BBAF2" w:rsidR="002A0545" w:rsidRPr="002A0545" w:rsidRDefault="002A0545" w:rsidP="005D0846">
            <w:pPr>
              <w:pStyle w:val="MSACESParagraph"/>
              <w:keepNext/>
              <w:keepLines/>
              <w:spacing w:before="40" w:after="40"/>
              <w:rPr>
                <w:rFonts w:ascii="Franklin Gothic Book" w:hAnsi="Franklin Gothic Book"/>
                <w:sz w:val="22"/>
              </w:rPr>
            </w:pPr>
            <w:r w:rsidRPr="002A0545">
              <w:rPr>
                <w:rFonts w:ascii="Franklin Gothic Book" w:hAnsi="Franklin Gothic Book"/>
                <w:b/>
                <w:bCs/>
                <w:sz w:val="22"/>
              </w:rPr>
              <w:t xml:space="preserve">1804 – Genetic testing to detect </w:t>
            </w:r>
            <w:r w:rsidR="00B14353" w:rsidRPr="00B14353">
              <w:rPr>
                <w:rFonts w:ascii="Franklin Gothic Book" w:hAnsi="Franklin Gothic Book"/>
                <w:b/>
                <w:bCs/>
                <w:i/>
                <w:iCs/>
                <w:sz w:val="22"/>
              </w:rPr>
              <w:t>RET</w:t>
            </w:r>
            <w:r w:rsidRPr="002A0545">
              <w:rPr>
                <w:rFonts w:ascii="Franklin Gothic Book" w:hAnsi="Franklin Gothic Book"/>
                <w:b/>
                <w:bCs/>
                <w:sz w:val="22"/>
              </w:rPr>
              <w:t xml:space="preserve"> variants in patients with medullary thyroid cancer to determine eligibility for PBS subsidised selpercatinib treatment </w:t>
            </w:r>
            <w:r w:rsidRPr="002A0545">
              <w:rPr>
                <w:rFonts w:ascii="Franklin Gothic Book" w:hAnsi="Franklin Gothic Book"/>
                <w:sz w:val="22"/>
              </w:rPr>
              <w:t> </w:t>
            </w:r>
          </w:p>
        </w:tc>
        <w:tc>
          <w:tcPr>
            <w:tcW w:w="1230" w:type="dxa"/>
            <w:tcBorders>
              <w:top w:val="single" w:sz="6" w:space="0" w:color="000000"/>
              <w:left w:val="nil"/>
              <w:bottom w:val="single" w:sz="6" w:space="0" w:color="auto"/>
              <w:right w:val="single" w:sz="6" w:space="0" w:color="000000"/>
            </w:tcBorders>
            <w:shd w:val="clear" w:color="auto" w:fill="D1D1D1"/>
            <w:vAlign w:val="center"/>
            <w:hideMark/>
          </w:tcPr>
          <w:p w14:paraId="0B86B48C" w14:textId="77777777" w:rsidR="002A0545" w:rsidRPr="002A0545" w:rsidRDefault="002A0545" w:rsidP="005D0846">
            <w:pPr>
              <w:pStyle w:val="MSACESParagraph"/>
              <w:keepNext/>
              <w:keepLines/>
              <w:spacing w:before="40" w:after="40"/>
              <w:jc w:val="left"/>
              <w:rPr>
                <w:rFonts w:ascii="Franklin Gothic Book" w:hAnsi="Franklin Gothic Book"/>
                <w:sz w:val="22"/>
              </w:rPr>
            </w:pPr>
            <w:r w:rsidRPr="002A0545">
              <w:rPr>
                <w:rFonts w:ascii="Franklin Gothic Book" w:hAnsi="Franklin Gothic Book"/>
                <w:b/>
                <w:bCs/>
                <w:sz w:val="22"/>
              </w:rPr>
              <w:t>No. of Inputs Received</w:t>
            </w:r>
            <w:r w:rsidRPr="002A0545">
              <w:rPr>
                <w:rFonts w:ascii="Arial" w:hAnsi="Arial" w:cs="Arial"/>
                <w:sz w:val="22"/>
              </w:rPr>
              <w:t> </w:t>
            </w:r>
            <w:r w:rsidRPr="002A0545">
              <w:rPr>
                <w:rFonts w:ascii="Franklin Gothic Book" w:hAnsi="Franklin Gothic Book"/>
                <w:sz w:val="22"/>
              </w:rPr>
              <w:t> </w:t>
            </w:r>
          </w:p>
        </w:tc>
      </w:tr>
      <w:tr w:rsidR="002A0545" w:rsidRPr="002A0545" w14:paraId="4243F500" w14:textId="77777777" w:rsidTr="002A0545">
        <w:trPr>
          <w:trHeight w:val="279"/>
        </w:trPr>
        <w:tc>
          <w:tcPr>
            <w:tcW w:w="9010" w:type="dxa"/>
            <w:gridSpan w:val="2"/>
            <w:tcBorders>
              <w:top w:val="single" w:sz="6" w:space="0" w:color="auto"/>
              <w:left w:val="single" w:sz="6" w:space="0" w:color="000000"/>
              <w:bottom w:val="single" w:sz="6" w:space="0" w:color="auto"/>
              <w:right w:val="single" w:sz="6" w:space="0" w:color="000000"/>
            </w:tcBorders>
            <w:shd w:val="clear" w:color="auto" w:fill="E8E8E8"/>
            <w:vAlign w:val="center"/>
            <w:hideMark/>
          </w:tcPr>
          <w:p w14:paraId="4438633D" w14:textId="14512791" w:rsidR="002A0545" w:rsidRPr="002A0545" w:rsidRDefault="002A0545" w:rsidP="005D0846">
            <w:pPr>
              <w:pStyle w:val="MSACESParagraph"/>
              <w:keepNext/>
              <w:keepLines/>
              <w:spacing w:before="40" w:after="40"/>
              <w:rPr>
                <w:rFonts w:ascii="Franklin Gothic Book" w:hAnsi="Franklin Gothic Book"/>
                <w:sz w:val="22"/>
              </w:rPr>
            </w:pPr>
            <w:r w:rsidRPr="002A0545">
              <w:rPr>
                <w:rFonts w:ascii="Franklin Gothic Book" w:hAnsi="Franklin Gothic Book"/>
                <w:b/>
                <w:bCs/>
                <w:sz w:val="22"/>
              </w:rPr>
              <w:t>Organisations (</w:t>
            </w:r>
            <w:r w:rsidR="00F82448">
              <w:rPr>
                <w:rFonts w:ascii="Franklin Gothic Book" w:hAnsi="Franklin Gothic Book"/>
                <w:b/>
                <w:bCs/>
                <w:sz w:val="22"/>
              </w:rPr>
              <w:t>9</w:t>
            </w:r>
            <w:r w:rsidRPr="002A0545">
              <w:rPr>
                <w:rFonts w:ascii="Franklin Gothic Book" w:hAnsi="Franklin Gothic Book"/>
                <w:b/>
                <w:bCs/>
                <w:sz w:val="22"/>
              </w:rPr>
              <w:t>)</w:t>
            </w:r>
            <w:r w:rsidRPr="002A0545">
              <w:rPr>
                <w:rFonts w:ascii="Arial" w:hAnsi="Arial" w:cs="Arial"/>
                <w:sz w:val="22"/>
              </w:rPr>
              <w:t> </w:t>
            </w:r>
            <w:r w:rsidRPr="002A0545">
              <w:rPr>
                <w:rFonts w:ascii="Franklin Gothic Book" w:hAnsi="Franklin Gothic Book"/>
                <w:sz w:val="22"/>
              </w:rPr>
              <w:t> </w:t>
            </w:r>
          </w:p>
        </w:tc>
      </w:tr>
      <w:tr w:rsidR="002A0545" w:rsidRPr="002A0545" w14:paraId="27E9049A" w14:textId="77777777" w:rsidTr="00C80C23">
        <w:trPr>
          <w:trHeight w:val="750"/>
        </w:trPr>
        <w:tc>
          <w:tcPr>
            <w:tcW w:w="7780" w:type="dxa"/>
            <w:tcBorders>
              <w:top w:val="nil"/>
              <w:left w:val="single" w:sz="6" w:space="0" w:color="000000"/>
              <w:bottom w:val="single" w:sz="6" w:space="0" w:color="auto"/>
              <w:right w:val="single" w:sz="6" w:space="0" w:color="auto"/>
            </w:tcBorders>
            <w:vAlign w:val="center"/>
            <w:hideMark/>
          </w:tcPr>
          <w:p w14:paraId="441AD2AC" w14:textId="77777777" w:rsidR="002A0545" w:rsidRPr="002A0545" w:rsidRDefault="002A0545" w:rsidP="005D0846">
            <w:pPr>
              <w:pStyle w:val="MSACESParagraph"/>
              <w:keepNext/>
              <w:keepLines/>
              <w:spacing w:before="40" w:after="40"/>
              <w:rPr>
                <w:rFonts w:ascii="Franklin Gothic Book" w:hAnsi="Franklin Gothic Book"/>
                <w:sz w:val="22"/>
              </w:rPr>
            </w:pPr>
            <w:r w:rsidRPr="002A0545">
              <w:rPr>
                <w:rFonts w:ascii="Franklin Gothic Book" w:hAnsi="Franklin Gothic Book"/>
                <w:sz w:val="22"/>
              </w:rPr>
              <w:t>I am providing input on behalf of a consumer group or organisation. Consumer organisations are not-for-profit organisations representing the interests of healthcare consumers, their families and carers.</w:t>
            </w:r>
            <w:r w:rsidRPr="002A0545">
              <w:rPr>
                <w:rFonts w:ascii="Arial" w:hAnsi="Arial" w:cs="Arial"/>
                <w:sz w:val="22"/>
              </w:rPr>
              <w:t> </w:t>
            </w:r>
            <w:r w:rsidRPr="002A0545">
              <w:rPr>
                <w:rFonts w:ascii="Franklin Gothic Book" w:hAnsi="Franklin Gothic Book"/>
                <w:sz w:val="22"/>
              </w:rPr>
              <w:t> </w:t>
            </w:r>
          </w:p>
        </w:tc>
        <w:tc>
          <w:tcPr>
            <w:tcW w:w="1230" w:type="dxa"/>
            <w:tcBorders>
              <w:top w:val="nil"/>
              <w:left w:val="nil"/>
              <w:bottom w:val="single" w:sz="6" w:space="0" w:color="auto"/>
              <w:right w:val="single" w:sz="6" w:space="0" w:color="000000"/>
            </w:tcBorders>
            <w:vAlign w:val="center"/>
            <w:hideMark/>
          </w:tcPr>
          <w:p w14:paraId="5410E9DF" w14:textId="53AD2288" w:rsidR="002A0545" w:rsidRPr="002A0545" w:rsidRDefault="002A0545" w:rsidP="00C80C23">
            <w:pPr>
              <w:pStyle w:val="MSACESParagraph"/>
              <w:keepNext/>
              <w:keepLines/>
              <w:spacing w:before="40" w:after="40"/>
              <w:jc w:val="center"/>
              <w:rPr>
                <w:rFonts w:ascii="Franklin Gothic Book" w:hAnsi="Franklin Gothic Book"/>
                <w:sz w:val="22"/>
              </w:rPr>
            </w:pPr>
            <w:r w:rsidRPr="002A0545">
              <w:rPr>
                <w:rFonts w:ascii="Franklin Gothic Book" w:hAnsi="Franklin Gothic Book"/>
                <w:sz w:val="22"/>
              </w:rPr>
              <w:t>4</w:t>
            </w:r>
          </w:p>
        </w:tc>
      </w:tr>
      <w:tr w:rsidR="002A0545" w:rsidRPr="002A0545" w14:paraId="2485F53F" w14:textId="77777777" w:rsidTr="00C80C23">
        <w:trPr>
          <w:trHeight w:val="750"/>
        </w:trPr>
        <w:tc>
          <w:tcPr>
            <w:tcW w:w="7780" w:type="dxa"/>
            <w:tcBorders>
              <w:top w:val="nil"/>
              <w:left w:val="single" w:sz="6" w:space="0" w:color="000000"/>
              <w:bottom w:val="single" w:sz="6" w:space="0" w:color="auto"/>
              <w:right w:val="single" w:sz="6" w:space="0" w:color="auto"/>
            </w:tcBorders>
            <w:vAlign w:val="center"/>
            <w:hideMark/>
          </w:tcPr>
          <w:p w14:paraId="316253B3" w14:textId="77777777" w:rsidR="002A0545" w:rsidRPr="002A0545" w:rsidRDefault="002A0545" w:rsidP="005D0846">
            <w:pPr>
              <w:pStyle w:val="MSACESParagraph"/>
              <w:keepNext/>
              <w:keepLines/>
              <w:spacing w:before="40" w:after="40"/>
              <w:rPr>
                <w:rFonts w:ascii="Franklin Gothic Book" w:hAnsi="Franklin Gothic Book"/>
                <w:sz w:val="22"/>
              </w:rPr>
            </w:pPr>
            <w:r w:rsidRPr="002A0545">
              <w:rPr>
                <w:rFonts w:ascii="Franklin Gothic Book" w:hAnsi="Franklin Gothic Book"/>
                <w:sz w:val="22"/>
              </w:rPr>
              <w:t>I am providing input on behalf of a medical, health, or other (non-consumer) organisation. For example, input on behalf of a group of clinicians, research organisation, professional college, or from an organisation that produces a similar service or technology.</w:t>
            </w:r>
            <w:r w:rsidRPr="002A0545">
              <w:rPr>
                <w:rFonts w:ascii="Arial" w:hAnsi="Arial" w:cs="Arial"/>
                <w:sz w:val="22"/>
              </w:rPr>
              <w:t> </w:t>
            </w:r>
            <w:r w:rsidRPr="002A0545">
              <w:rPr>
                <w:rFonts w:ascii="Franklin Gothic Book" w:hAnsi="Franklin Gothic Book"/>
                <w:sz w:val="22"/>
              </w:rPr>
              <w:t> </w:t>
            </w:r>
          </w:p>
        </w:tc>
        <w:tc>
          <w:tcPr>
            <w:tcW w:w="1230" w:type="dxa"/>
            <w:tcBorders>
              <w:top w:val="nil"/>
              <w:left w:val="nil"/>
              <w:bottom w:val="single" w:sz="6" w:space="0" w:color="auto"/>
              <w:right w:val="single" w:sz="6" w:space="0" w:color="000000"/>
            </w:tcBorders>
            <w:vAlign w:val="center"/>
            <w:hideMark/>
          </w:tcPr>
          <w:p w14:paraId="2431C602" w14:textId="34128F1A" w:rsidR="002A0545" w:rsidRPr="002A0545" w:rsidRDefault="002A0545" w:rsidP="00C80C23">
            <w:pPr>
              <w:pStyle w:val="MSACESParagraph"/>
              <w:keepNext/>
              <w:keepLines/>
              <w:spacing w:before="40" w:after="40"/>
              <w:jc w:val="center"/>
              <w:rPr>
                <w:rFonts w:ascii="Franklin Gothic Book" w:hAnsi="Franklin Gothic Book"/>
                <w:sz w:val="22"/>
              </w:rPr>
            </w:pPr>
            <w:r w:rsidRPr="002A0545">
              <w:rPr>
                <w:rFonts w:ascii="Franklin Gothic Book" w:hAnsi="Franklin Gothic Book"/>
                <w:sz w:val="22"/>
              </w:rPr>
              <w:t>5</w:t>
            </w:r>
          </w:p>
        </w:tc>
      </w:tr>
      <w:tr w:rsidR="002A0545" w:rsidRPr="002A0545" w14:paraId="1D109A6D" w14:textId="77777777" w:rsidTr="00C80C23">
        <w:trPr>
          <w:trHeight w:val="285"/>
        </w:trPr>
        <w:tc>
          <w:tcPr>
            <w:tcW w:w="7780" w:type="dxa"/>
            <w:tcBorders>
              <w:top w:val="nil"/>
              <w:left w:val="single" w:sz="6" w:space="0" w:color="000000"/>
              <w:bottom w:val="single" w:sz="6" w:space="0" w:color="000000"/>
              <w:right w:val="single" w:sz="6" w:space="0" w:color="auto"/>
            </w:tcBorders>
            <w:vAlign w:val="center"/>
            <w:hideMark/>
          </w:tcPr>
          <w:p w14:paraId="45A4648B" w14:textId="77777777" w:rsidR="002A0545" w:rsidRPr="002A0545" w:rsidRDefault="002A0545" w:rsidP="005D0846">
            <w:pPr>
              <w:pStyle w:val="MSACESParagraph"/>
              <w:keepNext/>
              <w:keepLines/>
              <w:spacing w:before="40" w:after="40"/>
              <w:rPr>
                <w:rFonts w:ascii="Franklin Gothic Book" w:hAnsi="Franklin Gothic Book"/>
                <w:sz w:val="22"/>
              </w:rPr>
            </w:pPr>
            <w:r w:rsidRPr="002A0545">
              <w:rPr>
                <w:rFonts w:ascii="Franklin Gothic Book" w:hAnsi="Franklin Gothic Book"/>
                <w:b/>
                <w:bCs/>
                <w:sz w:val="22"/>
              </w:rPr>
              <w:t>Grand Total</w:t>
            </w:r>
            <w:r w:rsidRPr="002A0545">
              <w:rPr>
                <w:rFonts w:ascii="Arial" w:hAnsi="Arial" w:cs="Arial"/>
                <w:sz w:val="22"/>
              </w:rPr>
              <w:t> </w:t>
            </w:r>
            <w:r w:rsidRPr="002A0545">
              <w:rPr>
                <w:rFonts w:ascii="Franklin Gothic Book" w:hAnsi="Franklin Gothic Book"/>
                <w:sz w:val="22"/>
              </w:rPr>
              <w:t> </w:t>
            </w:r>
          </w:p>
        </w:tc>
        <w:tc>
          <w:tcPr>
            <w:tcW w:w="1230" w:type="dxa"/>
            <w:tcBorders>
              <w:top w:val="nil"/>
              <w:left w:val="nil"/>
              <w:bottom w:val="single" w:sz="6" w:space="0" w:color="000000"/>
              <w:right w:val="single" w:sz="6" w:space="0" w:color="000000"/>
            </w:tcBorders>
            <w:vAlign w:val="center"/>
            <w:hideMark/>
          </w:tcPr>
          <w:p w14:paraId="4EB1FBAA" w14:textId="4708AE2A" w:rsidR="002A0545" w:rsidRPr="002A0545" w:rsidRDefault="002A0545" w:rsidP="00C80C23">
            <w:pPr>
              <w:pStyle w:val="MSACESParagraph"/>
              <w:keepNext/>
              <w:keepLines/>
              <w:spacing w:before="40" w:after="40"/>
              <w:jc w:val="center"/>
              <w:rPr>
                <w:rFonts w:ascii="Franklin Gothic Book" w:hAnsi="Franklin Gothic Book"/>
                <w:sz w:val="22"/>
              </w:rPr>
            </w:pPr>
            <w:r w:rsidRPr="002A0545">
              <w:rPr>
                <w:rFonts w:ascii="Franklin Gothic Book" w:hAnsi="Franklin Gothic Book"/>
                <w:b/>
                <w:bCs/>
                <w:sz w:val="22"/>
              </w:rPr>
              <w:t>9</w:t>
            </w:r>
          </w:p>
        </w:tc>
      </w:tr>
    </w:tbl>
    <w:p w14:paraId="40D4953C" w14:textId="230F83D7" w:rsidR="002A0545" w:rsidRPr="002A0545" w:rsidRDefault="002A0545" w:rsidP="005D0846">
      <w:pPr>
        <w:pStyle w:val="MSACESParagraph"/>
        <w:keepNext/>
        <w:keepLines/>
        <w:spacing w:before="240" w:after="120"/>
        <w:jc w:val="left"/>
        <w:rPr>
          <w:rFonts w:ascii="Franklin Gothic Book" w:hAnsi="Franklin Gothic Book"/>
          <w:sz w:val="22"/>
        </w:rPr>
      </w:pPr>
      <w:r w:rsidRPr="002A0545">
        <w:rPr>
          <w:rFonts w:ascii="Franklin Gothic Book" w:hAnsi="Franklin Gothic Book"/>
          <w:sz w:val="22"/>
        </w:rPr>
        <w:t>MSAC received consultation input from the following organisations: </w:t>
      </w:r>
    </w:p>
    <w:p w14:paraId="366DF112" w14:textId="77777777" w:rsidR="002A0545" w:rsidRPr="002A0545" w:rsidRDefault="002A0545" w:rsidP="005D0846">
      <w:pPr>
        <w:pStyle w:val="MSACESParagraph"/>
        <w:keepNext/>
        <w:keepLines/>
        <w:numPr>
          <w:ilvl w:val="0"/>
          <w:numId w:val="16"/>
        </w:numPr>
        <w:spacing w:after="0"/>
        <w:ind w:left="714" w:hanging="357"/>
        <w:jc w:val="left"/>
        <w:rPr>
          <w:rFonts w:ascii="Franklin Gothic Book" w:hAnsi="Franklin Gothic Book"/>
          <w:sz w:val="22"/>
        </w:rPr>
      </w:pPr>
      <w:proofErr w:type="spellStart"/>
      <w:r w:rsidRPr="002A0545">
        <w:rPr>
          <w:rFonts w:ascii="Franklin Gothic Book" w:hAnsi="Franklin Gothic Book"/>
          <w:sz w:val="22"/>
        </w:rPr>
        <w:t>Omico</w:t>
      </w:r>
      <w:proofErr w:type="spellEnd"/>
      <w:r w:rsidRPr="002A0545">
        <w:rPr>
          <w:rFonts w:ascii="Franklin Gothic Book" w:hAnsi="Franklin Gothic Book"/>
          <w:sz w:val="22"/>
        </w:rPr>
        <w:t> </w:t>
      </w:r>
    </w:p>
    <w:p w14:paraId="32C603F3" w14:textId="77777777" w:rsidR="002A0545" w:rsidRPr="002A0545" w:rsidRDefault="002A0545" w:rsidP="00601076">
      <w:pPr>
        <w:pStyle w:val="MSACESParagraph"/>
        <w:numPr>
          <w:ilvl w:val="0"/>
          <w:numId w:val="17"/>
        </w:numPr>
        <w:spacing w:after="0"/>
        <w:ind w:left="714" w:hanging="357"/>
        <w:jc w:val="left"/>
        <w:rPr>
          <w:rFonts w:ascii="Franklin Gothic Book" w:hAnsi="Franklin Gothic Book"/>
          <w:sz w:val="22"/>
        </w:rPr>
      </w:pPr>
      <w:r w:rsidRPr="002A0545">
        <w:rPr>
          <w:rFonts w:ascii="Franklin Gothic Book" w:hAnsi="Franklin Gothic Book"/>
          <w:sz w:val="22"/>
        </w:rPr>
        <w:t>Public Pathology Australia (PPA) </w:t>
      </w:r>
    </w:p>
    <w:p w14:paraId="719254E5" w14:textId="77777777" w:rsidR="002A0545" w:rsidRPr="002A0545" w:rsidRDefault="002A0545" w:rsidP="00601076">
      <w:pPr>
        <w:pStyle w:val="MSACESParagraph"/>
        <w:numPr>
          <w:ilvl w:val="0"/>
          <w:numId w:val="18"/>
        </w:numPr>
        <w:spacing w:after="0"/>
        <w:ind w:left="714" w:hanging="357"/>
        <w:jc w:val="left"/>
        <w:rPr>
          <w:rFonts w:ascii="Franklin Gothic Book" w:hAnsi="Franklin Gothic Book"/>
          <w:sz w:val="22"/>
        </w:rPr>
      </w:pPr>
      <w:r w:rsidRPr="002A0545">
        <w:rPr>
          <w:rFonts w:ascii="Franklin Gothic Book" w:hAnsi="Franklin Gothic Book"/>
          <w:sz w:val="22"/>
        </w:rPr>
        <w:t>Rare Cancers Australia (RCA) (2 inputs) </w:t>
      </w:r>
    </w:p>
    <w:p w14:paraId="576A1C1D" w14:textId="3CE03549" w:rsidR="002A0545" w:rsidRPr="002A0545" w:rsidRDefault="708BB6F6" w:rsidP="67015AB2">
      <w:pPr>
        <w:pStyle w:val="MSACESParagraph"/>
        <w:numPr>
          <w:ilvl w:val="0"/>
          <w:numId w:val="19"/>
        </w:numPr>
        <w:spacing w:after="0"/>
        <w:ind w:left="714" w:hanging="357"/>
        <w:jc w:val="left"/>
        <w:rPr>
          <w:rFonts w:ascii="Franklin Gothic Book" w:hAnsi="Franklin Gothic Book"/>
          <w:sz w:val="22"/>
        </w:rPr>
      </w:pPr>
      <w:r w:rsidRPr="67015AB2">
        <w:rPr>
          <w:rFonts w:ascii="Franklin Gothic Book" w:hAnsi="Franklin Gothic Book"/>
          <w:sz w:val="22"/>
        </w:rPr>
        <w:t>Royal College of Pathologists of Australasia (2 inputs) (RCPA) </w:t>
      </w:r>
    </w:p>
    <w:p w14:paraId="5F90E894" w14:textId="471298BC" w:rsidR="002A0545" w:rsidRPr="002A0545" w:rsidRDefault="708BB6F6" w:rsidP="67015AB2">
      <w:pPr>
        <w:pStyle w:val="MSACESParagraph"/>
        <w:numPr>
          <w:ilvl w:val="0"/>
          <w:numId w:val="19"/>
        </w:numPr>
        <w:spacing w:after="0"/>
        <w:ind w:left="714" w:hanging="357"/>
        <w:jc w:val="left"/>
        <w:rPr>
          <w:rFonts w:ascii="Franklin Gothic Book" w:hAnsi="Franklin Gothic Book"/>
          <w:sz w:val="22"/>
        </w:rPr>
      </w:pPr>
      <w:proofErr w:type="spellStart"/>
      <w:r w:rsidRPr="67015AB2">
        <w:rPr>
          <w:rFonts w:ascii="Franklin Gothic Book" w:hAnsi="Franklin Gothic Book"/>
          <w:sz w:val="22"/>
        </w:rPr>
        <w:t>NeuroEndocrine</w:t>
      </w:r>
      <w:proofErr w:type="spellEnd"/>
      <w:r w:rsidRPr="67015AB2">
        <w:rPr>
          <w:rFonts w:ascii="Franklin Gothic Book" w:hAnsi="Franklin Gothic Book"/>
          <w:sz w:val="22"/>
        </w:rPr>
        <w:t> Cancer Australia (NECA) </w:t>
      </w:r>
    </w:p>
    <w:p w14:paraId="5537523A" w14:textId="77777777" w:rsidR="002A0545" w:rsidRPr="002A0545" w:rsidRDefault="002A0545" w:rsidP="00601076">
      <w:pPr>
        <w:pStyle w:val="MSACESParagraph"/>
        <w:numPr>
          <w:ilvl w:val="0"/>
          <w:numId w:val="21"/>
        </w:numPr>
        <w:spacing w:after="0"/>
        <w:ind w:left="714" w:hanging="357"/>
        <w:jc w:val="left"/>
        <w:rPr>
          <w:rFonts w:ascii="Franklin Gothic Book" w:hAnsi="Franklin Gothic Book"/>
          <w:sz w:val="22"/>
        </w:rPr>
      </w:pPr>
      <w:r w:rsidRPr="002A0545">
        <w:rPr>
          <w:rFonts w:ascii="Franklin Gothic Book" w:hAnsi="Franklin Gothic Book"/>
          <w:sz w:val="22"/>
        </w:rPr>
        <w:t>Therapeutic Goods Administration (TGA) </w:t>
      </w:r>
    </w:p>
    <w:p w14:paraId="134CF6C0" w14:textId="3D9C0874" w:rsidR="002A0545" w:rsidRPr="002A0545" w:rsidRDefault="002A0545" w:rsidP="00601076">
      <w:pPr>
        <w:pStyle w:val="MSACESParagraph"/>
        <w:numPr>
          <w:ilvl w:val="0"/>
          <w:numId w:val="22"/>
        </w:numPr>
        <w:ind w:left="714" w:hanging="357"/>
        <w:jc w:val="left"/>
        <w:rPr>
          <w:rFonts w:ascii="Franklin Gothic Book" w:hAnsi="Franklin Gothic Book"/>
          <w:sz w:val="22"/>
        </w:rPr>
      </w:pPr>
      <w:r w:rsidRPr="002A0545">
        <w:rPr>
          <w:rFonts w:ascii="Franklin Gothic Book" w:hAnsi="Franklin Gothic Book"/>
          <w:sz w:val="22"/>
        </w:rPr>
        <w:t>Australian Thyroid Foundation (ATF) </w:t>
      </w:r>
    </w:p>
    <w:p w14:paraId="0AA2D8BA" w14:textId="77777777" w:rsidR="002A0545" w:rsidRPr="002A0545" w:rsidRDefault="002A0545" w:rsidP="00594280">
      <w:pPr>
        <w:pStyle w:val="MSACESParagraph"/>
        <w:keepNext/>
        <w:keepLines/>
        <w:jc w:val="left"/>
        <w:rPr>
          <w:rFonts w:ascii="Franklin Gothic Book" w:hAnsi="Franklin Gothic Book"/>
          <w:sz w:val="22"/>
        </w:rPr>
      </w:pPr>
      <w:r w:rsidRPr="002A0545">
        <w:rPr>
          <w:rFonts w:ascii="Franklin Gothic Book" w:hAnsi="Franklin Gothic Book"/>
          <w:b/>
          <w:bCs/>
          <w:sz w:val="22"/>
        </w:rPr>
        <w:lastRenderedPageBreak/>
        <w:t>Level of support for public funding </w:t>
      </w:r>
      <w:r w:rsidRPr="002A0545">
        <w:rPr>
          <w:rFonts w:ascii="Franklin Gothic Book" w:hAnsi="Franklin Gothic Book"/>
          <w:sz w:val="22"/>
        </w:rPr>
        <w:t> </w:t>
      </w:r>
    </w:p>
    <w:p w14:paraId="24611B28" w14:textId="661232A6" w:rsidR="002A0545" w:rsidRPr="002A0545" w:rsidRDefault="002A0545" w:rsidP="00594280">
      <w:pPr>
        <w:pStyle w:val="MSACESParagraph"/>
        <w:keepNext/>
        <w:keepLines/>
        <w:jc w:val="left"/>
        <w:rPr>
          <w:rFonts w:ascii="Franklin Gothic Book" w:hAnsi="Franklin Gothic Book"/>
          <w:sz w:val="22"/>
        </w:rPr>
      </w:pPr>
      <w:r w:rsidRPr="67015AB2">
        <w:rPr>
          <w:rFonts w:ascii="Franklin Gothic Book" w:hAnsi="Franklin Gothic Book"/>
          <w:sz w:val="22"/>
        </w:rPr>
        <w:t>Consultation input was supportive of public funding for testing options to detect </w:t>
      </w:r>
      <w:r w:rsidR="00B14353" w:rsidRPr="67015AB2">
        <w:rPr>
          <w:rFonts w:ascii="Franklin Gothic Book" w:hAnsi="Franklin Gothic Book"/>
          <w:i/>
          <w:iCs/>
          <w:sz w:val="22"/>
        </w:rPr>
        <w:t>RET</w:t>
      </w:r>
      <w:r w:rsidRPr="67015AB2">
        <w:rPr>
          <w:rFonts w:ascii="Franklin Gothic Book" w:hAnsi="Franklin Gothic Book"/>
          <w:sz w:val="22"/>
        </w:rPr>
        <w:t> variants in patients with</w:t>
      </w:r>
      <w:r w:rsidR="003A6371">
        <w:rPr>
          <w:rFonts w:ascii="Franklin Gothic Book" w:hAnsi="Franklin Gothic Book"/>
          <w:sz w:val="22"/>
        </w:rPr>
        <w:t xml:space="preserve"> </w:t>
      </w:r>
      <w:r w:rsidRPr="67015AB2">
        <w:rPr>
          <w:rFonts w:ascii="Franklin Gothic Book" w:hAnsi="Franklin Gothic Book"/>
          <w:sz w:val="22"/>
        </w:rPr>
        <w:t>medullary thyroid cancer (MTC) to determine eligibility for pharmaceutical benefits scheme (PBS)</w:t>
      </w:r>
      <w:r w:rsidR="003A6371">
        <w:rPr>
          <w:rFonts w:ascii="Franklin Gothic Book" w:hAnsi="Franklin Gothic Book"/>
          <w:sz w:val="22"/>
        </w:rPr>
        <w:t xml:space="preserve"> </w:t>
      </w:r>
      <w:r w:rsidRPr="67015AB2">
        <w:rPr>
          <w:rFonts w:ascii="Franklin Gothic Book" w:hAnsi="Franklin Gothic Book"/>
          <w:sz w:val="22"/>
        </w:rPr>
        <w:t>subsidised selpercatinib treatment. NECA asserted that the proposed targeted testing and treatment combination ‘addresses a clear and urgent clinical need within a small but</w:t>
      </w:r>
      <w:r w:rsidR="003A6371">
        <w:rPr>
          <w:rFonts w:ascii="Franklin Gothic Book" w:hAnsi="Franklin Gothic Book"/>
          <w:sz w:val="22"/>
        </w:rPr>
        <w:t xml:space="preserve"> </w:t>
      </w:r>
      <w:proofErr w:type="gramStart"/>
      <w:r w:rsidRPr="67015AB2">
        <w:rPr>
          <w:rFonts w:ascii="Franklin Gothic Book" w:hAnsi="Franklin Gothic Book"/>
          <w:sz w:val="22"/>
        </w:rPr>
        <w:t>high risk</w:t>
      </w:r>
      <w:proofErr w:type="gramEnd"/>
      <w:r w:rsidR="003A6371">
        <w:rPr>
          <w:rFonts w:ascii="Franklin Gothic Book" w:hAnsi="Franklin Gothic Book"/>
          <w:sz w:val="22"/>
        </w:rPr>
        <w:t xml:space="preserve"> </w:t>
      </w:r>
      <w:r w:rsidRPr="67015AB2">
        <w:rPr>
          <w:rFonts w:ascii="Franklin Gothic Book" w:hAnsi="Franklin Gothic Book"/>
          <w:sz w:val="22"/>
        </w:rPr>
        <w:t>population.’  </w:t>
      </w:r>
    </w:p>
    <w:p w14:paraId="3C5BA13A" w14:textId="2DC69BB8"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Respondents, particularly consumer groups, viewed broader and more equitable access to</w:t>
      </w:r>
      <w:r w:rsidR="003A6371">
        <w:rPr>
          <w:rFonts w:ascii="Franklin Gothic Book" w:hAnsi="Franklin Gothic Book"/>
          <w:sz w:val="22"/>
        </w:rPr>
        <w:t xml:space="preserve"> </w:t>
      </w:r>
      <w:r w:rsidR="00B14353" w:rsidRPr="00B14353">
        <w:rPr>
          <w:rFonts w:ascii="Franklin Gothic Book" w:hAnsi="Franklin Gothic Book"/>
          <w:i/>
          <w:iCs/>
          <w:sz w:val="22"/>
        </w:rPr>
        <w:t>RET</w:t>
      </w:r>
      <w:r w:rsidR="003A6371">
        <w:rPr>
          <w:rFonts w:ascii="Franklin Gothic Book" w:hAnsi="Franklin Gothic Book"/>
          <w:sz w:val="22"/>
        </w:rPr>
        <w:t xml:space="preserve"> </w:t>
      </w:r>
      <w:r w:rsidRPr="002A0545">
        <w:rPr>
          <w:rFonts w:ascii="Franklin Gothic Book" w:hAnsi="Franklin Gothic Book"/>
          <w:sz w:val="22"/>
        </w:rPr>
        <w:t>genetic testing as important for improving clinical outcomes and ensuring appropriate access to targeted therapies.  </w:t>
      </w:r>
    </w:p>
    <w:p w14:paraId="224503CA" w14:textId="77777777"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b/>
          <w:bCs/>
          <w:sz w:val="22"/>
        </w:rPr>
        <w:t>Comments on PICO </w:t>
      </w:r>
      <w:r w:rsidRPr="002A0545">
        <w:rPr>
          <w:rFonts w:ascii="Franklin Gothic Book" w:hAnsi="Franklin Gothic Book"/>
          <w:sz w:val="22"/>
        </w:rPr>
        <w:t> </w:t>
      </w:r>
    </w:p>
    <w:p w14:paraId="4CAF2E6E" w14:textId="77777777"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The consultation input agreed with the proposed population and comparator, noting that individuals with rare cancers such as MTC are an underserved population with limited treatment options.  </w:t>
      </w:r>
    </w:p>
    <w:p w14:paraId="779507D3" w14:textId="5444FDE4"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The input from consumer groups included information on individual experiences with MTC and</w:t>
      </w:r>
      <w:r w:rsidR="005E55B9">
        <w:rPr>
          <w:rFonts w:ascii="Franklin Gothic Book" w:hAnsi="Franklin Gothic Book"/>
          <w:sz w:val="22"/>
        </w:rPr>
        <w:t xml:space="preserve"> </w:t>
      </w:r>
      <w:r w:rsidR="00B14353" w:rsidRPr="00B14353">
        <w:rPr>
          <w:rFonts w:ascii="Franklin Gothic Book" w:hAnsi="Franklin Gothic Book"/>
          <w:i/>
          <w:iCs/>
          <w:sz w:val="22"/>
        </w:rPr>
        <w:t>RET</w:t>
      </w:r>
      <w:r w:rsidR="005E55B9">
        <w:rPr>
          <w:rFonts w:ascii="Franklin Gothic Book" w:hAnsi="Franklin Gothic Book"/>
          <w:sz w:val="22"/>
        </w:rPr>
        <w:t xml:space="preserve"> </w:t>
      </w:r>
      <w:r w:rsidRPr="002A0545">
        <w:rPr>
          <w:rFonts w:ascii="Franklin Gothic Book" w:hAnsi="Franklin Gothic Book"/>
          <w:sz w:val="22"/>
        </w:rPr>
        <w:t>testing. Input stated that treatment options for MTC remain limited and include radiation therapy,</w:t>
      </w:r>
      <w:r w:rsidR="005E55B9">
        <w:rPr>
          <w:rFonts w:ascii="Franklin Gothic Book" w:hAnsi="Franklin Gothic Book"/>
          <w:sz w:val="22"/>
        </w:rPr>
        <w:t xml:space="preserve"> </w:t>
      </w:r>
      <w:proofErr w:type="spellStart"/>
      <w:r w:rsidRPr="002A0545">
        <w:rPr>
          <w:rFonts w:ascii="Franklin Gothic Book" w:hAnsi="Franklin Gothic Book"/>
          <w:sz w:val="22"/>
        </w:rPr>
        <w:t>theranostics</w:t>
      </w:r>
      <w:proofErr w:type="spellEnd"/>
      <w:r w:rsidRPr="002A0545">
        <w:rPr>
          <w:rFonts w:ascii="Franklin Gothic Book" w:hAnsi="Franklin Gothic Book"/>
          <w:sz w:val="22"/>
        </w:rPr>
        <w:t>, non-targeted therapies, and extensive surgeries, which can have significant side effects and uncertain outcomes.  </w:t>
      </w:r>
    </w:p>
    <w:p w14:paraId="2B5A3000" w14:textId="77777777"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b/>
          <w:bCs/>
          <w:sz w:val="22"/>
        </w:rPr>
        <w:t>Perceived Advantages </w:t>
      </w:r>
      <w:r w:rsidRPr="002A0545">
        <w:rPr>
          <w:rFonts w:ascii="Franklin Gothic Book" w:hAnsi="Franklin Gothic Book"/>
          <w:sz w:val="22"/>
        </w:rPr>
        <w:t> </w:t>
      </w:r>
    </w:p>
    <w:p w14:paraId="3DF03DB3" w14:textId="77777777"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Benefits of public funding reported in the consultation input included refining the diagnosis of MTC, guiding treatment decisions, and providing access to more timely, targeted, and better-tolerated treatment.  </w:t>
      </w:r>
    </w:p>
    <w:p w14:paraId="447BE3BA" w14:textId="548F6AB8"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The RCPA and NECA both noted that clinical trials have shown that patients with </w:t>
      </w:r>
      <w:r w:rsidR="00B14353" w:rsidRPr="00B14353">
        <w:rPr>
          <w:rFonts w:ascii="Franklin Gothic Book" w:hAnsi="Franklin Gothic Book"/>
          <w:i/>
          <w:iCs/>
          <w:sz w:val="22"/>
        </w:rPr>
        <w:t>RET</w:t>
      </w:r>
      <w:r w:rsidRPr="002A0545">
        <w:rPr>
          <w:rFonts w:ascii="Franklin Gothic Book" w:hAnsi="Franklin Gothic Book"/>
          <w:sz w:val="22"/>
        </w:rPr>
        <w:t>-variant MTC treated with</w:t>
      </w:r>
      <w:r w:rsidR="005E55B9">
        <w:rPr>
          <w:rFonts w:ascii="Franklin Gothic Book" w:hAnsi="Franklin Gothic Book"/>
          <w:sz w:val="22"/>
        </w:rPr>
        <w:t xml:space="preserve"> </w:t>
      </w:r>
      <w:r w:rsidRPr="002A0545">
        <w:rPr>
          <w:rFonts w:ascii="Franklin Gothic Book" w:hAnsi="Franklin Gothic Book"/>
          <w:sz w:val="22"/>
        </w:rPr>
        <w:t>selpercatinib have better outcomes compared to standard therapies, including longer progression-free and overall survival. The RCPA stated that public funding for </w:t>
      </w:r>
      <w:r w:rsidR="00B14353" w:rsidRPr="00B14353">
        <w:rPr>
          <w:rFonts w:ascii="Franklin Gothic Book" w:hAnsi="Franklin Gothic Book"/>
          <w:i/>
          <w:iCs/>
          <w:sz w:val="22"/>
        </w:rPr>
        <w:t>RET</w:t>
      </w:r>
      <w:r w:rsidRPr="002A0545">
        <w:rPr>
          <w:rFonts w:ascii="Franklin Gothic Book" w:hAnsi="Franklin Gothic Book"/>
          <w:sz w:val="22"/>
        </w:rPr>
        <w:t> testing would align MTC management in Australia with current clinical practice guidelines.  </w:t>
      </w:r>
    </w:p>
    <w:p w14:paraId="5FDC3F65" w14:textId="77777777"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Input from consumer groups stated that much of the current testing and treatment for MTC was self-funded and was a financial burden in addition to the physical and emotional burden of having cancer. Public funding of testing and associated targeted therapies would help to alleviate some of this burden.  </w:t>
      </w:r>
    </w:p>
    <w:p w14:paraId="1F78E3F4" w14:textId="4FA77678" w:rsid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RCA input included a patient’s experience of accessing </w:t>
      </w:r>
      <w:r w:rsidR="00B14353" w:rsidRPr="00B14353">
        <w:rPr>
          <w:rFonts w:ascii="Franklin Gothic Book" w:hAnsi="Franklin Gothic Book"/>
          <w:i/>
          <w:iCs/>
          <w:sz w:val="22"/>
        </w:rPr>
        <w:t>RET</w:t>
      </w:r>
      <w:r w:rsidRPr="002A0545">
        <w:rPr>
          <w:rFonts w:ascii="Franklin Gothic Book" w:hAnsi="Franklin Gothic Book"/>
          <w:sz w:val="22"/>
        </w:rPr>
        <w:t>-targeted therapy, which led to a significantly improved quality of life compared to conventional therapies. </w:t>
      </w:r>
    </w:p>
    <w:p w14:paraId="02355904" w14:textId="79AB68F4" w:rsidR="000923A9" w:rsidRPr="000923A9" w:rsidRDefault="000923A9" w:rsidP="002A0545">
      <w:pPr>
        <w:pStyle w:val="MSACESParagraph"/>
        <w:jc w:val="left"/>
        <w:rPr>
          <w:rFonts w:ascii="Franklin Gothic Book" w:hAnsi="Franklin Gothic Book"/>
          <w:sz w:val="22"/>
        </w:rPr>
      </w:pPr>
      <w:r>
        <w:rPr>
          <w:rFonts w:ascii="Franklin Gothic Book" w:hAnsi="Franklin Gothic Book"/>
          <w:sz w:val="22"/>
        </w:rPr>
        <w:t xml:space="preserve">Consumer groups also emphasised the importance of genetic testing to families, stating that </w:t>
      </w:r>
      <w:r>
        <w:rPr>
          <w:rFonts w:ascii="Franklin Gothic Book" w:hAnsi="Franklin Gothic Book"/>
          <w:i/>
          <w:iCs/>
          <w:sz w:val="22"/>
        </w:rPr>
        <w:t>RET</w:t>
      </w:r>
      <w:r>
        <w:rPr>
          <w:rFonts w:ascii="Franklin Gothic Book" w:hAnsi="Franklin Gothic Book"/>
          <w:sz w:val="22"/>
        </w:rPr>
        <w:t xml:space="preserve"> testing plays a crucial role in gene-informed cancer risk assessment, genetic counselling, and predictive testing for family members.</w:t>
      </w:r>
    </w:p>
    <w:p w14:paraId="2175DE35" w14:textId="77777777"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b/>
          <w:bCs/>
          <w:sz w:val="22"/>
        </w:rPr>
        <w:t>Perceived Disadvantages</w:t>
      </w:r>
      <w:r w:rsidRPr="002A0545">
        <w:rPr>
          <w:rFonts w:ascii="Franklin Gothic Book" w:hAnsi="Franklin Gothic Book"/>
          <w:sz w:val="22"/>
        </w:rPr>
        <w:t> </w:t>
      </w:r>
    </w:p>
    <w:p w14:paraId="7004277F" w14:textId="32E4A82E"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The only disadvantage of public funding reported in the consultation input was the stress associated with the chance of identifying a heritable variant.  </w:t>
      </w:r>
    </w:p>
    <w:p w14:paraId="6A6C3163" w14:textId="77777777"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b/>
          <w:bCs/>
          <w:sz w:val="22"/>
        </w:rPr>
        <w:t>Support for Implementation and Issues </w:t>
      </w:r>
      <w:r w:rsidRPr="002A0545">
        <w:rPr>
          <w:rFonts w:ascii="Franklin Gothic Book" w:hAnsi="Franklin Gothic Book"/>
          <w:sz w:val="22"/>
        </w:rPr>
        <w:t> </w:t>
      </w:r>
    </w:p>
    <w:p w14:paraId="53AFA5B7" w14:textId="41BBE1A6"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 xml:space="preserve">Consultation input supported the proposed approach to implementation, with no major problems foreseen ‘assuming there is clear communication around where testing can be accessed and </w:t>
      </w:r>
      <w:r w:rsidRPr="002A0545">
        <w:rPr>
          <w:rFonts w:ascii="Franklin Gothic Book" w:hAnsi="Franklin Gothic Book"/>
          <w:sz w:val="22"/>
        </w:rPr>
        <w:lastRenderedPageBreak/>
        <w:t>that pathology laboratories are adequately equipped to perform somatic </w:t>
      </w:r>
      <w:r w:rsidR="00B14353" w:rsidRPr="00B14353">
        <w:rPr>
          <w:rFonts w:ascii="Franklin Gothic Book" w:hAnsi="Franklin Gothic Book"/>
          <w:i/>
          <w:iCs/>
          <w:sz w:val="22"/>
        </w:rPr>
        <w:t>RET</w:t>
      </w:r>
      <w:r w:rsidRPr="002A0545">
        <w:rPr>
          <w:rFonts w:ascii="Franklin Gothic Book" w:hAnsi="Franklin Gothic Book"/>
          <w:sz w:val="22"/>
        </w:rPr>
        <w:t> variant analysis’ (NECA). </w:t>
      </w:r>
    </w:p>
    <w:p w14:paraId="147535E6" w14:textId="38C7501A"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NECA and RCA both identified the need for counselling services for individuals with a heritable variant</w:t>
      </w:r>
      <w:r w:rsidR="00FE681B">
        <w:rPr>
          <w:rFonts w:ascii="Franklin Gothic Book" w:hAnsi="Franklin Gothic Book"/>
          <w:sz w:val="22"/>
        </w:rPr>
        <w:t xml:space="preserve"> </w:t>
      </w:r>
      <w:r w:rsidRPr="002A0545">
        <w:rPr>
          <w:rFonts w:ascii="Franklin Gothic Book" w:hAnsi="Franklin Gothic Book"/>
          <w:sz w:val="22"/>
        </w:rPr>
        <w:t>identified.  </w:t>
      </w:r>
    </w:p>
    <w:p w14:paraId="6FA178EA" w14:textId="77777777"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The consultation input partially agreed with the proposed service descriptor. RCPA recommended the wording refer to “pathological diagnosis” of MTC rather than “clinical diagnosis” and that the service descriptor specify somatic testing. The RCPA also supported the item being pathologist determinable.  </w:t>
      </w:r>
    </w:p>
    <w:p w14:paraId="287BD912" w14:textId="3537A6B1" w:rsidR="002A0545" w:rsidRPr="002A0545" w:rsidRDefault="002A0545" w:rsidP="002A0545">
      <w:pPr>
        <w:pStyle w:val="MSACESParagraph"/>
        <w:jc w:val="left"/>
        <w:rPr>
          <w:rFonts w:ascii="Franklin Gothic Book" w:hAnsi="Franklin Gothic Book"/>
          <w:sz w:val="22"/>
        </w:rPr>
      </w:pPr>
      <w:r w:rsidRPr="002A0545">
        <w:rPr>
          <w:rFonts w:ascii="Franklin Gothic Book" w:hAnsi="Franklin Gothic Book"/>
          <w:sz w:val="22"/>
        </w:rPr>
        <w:t>The consultation input ranged from agreeing to disagreeing with the proposed service fee. PPA stated that at least one laboratory could adapt an existing small solid tumour </w:t>
      </w:r>
      <w:r w:rsidR="00864800">
        <w:rPr>
          <w:rFonts w:ascii="Franklin Gothic Book" w:hAnsi="Franklin Gothic Book"/>
          <w:sz w:val="22"/>
        </w:rPr>
        <w:t>n</w:t>
      </w:r>
      <w:r w:rsidRPr="002A0545">
        <w:rPr>
          <w:rFonts w:ascii="Franklin Gothic Book" w:hAnsi="Franklin Gothic Book"/>
          <w:sz w:val="22"/>
        </w:rPr>
        <w:t xml:space="preserve">ext </w:t>
      </w:r>
      <w:r w:rsidR="00864800">
        <w:rPr>
          <w:rFonts w:ascii="Franklin Gothic Book" w:hAnsi="Franklin Gothic Book"/>
          <w:sz w:val="22"/>
        </w:rPr>
        <w:t>g</w:t>
      </w:r>
      <w:r w:rsidRPr="002A0545">
        <w:rPr>
          <w:rFonts w:ascii="Franklin Gothic Book" w:hAnsi="Franklin Gothic Book"/>
          <w:sz w:val="22"/>
        </w:rPr>
        <w:t xml:space="preserve">eneration </w:t>
      </w:r>
      <w:r w:rsidR="00864800">
        <w:rPr>
          <w:rFonts w:ascii="Franklin Gothic Book" w:hAnsi="Franklin Gothic Book"/>
          <w:sz w:val="22"/>
        </w:rPr>
        <w:t>s</w:t>
      </w:r>
      <w:r w:rsidRPr="002A0545">
        <w:rPr>
          <w:rFonts w:ascii="Franklin Gothic Book" w:hAnsi="Franklin Gothic Book"/>
          <w:sz w:val="22"/>
        </w:rPr>
        <w:t>equencing (NGS) panel to detect </w:t>
      </w:r>
      <w:r w:rsidR="00B14353" w:rsidRPr="00B14353">
        <w:rPr>
          <w:rFonts w:ascii="Franklin Gothic Book" w:hAnsi="Franklin Gothic Book"/>
          <w:i/>
          <w:iCs/>
          <w:sz w:val="22"/>
        </w:rPr>
        <w:t>RET</w:t>
      </w:r>
      <w:r w:rsidRPr="002A0545">
        <w:rPr>
          <w:rFonts w:ascii="Franklin Gothic Book" w:hAnsi="Franklin Gothic Book"/>
          <w:sz w:val="22"/>
        </w:rPr>
        <w:t> mutations for thyroid tumours and that the proposed fee of $400 was adequate. NECA stated the fee was appropriate and in line with comparable genetic tests. The RCPA stated that the true cost of testing via NGS was more closely aligned with MBS item 73438, which is priced at $682.35 for a small gene panel, and strongly recommended aligning the </w:t>
      </w:r>
      <w:r w:rsidR="00B14353" w:rsidRPr="00B14353">
        <w:rPr>
          <w:rFonts w:ascii="Franklin Gothic Book" w:hAnsi="Franklin Gothic Book"/>
          <w:i/>
          <w:iCs/>
          <w:sz w:val="22"/>
        </w:rPr>
        <w:t>RET</w:t>
      </w:r>
      <w:r w:rsidRPr="002A0545">
        <w:rPr>
          <w:rFonts w:ascii="Franklin Gothic Book" w:hAnsi="Franklin Gothic Book"/>
          <w:sz w:val="22"/>
        </w:rPr>
        <w:t> testing fee with the small panel fee. The RCPA asserted that if the fee is set too low, laboratories may be unable to offer the test, leading to limited access, long turnaround times and delayed treatment for patients who may benefit from targeted therapies. </w:t>
      </w:r>
    </w:p>
    <w:p w14:paraId="3C780A35" w14:textId="77777777" w:rsidR="002F03F5" w:rsidRPr="002A0545" w:rsidRDefault="008F23FF" w:rsidP="00601076">
      <w:pPr>
        <w:pStyle w:val="MSACHeading1"/>
        <w:numPr>
          <w:ilvl w:val="0"/>
          <w:numId w:val="15"/>
        </w:numPr>
        <w:ind w:hanging="720"/>
        <w:rPr>
          <w:rFonts w:ascii="Franklin Gothic Medium" w:hAnsi="Franklin Gothic Medium"/>
          <w:b w:val="0"/>
          <w:bCs w:val="0"/>
          <w:sz w:val="32"/>
          <w:szCs w:val="32"/>
        </w:rPr>
      </w:pPr>
      <w:bookmarkStart w:id="16" w:name="_Toc219898308"/>
      <w:r w:rsidRPr="002A0545">
        <w:rPr>
          <w:rFonts w:ascii="Franklin Gothic Medium" w:hAnsi="Franklin Gothic Medium"/>
          <w:b w:val="0"/>
          <w:bCs w:val="0"/>
          <w:sz w:val="32"/>
          <w:szCs w:val="32"/>
        </w:rPr>
        <w:t>Characteristics of the evidence base</w:t>
      </w:r>
      <w:bookmarkEnd w:id="16"/>
    </w:p>
    <w:p w14:paraId="3C780A36" w14:textId="77BC4B41"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submission presented a linked evidence approach, and the components are presented in</w:t>
      </w:r>
      <w:r w:rsidR="001F5D70">
        <w:rPr>
          <w:rFonts w:ascii="Franklin Gothic Book" w:hAnsi="Franklin Gothic Book"/>
          <w:sz w:val="22"/>
        </w:rPr>
        <w:t xml:space="preserve"> </w:t>
      </w:r>
      <w:r w:rsidR="001F5D70" w:rsidRPr="001F5D70">
        <w:rPr>
          <w:rFonts w:ascii="Franklin Gothic Book" w:hAnsi="Franklin Gothic Book"/>
          <w:sz w:val="22"/>
        </w:rPr>
        <w:fldChar w:fldCharType="begin"/>
      </w:r>
      <w:r w:rsidR="001F5D70" w:rsidRPr="001F5D70">
        <w:rPr>
          <w:rFonts w:ascii="Franklin Gothic Book" w:hAnsi="Franklin Gothic Book"/>
          <w:sz w:val="22"/>
        </w:rPr>
        <w:instrText xml:space="preserve"> REF _Ref226641400 \h  \* MERGEFORMAT </w:instrText>
      </w:r>
      <w:r w:rsidR="001F5D70" w:rsidRPr="001F5D70">
        <w:rPr>
          <w:rFonts w:ascii="Franklin Gothic Book" w:hAnsi="Franklin Gothic Book"/>
          <w:sz w:val="22"/>
        </w:rPr>
      </w:r>
      <w:r w:rsidR="001F5D70" w:rsidRPr="001F5D70">
        <w:rPr>
          <w:rFonts w:ascii="Franklin Gothic Book" w:hAnsi="Franklin Gothic Book"/>
          <w:sz w:val="22"/>
        </w:rPr>
        <w:fldChar w:fldCharType="separate"/>
      </w:r>
      <w:r w:rsidR="005B2039" w:rsidRPr="00687588">
        <w:rPr>
          <w:rFonts w:ascii="Franklin Gothic Book" w:hAnsi="Franklin Gothic Book"/>
          <w:sz w:val="22"/>
        </w:rPr>
        <w:t xml:space="preserve">Table </w:t>
      </w:r>
      <w:r w:rsidR="005B2039" w:rsidRPr="00687588">
        <w:rPr>
          <w:rFonts w:ascii="Franklin Gothic Book" w:hAnsi="Franklin Gothic Book"/>
          <w:noProof/>
          <w:sz w:val="22"/>
        </w:rPr>
        <w:t>4</w:t>
      </w:r>
      <w:r w:rsidR="001F5D70" w:rsidRPr="001F5D70">
        <w:rPr>
          <w:rFonts w:ascii="Franklin Gothic Book" w:hAnsi="Franklin Gothic Book"/>
          <w:sz w:val="22"/>
        </w:rPr>
        <w:fldChar w:fldCharType="end"/>
      </w:r>
      <w:r w:rsidRPr="002A0545">
        <w:rPr>
          <w:rFonts w:ascii="Franklin Gothic Book" w:hAnsi="Franklin Gothic Book"/>
          <w:sz w:val="22"/>
        </w:rPr>
        <w:t>.</w:t>
      </w:r>
    </w:p>
    <w:p w14:paraId="3C780A37" w14:textId="1B759587" w:rsidR="002F03F5" w:rsidRDefault="001F5D70" w:rsidP="001F5D70">
      <w:pPr>
        <w:pStyle w:val="Caption"/>
      </w:pPr>
      <w:bookmarkStart w:id="17" w:name="_Ref226641400"/>
      <w:r>
        <w:lastRenderedPageBreak/>
        <w:t xml:space="preserve">Table </w:t>
      </w:r>
      <w:r>
        <w:fldChar w:fldCharType="begin"/>
      </w:r>
      <w:r>
        <w:instrText>SEQ Table \* ARABIC</w:instrText>
      </w:r>
      <w:r>
        <w:fldChar w:fldCharType="separate"/>
      </w:r>
      <w:r w:rsidR="005B2039">
        <w:rPr>
          <w:noProof/>
        </w:rPr>
        <w:t>4</w:t>
      </w:r>
      <w:r>
        <w:fldChar w:fldCharType="end"/>
      </w:r>
      <w:bookmarkEnd w:id="17"/>
      <w:r>
        <w:t xml:space="preserve"> </w:t>
      </w:r>
      <w:r w:rsidR="008F23FF">
        <w:t>Summary of the linked evidence approach</w:t>
      </w:r>
    </w:p>
    <w:tbl>
      <w:tblPr>
        <w:tblW w:w="5000" w:type="pct"/>
        <w:tblLayout w:type="fixed"/>
        <w:tblLook w:val="04A0" w:firstRow="1" w:lastRow="0" w:firstColumn="1" w:lastColumn="0" w:noHBand="0" w:noVBand="1"/>
      </w:tblPr>
      <w:tblGrid>
        <w:gridCol w:w="1705"/>
        <w:gridCol w:w="3713"/>
        <w:gridCol w:w="1419"/>
        <w:gridCol w:w="1169"/>
        <w:gridCol w:w="1010"/>
      </w:tblGrid>
      <w:tr w:rsidR="002F03F5" w14:paraId="3C780A3D" w14:textId="77777777" w:rsidTr="00B65D0F">
        <w:trPr>
          <w:cantSplit/>
        </w:trPr>
        <w:tc>
          <w:tcPr>
            <w:tcW w:w="1707" w:type="dxa"/>
            <w:tcBorders>
              <w:top w:val="single" w:sz="4" w:space="0" w:color="000000"/>
              <w:left w:val="single" w:sz="4" w:space="0" w:color="000000"/>
              <w:bottom w:val="single" w:sz="4" w:space="0" w:color="000000"/>
              <w:right w:val="single" w:sz="4" w:space="0" w:color="000000"/>
            </w:tcBorders>
          </w:tcPr>
          <w:p w14:paraId="3C780A38" w14:textId="77777777" w:rsidR="002F03F5" w:rsidRDefault="002F03F5">
            <w:pPr>
              <w:pStyle w:val="TableText"/>
              <w:keepNext/>
              <w:rPr>
                <w:b/>
              </w:rPr>
            </w:pPr>
            <w:bookmarkStart w:id="18" w:name="ColumnTitle_Table4"/>
            <w:bookmarkEnd w:id="18"/>
          </w:p>
        </w:tc>
        <w:tc>
          <w:tcPr>
            <w:tcW w:w="3717" w:type="dxa"/>
            <w:tcBorders>
              <w:top w:val="single" w:sz="4" w:space="0" w:color="000000"/>
              <w:left w:val="single" w:sz="4" w:space="0" w:color="000000"/>
              <w:bottom w:val="single" w:sz="4" w:space="0" w:color="000000"/>
              <w:right w:val="single" w:sz="4" w:space="0" w:color="000000"/>
            </w:tcBorders>
            <w:vAlign w:val="bottom"/>
            <w:hideMark/>
          </w:tcPr>
          <w:p w14:paraId="3C780A39" w14:textId="77777777" w:rsidR="002F03F5" w:rsidRDefault="008F23FF">
            <w:pPr>
              <w:pStyle w:val="TableRowHeader"/>
            </w:pPr>
            <w:r>
              <w:t>Type of evidence supplied</w:t>
            </w:r>
          </w:p>
        </w:tc>
        <w:tc>
          <w:tcPr>
            <w:tcW w:w="1421" w:type="dxa"/>
            <w:tcBorders>
              <w:top w:val="single" w:sz="4" w:space="0" w:color="000000"/>
              <w:left w:val="single" w:sz="4" w:space="0" w:color="000000"/>
              <w:bottom w:val="single" w:sz="4" w:space="0" w:color="000000"/>
              <w:right w:val="single" w:sz="4" w:space="0" w:color="000000"/>
            </w:tcBorders>
            <w:vAlign w:val="bottom"/>
            <w:hideMark/>
          </w:tcPr>
          <w:p w14:paraId="3C780A3A" w14:textId="77777777" w:rsidR="002F03F5" w:rsidRDefault="008F23FF">
            <w:pPr>
              <w:pStyle w:val="TableRowHeader"/>
            </w:pPr>
            <w:r>
              <w:t>Extent of evidence supplied</w:t>
            </w:r>
          </w:p>
        </w:tc>
        <w:tc>
          <w:tcPr>
            <w:tcW w:w="1170" w:type="dxa"/>
            <w:tcBorders>
              <w:top w:val="single" w:sz="4" w:space="0" w:color="000000"/>
              <w:left w:val="single" w:sz="4" w:space="0" w:color="000000"/>
              <w:bottom w:val="single" w:sz="4" w:space="0" w:color="000000"/>
              <w:right w:val="single" w:sz="4" w:space="0" w:color="000000"/>
            </w:tcBorders>
            <w:vAlign w:val="bottom"/>
            <w:hideMark/>
          </w:tcPr>
          <w:p w14:paraId="3C780A3B" w14:textId="77777777" w:rsidR="002F03F5" w:rsidRDefault="008F23FF">
            <w:pPr>
              <w:pStyle w:val="TableRowHeader"/>
            </w:pPr>
            <w:r>
              <w:t>Overall risk of bias in clinical trials</w:t>
            </w:r>
          </w:p>
        </w:tc>
        <w:tc>
          <w:tcPr>
            <w:tcW w:w="1011" w:type="dxa"/>
            <w:tcBorders>
              <w:top w:val="single" w:sz="4" w:space="0" w:color="000000"/>
              <w:left w:val="single" w:sz="4" w:space="0" w:color="000000"/>
              <w:bottom w:val="single" w:sz="4" w:space="0" w:color="000000"/>
              <w:right w:val="single" w:sz="4" w:space="0" w:color="000000"/>
            </w:tcBorders>
            <w:vAlign w:val="bottom"/>
          </w:tcPr>
          <w:p w14:paraId="3C780A3C" w14:textId="77777777" w:rsidR="002F03F5" w:rsidRDefault="008F23FF">
            <w:pPr>
              <w:pStyle w:val="TableRowHeader"/>
            </w:pPr>
            <w:r>
              <w:t>Used in economic model</w:t>
            </w:r>
          </w:p>
        </w:tc>
      </w:tr>
      <w:tr w:rsidR="002F03F5" w14:paraId="3C780A43" w14:textId="77777777" w:rsidTr="00B65D0F">
        <w:trPr>
          <w:cantSplit/>
        </w:trPr>
        <w:tc>
          <w:tcPr>
            <w:tcW w:w="1707" w:type="dxa"/>
            <w:tcBorders>
              <w:top w:val="single" w:sz="4" w:space="0" w:color="000000"/>
              <w:left w:val="single" w:sz="4" w:space="0" w:color="000000"/>
              <w:bottom w:val="single" w:sz="4" w:space="0" w:color="000000"/>
              <w:right w:val="single" w:sz="4" w:space="0" w:color="000000"/>
            </w:tcBorders>
            <w:hideMark/>
          </w:tcPr>
          <w:p w14:paraId="3C780A3E" w14:textId="77777777" w:rsidR="002F03F5" w:rsidRDefault="008F23FF">
            <w:pPr>
              <w:pStyle w:val="TableText"/>
              <w:keepNext/>
            </w:pPr>
            <w:r>
              <w:t>Accuracy and performance of the test (cross sectional accuracy)</w:t>
            </w:r>
          </w:p>
        </w:tc>
        <w:tc>
          <w:tcPr>
            <w:tcW w:w="3717" w:type="dxa"/>
            <w:tcBorders>
              <w:top w:val="single" w:sz="4" w:space="0" w:color="000000"/>
              <w:left w:val="single" w:sz="4" w:space="0" w:color="000000"/>
              <w:bottom w:val="single" w:sz="4" w:space="0" w:color="000000"/>
              <w:right w:val="single" w:sz="4" w:space="0" w:color="000000"/>
            </w:tcBorders>
            <w:hideMark/>
          </w:tcPr>
          <w:p w14:paraId="3C780A3F" w14:textId="77777777" w:rsidR="002F03F5" w:rsidRDefault="008F23FF">
            <w:pPr>
              <w:pStyle w:val="TableText"/>
              <w:keepNext/>
            </w:pPr>
            <w:r>
              <w:t xml:space="preserve">The submission did not present test validity evidence. </w:t>
            </w:r>
          </w:p>
        </w:tc>
        <w:tc>
          <w:tcPr>
            <w:tcW w:w="1421" w:type="dxa"/>
            <w:tcBorders>
              <w:top w:val="single" w:sz="4" w:space="0" w:color="000000"/>
              <w:left w:val="single" w:sz="4" w:space="0" w:color="000000"/>
              <w:bottom w:val="single" w:sz="4" w:space="0" w:color="000000"/>
              <w:right w:val="single" w:sz="4" w:space="0" w:color="000000"/>
            </w:tcBorders>
            <w:hideMark/>
          </w:tcPr>
          <w:p w14:paraId="3C780A40" w14:textId="77777777" w:rsidR="002F03F5" w:rsidRDefault="00250E7E">
            <w:pPr>
              <w:pStyle w:val="TableText"/>
              <w:keepNext/>
              <w:jc w:val="right"/>
            </w:pPr>
            <w:sdt>
              <w:sdtPr>
                <w:id w:val="1382208876"/>
                <w14:checkbox>
                  <w14:checked w14:val="1"/>
                  <w14:checkedState w14:val="2612" w14:font="MS Gothic"/>
                  <w14:uncheckedState w14:val="2610" w14:font="MS Gothic"/>
                </w14:checkbox>
              </w:sdtPr>
              <w:sdtEndPr/>
              <w:sdtContent>
                <w:r w:rsidR="008F23FF">
                  <w:rPr>
                    <w:rFonts w:ascii="MS Gothic" w:eastAsia="MS Gothic" w:hAnsi="MS Gothic"/>
                  </w:rPr>
                  <w:t>☒</w:t>
                </w:r>
              </w:sdtContent>
            </w:sdt>
            <w:r w:rsidR="008F23FF">
              <w:tab/>
              <w:t>k=0</w:t>
            </w:r>
            <w:r w:rsidR="008F23FF">
              <w:tab/>
              <w:t>n=NA</w:t>
            </w:r>
          </w:p>
        </w:tc>
        <w:tc>
          <w:tcPr>
            <w:tcW w:w="1170" w:type="dxa"/>
            <w:tcBorders>
              <w:top w:val="single" w:sz="4" w:space="0" w:color="000000"/>
              <w:left w:val="single" w:sz="4" w:space="0" w:color="000000"/>
              <w:bottom w:val="single" w:sz="4" w:space="0" w:color="000000"/>
              <w:right w:val="single" w:sz="4" w:space="0" w:color="000000"/>
            </w:tcBorders>
            <w:hideMark/>
          </w:tcPr>
          <w:p w14:paraId="3C780A41" w14:textId="77777777" w:rsidR="002F03F5" w:rsidRDefault="008F23FF">
            <w:pPr>
              <w:pStyle w:val="TableText"/>
              <w:keepNext/>
            </w:pPr>
            <w:r>
              <w:t>NA</w:t>
            </w:r>
          </w:p>
        </w:tc>
        <w:tc>
          <w:tcPr>
            <w:tcW w:w="1011" w:type="dxa"/>
            <w:tcBorders>
              <w:top w:val="single" w:sz="4" w:space="0" w:color="000000"/>
              <w:left w:val="single" w:sz="4" w:space="0" w:color="000000"/>
              <w:bottom w:val="single" w:sz="4" w:space="0" w:color="000000"/>
              <w:right w:val="single" w:sz="4" w:space="0" w:color="000000"/>
            </w:tcBorders>
          </w:tcPr>
          <w:p w14:paraId="3C780A42" w14:textId="77777777" w:rsidR="002F03F5" w:rsidRDefault="008F23FF">
            <w:pPr>
              <w:pStyle w:val="TableText"/>
              <w:keepNext/>
            </w:pPr>
            <w:r>
              <w:t>No</w:t>
            </w:r>
          </w:p>
        </w:tc>
      </w:tr>
      <w:tr w:rsidR="002F03F5" w14:paraId="3C780A49" w14:textId="77777777" w:rsidTr="00B65D0F">
        <w:trPr>
          <w:cantSplit/>
        </w:trPr>
        <w:tc>
          <w:tcPr>
            <w:tcW w:w="1707" w:type="dxa"/>
            <w:tcBorders>
              <w:top w:val="single" w:sz="4" w:space="0" w:color="000000"/>
              <w:left w:val="single" w:sz="4" w:space="0" w:color="000000"/>
              <w:bottom w:val="single" w:sz="4" w:space="0" w:color="000000"/>
              <w:right w:val="single" w:sz="4" w:space="0" w:color="000000"/>
            </w:tcBorders>
            <w:hideMark/>
          </w:tcPr>
          <w:p w14:paraId="3C780A44" w14:textId="77777777" w:rsidR="002F03F5" w:rsidRDefault="008F23FF">
            <w:pPr>
              <w:pStyle w:val="TableText"/>
              <w:keepNext/>
            </w:pPr>
            <w:r>
              <w:t>Prognostic evidence (longitudinal accuracy)</w:t>
            </w:r>
          </w:p>
        </w:tc>
        <w:tc>
          <w:tcPr>
            <w:tcW w:w="3717" w:type="dxa"/>
            <w:tcBorders>
              <w:top w:val="single" w:sz="4" w:space="0" w:color="000000"/>
              <w:left w:val="single" w:sz="4" w:space="0" w:color="000000"/>
              <w:bottom w:val="single" w:sz="4" w:space="0" w:color="000000"/>
              <w:right w:val="single" w:sz="4" w:space="0" w:color="000000"/>
            </w:tcBorders>
            <w:hideMark/>
          </w:tcPr>
          <w:p w14:paraId="3C780A45" w14:textId="5C49764C" w:rsidR="002F03F5" w:rsidRDefault="008F23FF">
            <w:pPr>
              <w:pStyle w:val="TableText"/>
              <w:keepNext/>
            </w:pPr>
            <w:r>
              <w:t xml:space="preserve">Elisei 2008 was a </w:t>
            </w:r>
            <w:proofErr w:type="gramStart"/>
            <w:r>
              <w:t>10 year</w:t>
            </w:r>
            <w:proofErr w:type="gramEnd"/>
            <w:r>
              <w:t xml:space="preserve"> retrospective study that investigated the prognostic impact of somatic</w:t>
            </w:r>
            <w:r>
              <w:rPr>
                <w:i/>
              </w:rPr>
              <w:t xml:space="preserve"> </w:t>
            </w:r>
            <w:r>
              <w:rPr>
                <w:i/>
                <w:iCs/>
              </w:rPr>
              <w:t xml:space="preserve">RET </w:t>
            </w:r>
            <w:r>
              <w:t>variants compared to</w:t>
            </w:r>
            <w:r>
              <w:rPr>
                <w:i/>
              </w:rPr>
              <w:t xml:space="preserve"> </w:t>
            </w:r>
            <w:r>
              <w:rPr>
                <w:i/>
                <w:iCs/>
              </w:rPr>
              <w:t>RET</w:t>
            </w:r>
            <w:r>
              <w:rPr>
                <w:i/>
              </w:rPr>
              <w:t xml:space="preserve"> </w:t>
            </w:r>
            <w:r>
              <w:t>wildtype in patients with MTC (N=100).</w:t>
            </w:r>
          </w:p>
        </w:tc>
        <w:tc>
          <w:tcPr>
            <w:tcW w:w="1421" w:type="dxa"/>
            <w:tcBorders>
              <w:top w:val="single" w:sz="4" w:space="0" w:color="000000"/>
              <w:left w:val="single" w:sz="4" w:space="0" w:color="000000"/>
              <w:bottom w:val="single" w:sz="4" w:space="0" w:color="000000"/>
              <w:right w:val="single" w:sz="4" w:space="0" w:color="000000"/>
            </w:tcBorders>
            <w:hideMark/>
          </w:tcPr>
          <w:p w14:paraId="3C780A46" w14:textId="77777777" w:rsidR="002F03F5" w:rsidRDefault="00250E7E">
            <w:pPr>
              <w:pStyle w:val="TableText"/>
              <w:keepNext/>
              <w:jc w:val="right"/>
            </w:pPr>
            <w:sdt>
              <w:sdtPr>
                <w:id w:val="206614631"/>
                <w14:checkbox>
                  <w14:checked w14:val="1"/>
                  <w14:checkedState w14:val="2612" w14:font="MS Gothic"/>
                  <w14:uncheckedState w14:val="2610" w14:font="MS Gothic"/>
                </w14:checkbox>
              </w:sdtPr>
              <w:sdtEndPr/>
              <w:sdtContent>
                <w:r w:rsidR="008F23FF">
                  <w:rPr>
                    <w:rFonts w:ascii="MS Gothic" w:eastAsia="MS Gothic" w:hAnsi="MS Gothic"/>
                  </w:rPr>
                  <w:t>☒</w:t>
                </w:r>
              </w:sdtContent>
            </w:sdt>
            <w:r w:rsidR="008F23FF">
              <w:tab/>
              <w:t>k=1</w:t>
            </w:r>
            <w:r w:rsidR="008F23FF">
              <w:tab/>
              <w:t>n=100</w:t>
            </w:r>
          </w:p>
        </w:tc>
        <w:tc>
          <w:tcPr>
            <w:tcW w:w="1170" w:type="dxa"/>
            <w:tcBorders>
              <w:top w:val="single" w:sz="4" w:space="0" w:color="000000"/>
              <w:left w:val="single" w:sz="4" w:space="0" w:color="000000"/>
              <w:bottom w:val="single" w:sz="4" w:space="0" w:color="000000"/>
              <w:right w:val="single" w:sz="4" w:space="0" w:color="000000"/>
            </w:tcBorders>
            <w:hideMark/>
          </w:tcPr>
          <w:p w14:paraId="3C780A47" w14:textId="77777777" w:rsidR="002F03F5" w:rsidRDefault="008F23FF">
            <w:pPr>
              <w:pStyle w:val="TableText"/>
              <w:keepNext/>
            </w:pPr>
            <w:r>
              <w:t>Low to moderate risk</w:t>
            </w:r>
          </w:p>
        </w:tc>
        <w:tc>
          <w:tcPr>
            <w:tcW w:w="1011" w:type="dxa"/>
            <w:tcBorders>
              <w:top w:val="single" w:sz="4" w:space="0" w:color="000000"/>
              <w:left w:val="single" w:sz="4" w:space="0" w:color="000000"/>
              <w:bottom w:val="single" w:sz="4" w:space="0" w:color="000000"/>
              <w:right w:val="single" w:sz="4" w:space="0" w:color="000000"/>
            </w:tcBorders>
          </w:tcPr>
          <w:p w14:paraId="3C780A48" w14:textId="77777777" w:rsidR="002F03F5" w:rsidRDefault="008F23FF">
            <w:pPr>
              <w:pStyle w:val="TableText"/>
              <w:keepNext/>
            </w:pPr>
            <w:r>
              <w:t>No</w:t>
            </w:r>
          </w:p>
        </w:tc>
      </w:tr>
      <w:tr w:rsidR="002F03F5" w14:paraId="3C780A4F" w14:textId="77777777" w:rsidTr="00B65D0F">
        <w:trPr>
          <w:cantSplit/>
        </w:trPr>
        <w:tc>
          <w:tcPr>
            <w:tcW w:w="1707" w:type="dxa"/>
            <w:tcBorders>
              <w:top w:val="single" w:sz="4" w:space="0" w:color="000000"/>
              <w:left w:val="single" w:sz="4" w:space="0" w:color="000000"/>
              <w:bottom w:val="single" w:sz="4" w:space="0" w:color="000000"/>
              <w:right w:val="single" w:sz="4" w:space="0" w:color="000000"/>
            </w:tcBorders>
            <w:hideMark/>
          </w:tcPr>
          <w:p w14:paraId="3C780A4A" w14:textId="77777777" w:rsidR="002F03F5" w:rsidRDefault="008F23FF">
            <w:pPr>
              <w:pStyle w:val="TableText"/>
              <w:keepNext/>
            </w:pPr>
            <w:r>
              <w:t xml:space="preserve">Change in patient management </w:t>
            </w:r>
          </w:p>
        </w:tc>
        <w:tc>
          <w:tcPr>
            <w:tcW w:w="3717" w:type="dxa"/>
            <w:tcBorders>
              <w:top w:val="single" w:sz="4" w:space="0" w:color="000000"/>
              <w:left w:val="single" w:sz="4" w:space="0" w:color="000000"/>
              <w:bottom w:val="single" w:sz="4" w:space="0" w:color="000000"/>
              <w:right w:val="single" w:sz="4" w:space="0" w:color="000000"/>
            </w:tcBorders>
            <w:hideMark/>
          </w:tcPr>
          <w:p w14:paraId="3C780A4B" w14:textId="77777777" w:rsidR="002F03F5" w:rsidRDefault="008F23FF">
            <w:pPr>
              <w:pStyle w:val="TableText"/>
              <w:keepNext/>
            </w:pPr>
            <w:r>
              <w:t>Local and international clinical management guidelines (Gild 2023; ESMO [Filetti 2022] and NCCN [Haddad 2022]).</w:t>
            </w:r>
          </w:p>
        </w:tc>
        <w:tc>
          <w:tcPr>
            <w:tcW w:w="1421" w:type="dxa"/>
            <w:tcBorders>
              <w:top w:val="single" w:sz="4" w:space="0" w:color="000000"/>
              <w:left w:val="single" w:sz="4" w:space="0" w:color="000000"/>
              <w:bottom w:val="single" w:sz="4" w:space="0" w:color="000000"/>
              <w:right w:val="single" w:sz="4" w:space="0" w:color="000000"/>
            </w:tcBorders>
            <w:hideMark/>
          </w:tcPr>
          <w:p w14:paraId="3C780A4C" w14:textId="77777777" w:rsidR="002F03F5" w:rsidRDefault="00250E7E">
            <w:pPr>
              <w:pStyle w:val="TableText"/>
              <w:keepNext/>
              <w:jc w:val="right"/>
            </w:pPr>
            <w:sdt>
              <w:sdtPr>
                <w:id w:val="-821041264"/>
                <w14:checkbox>
                  <w14:checked w14:val="1"/>
                  <w14:checkedState w14:val="2612" w14:font="MS Gothic"/>
                  <w14:uncheckedState w14:val="2610" w14:font="MS Gothic"/>
                </w14:checkbox>
              </w:sdtPr>
              <w:sdtEndPr/>
              <w:sdtContent>
                <w:r w:rsidR="008F23FF">
                  <w:rPr>
                    <w:rFonts w:ascii="MS Gothic" w:eastAsia="MS Gothic" w:hAnsi="MS Gothic"/>
                  </w:rPr>
                  <w:t>☒</w:t>
                </w:r>
              </w:sdtContent>
            </w:sdt>
            <w:r w:rsidR="008F23FF">
              <w:tab/>
              <w:t xml:space="preserve">k=3                                                         </w:t>
            </w:r>
            <w:r w:rsidR="008F23FF">
              <w:tab/>
              <w:t>n=NA</w:t>
            </w:r>
          </w:p>
        </w:tc>
        <w:tc>
          <w:tcPr>
            <w:tcW w:w="1170" w:type="dxa"/>
            <w:tcBorders>
              <w:top w:val="single" w:sz="4" w:space="0" w:color="000000"/>
              <w:left w:val="single" w:sz="4" w:space="0" w:color="000000"/>
              <w:bottom w:val="single" w:sz="4" w:space="0" w:color="000000"/>
              <w:right w:val="single" w:sz="4" w:space="0" w:color="000000"/>
            </w:tcBorders>
            <w:hideMark/>
          </w:tcPr>
          <w:p w14:paraId="3C780A4D" w14:textId="77777777" w:rsidR="002F03F5" w:rsidRDefault="008F23FF">
            <w:pPr>
              <w:pStyle w:val="TableText"/>
              <w:keepNext/>
            </w:pPr>
            <w:r>
              <w:t>NA</w:t>
            </w:r>
          </w:p>
        </w:tc>
        <w:tc>
          <w:tcPr>
            <w:tcW w:w="1011" w:type="dxa"/>
            <w:tcBorders>
              <w:top w:val="single" w:sz="4" w:space="0" w:color="000000"/>
              <w:left w:val="single" w:sz="4" w:space="0" w:color="000000"/>
              <w:bottom w:val="single" w:sz="4" w:space="0" w:color="000000"/>
              <w:right w:val="single" w:sz="4" w:space="0" w:color="000000"/>
            </w:tcBorders>
          </w:tcPr>
          <w:p w14:paraId="3C780A4E" w14:textId="77777777" w:rsidR="002F03F5" w:rsidRDefault="008F23FF">
            <w:pPr>
              <w:pStyle w:val="TableText"/>
              <w:keepNext/>
            </w:pPr>
            <w:r>
              <w:t>NA</w:t>
            </w:r>
          </w:p>
        </w:tc>
      </w:tr>
      <w:tr w:rsidR="002F03F5" w14:paraId="3C780A5B" w14:textId="77777777" w:rsidTr="00B65D0F">
        <w:trPr>
          <w:cantSplit/>
        </w:trPr>
        <w:tc>
          <w:tcPr>
            <w:tcW w:w="1707" w:type="dxa"/>
            <w:tcBorders>
              <w:left w:val="single" w:sz="4" w:space="0" w:color="000000"/>
              <w:bottom w:val="single" w:sz="4" w:space="0" w:color="000000"/>
              <w:right w:val="single" w:sz="4" w:space="0" w:color="000000"/>
            </w:tcBorders>
          </w:tcPr>
          <w:p w14:paraId="3C780A50" w14:textId="77777777" w:rsidR="002F03F5" w:rsidRDefault="008F23FF">
            <w:pPr>
              <w:pStyle w:val="TableText"/>
              <w:keepNext/>
            </w:pPr>
            <w:r>
              <w:t>Treatment effect (enriched)</w:t>
            </w:r>
          </w:p>
        </w:tc>
        <w:tc>
          <w:tcPr>
            <w:tcW w:w="3717" w:type="dxa"/>
            <w:tcBorders>
              <w:left w:val="single" w:sz="4" w:space="0" w:color="000000"/>
              <w:bottom w:val="single" w:sz="4" w:space="0" w:color="000000"/>
              <w:right w:val="single" w:sz="4" w:space="0" w:color="000000"/>
            </w:tcBorders>
          </w:tcPr>
          <w:p w14:paraId="3C780A51" w14:textId="2CB5FCD9" w:rsidR="002F03F5" w:rsidRDefault="008F23FF">
            <w:pPr>
              <w:pStyle w:val="TableText"/>
              <w:keepNext/>
            </w:pPr>
            <w:r>
              <w:t>A single pairwise Bucher ITC of selpercatinib from LIBRETTO-531 and placebo from EXAM informed the primary clinical claim of selpercatinib vs BSC in the</w:t>
            </w:r>
            <w:r>
              <w:rPr>
                <w:i/>
              </w:rPr>
              <w:t xml:space="preserve"> </w:t>
            </w:r>
            <w:r>
              <w:rPr>
                <w:i/>
                <w:iCs/>
              </w:rPr>
              <w:t xml:space="preserve">RET </w:t>
            </w:r>
            <w:r>
              <w:t>variant population.</w:t>
            </w:r>
          </w:p>
          <w:p w14:paraId="3C780A52" w14:textId="77777777" w:rsidR="002F03F5" w:rsidRDefault="002F03F5">
            <w:pPr>
              <w:pStyle w:val="TableText"/>
              <w:keepNext/>
            </w:pPr>
          </w:p>
          <w:p w14:paraId="3C780A53" w14:textId="30A9F87A" w:rsidR="002F03F5" w:rsidRDefault="008F23FF">
            <w:pPr>
              <w:pStyle w:val="TableText"/>
              <w:keepNext/>
            </w:pPr>
            <w:r>
              <w:t>LIBRETTO-531 was a phase III open label randomised controlled trial of selpercatinib (n=193) vs physician’s choice of cabozantinib or vandetanib (n=98) in patients with advanced or metastatic MTC who had a</w:t>
            </w:r>
            <w:r>
              <w:rPr>
                <w:i/>
              </w:rPr>
              <w:t xml:space="preserve"> </w:t>
            </w:r>
            <w:r>
              <w:rPr>
                <w:i/>
                <w:iCs/>
              </w:rPr>
              <w:t xml:space="preserve">RET </w:t>
            </w:r>
            <w:r>
              <w:t>variant (determined by NGS or PCR), with unresectable disease, documented disease progression per RECIST v1.1, and were treatment naïve to kinase inhibitors.</w:t>
            </w:r>
          </w:p>
          <w:p w14:paraId="3C780A54" w14:textId="77777777" w:rsidR="002F03F5" w:rsidRDefault="002F03F5">
            <w:pPr>
              <w:pStyle w:val="TableText"/>
              <w:keepNext/>
            </w:pPr>
          </w:p>
          <w:p w14:paraId="3C780A55" w14:textId="4BA14398" w:rsidR="002F03F5" w:rsidRDefault="008F23FF">
            <w:pPr>
              <w:pStyle w:val="TableText"/>
              <w:keepNext/>
            </w:pPr>
            <w:r>
              <w:t>EXAM was a phase III double blinded, randomised control trial of cabozantinib (n=219) vs placebo (n=111) in advanced or metastatic MTC patients irrespective of</w:t>
            </w:r>
            <w:r>
              <w:rPr>
                <w:i/>
              </w:rPr>
              <w:t xml:space="preserve"> </w:t>
            </w:r>
            <w:r>
              <w:rPr>
                <w:i/>
                <w:iCs/>
              </w:rPr>
              <w:t xml:space="preserve">RET </w:t>
            </w:r>
            <w:r>
              <w:t xml:space="preserve">variant status (determined by PCR), with unresectable disease, documented disease progression per </w:t>
            </w:r>
            <w:proofErr w:type="spellStart"/>
            <w:r>
              <w:t>mRECIST</w:t>
            </w:r>
            <w:proofErr w:type="spellEnd"/>
            <w:r>
              <w:t>, and were treatment exposed to kinase inhibitors. The</w:t>
            </w:r>
            <w:r>
              <w:rPr>
                <w:i/>
              </w:rPr>
              <w:t xml:space="preserve"> RET </w:t>
            </w:r>
            <w:r>
              <w:t>variant subgroup informed the ITC.</w:t>
            </w:r>
          </w:p>
        </w:tc>
        <w:tc>
          <w:tcPr>
            <w:tcW w:w="1421" w:type="dxa"/>
            <w:tcBorders>
              <w:left w:val="single" w:sz="4" w:space="0" w:color="000000"/>
              <w:bottom w:val="single" w:sz="4" w:space="0" w:color="000000"/>
              <w:right w:val="single" w:sz="4" w:space="0" w:color="000000"/>
            </w:tcBorders>
          </w:tcPr>
          <w:p w14:paraId="3C780A56" w14:textId="77777777" w:rsidR="002F03F5" w:rsidRDefault="00250E7E">
            <w:pPr>
              <w:pStyle w:val="TableText"/>
              <w:keepNext/>
              <w:jc w:val="right"/>
            </w:pPr>
            <w:sdt>
              <w:sdtPr>
                <w:id w:val="-459962524"/>
                <w14:checkbox>
                  <w14:checked w14:val="1"/>
                  <w14:checkedState w14:val="2612" w14:font="MS Gothic"/>
                  <w14:uncheckedState w14:val="2610" w14:font="MS Gothic"/>
                </w14:checkbox>
              </w:sdtPr>
              <w:sdtEndPr/>
              <w:sdtContent>
                <w:r w:rsidR="008F23FF">
                  <w:rPr>
                    <w:rFonts w:ascii="MS Gothic" w:eastAsia="MS Gothic" w:hAnsi="MS Gothic"/>
                  </w:rPr>
                  <w:t>☒</w:t>
                </w:r>
              </w:sdtContent>
            </w:sdt>
            <w:r w:rsidR="008F23FF">
              <w:tab/>
              <w:t>k=2</w:t>
            </w:r>
            <w:r w:rsidR="008F23FF">
              <w:tab/>
              <w:t>n=621</w:t>
            </w:r>
          </w:p>
        </w:tc>
        <w:tc>
          <w:tcPr>
            <w:tcW w:w="1170" w:type="dxa"/>
            <w:tcBorders>
              <w:left w:val="single" w:sz="4" w:space="0" w:color="000000"/>
              <w:bottom w:val="single" w:sz="4" w:space="0" w:color="000000"/>
              <w:right w:val="single" w:sz="4" w:space="0" w:color="000000"/>
            </w:tcBorders>
          </w:tcPr>
          <w:p w14:paraId="3C780A57" w14:textId="11E997A5" w:rsidR="002F03F5" w:rsidRDefault="008F23FF">
            <w:pPr>
              <w:pStyle w:val="TableText"/>
              <w:keepNext/>
            </w:pPr>
            <w:r>
              <w:t>LIBRETTO-531 low to moderate risk</w:t>
            </w:r>
          </w:p>
          <w:p w14:paraId="3C780A58" w14:textId="77777777" w:rsidR="002F03F5" w:rsidRDefault="002F03F5">
            <w:pPr>
              <w:pStyle w:val="TableText"/>
              <w:keepNext/>
            </w:pPr>
          </w:p>
          <w:p w14:paraId="3C780A59" w14:textId="77777777" w:rsidR="002F03F5" w:rsidRDefault="008F23FF">
            <w:pPr>
              <w:pStyle w:val="TableText"/>
              <w:keepNext/>
            </w:pPr>
            <w:r>
              <w:t xml:space="preserve">EXAM moderate risk </w:t>
            </w:r>
          </w:p>
        </w:tc>
        <w:tc>
          <w:tcPr>
            <w:tcW w:w="1011" w:type="dxa"/>
            <w:tcBorders>
              <w:top w:val="single" w:sz="4" w:space="0" w:color="000000"/>
              <w:left w:val="single" w:sz="4" w:space="0" w:color="000000"/>
              <w:bottom w:val="single" w:sz="4" w:space="0" w:color="000000"/>
              <w:right w:val="single" w:sz="4" w:space="0" w:color="000000"/>
            </w:tcBorders>
          </w:tcPr>
          <w:p w14:paraId="3C780A5A" w14:textId="77777777" w:rsidR="002F03F5" w:rsidRDefault="008F23FF">
            <w:pPr>
              <w:pStyle w:val="TableText"/>
              <w:keepNext/>
            </w:pPr>
            <w:r>
              <w:t xml:space="preserve">Yes </w:t>
            </w:r>
          </w:p>
        </w:tc>
      </w:tr>
    </w:tbl>
    <w:p w14:paraId="3C780A5C" w14:textId="77777777" w:rsidR="002F03F5" w:rsidRDefault="008F23FF">
      <w:pPr>
        <w:pStyle w:val="TableFooter"/>
        <w:keepNext/>
      </w:pPr>
      <w:r>
        <w:t>Source: Sections 2A to 2D of the submission</w:t>
      </w:r>
    </w:p>
    <w:p w14:paraId="3C780A5D" w14:textId="77777777" w:rsidR="002F03F5" w:rsidRDefault="008F23FF">
      <w:pPr>
        <w:pStyle w:val="TableFooter"/>
        <w:keepNext/>
      </w:pPr>
      <w:r>
        <w:t xml:space="preserve">BSC = best supportive care; ESMO = European Society for Medical Oncology; k=number of studies; ITC = indirect treatment comparison; </w:t>
      </w:r>
      <w:proofErr w:type="spellStart"/>
      <w:r>
        <w:t>mRECIST</w:t>
      </w:r>
      <w:proofErr w:type="spellEnd"/>
      <w:r>
        <w:t xml:space="preserve"> = modified Response Evaluation Criteria in Solid Tumours; MTC = medullary thyroid cancer; n=number of patients; NA = not applicable; NATA = National Association of Testing Authorities; NCCN = National Comprehensive Cancer Network; NGS = next generation sequencing; PCR = polymerase chain reaction; RECIST = Response Evaluation Criteria in Solid Tumours</w:t>
      </w:r>
    </w:p>
    <w:p w14:paraId="3C780A5E" w14:textId="77777777" w:rsidR="002F03F5" w:rsidRDefault="008F23FF">
      <w:pPr>
        <w:pStyle w:val="TableFooter"/>
        <w:keepNext/>
        <w:rPr>
          <w:u w:val="single"/>
        </w:rPr>
      </w:pPr>
      <w:r>
        <w:rPr>
          <w:u w:val="single"/>
        </w:rPr>
        <w:t>Notes:</w:t>
      </w:r>
    </w:p>
    <w:p w14:paraId="3C780A60" w14:textId="201AB0F8" w:rsidR="002F03F5" w:rsidRDefault="008F23FF" w:rsidP="002A0545">
      <w:pPr>
        <w:pStyle w:val="TableFooter"/>
        <w:keepNext/>
      </w:pPr>
      <w:r>
        <w:t>ZETA was included as a sensitivity analysis that informed the BSC arm in the indirect comparison, however, this was not relevant to the MSAC Executive Summary and will not be presented here.</w:t>
      </w:r>
    </w:p>
    <w:p w14:paraId="3C780A61" w14:textId="77777777" w:rsidR="002F03F5" w:rsidRPr="002A0545" w:rsidRDefault="008F23FF" w:rsidP="00601076">
      <w:pPr>
        <w:pStyle w:val="MSACHeading1"/>
        <w:numPr>
          <w:ilvl w:val="0"/>
          <w:numId w:val="15"/>
        </w:numPr>
        <w:ind w:hanging="720"/>
        <w:rPr>
          <w:rFonts w:ascii="Franklin Gothic Medium" w:hAnsi="Franklin Gothic Medium"/>
          <w:b w:val="0"/>
          <w:bCs w:val="0"/>
          <w:sz w:val="32"/>
          <w:szCs w:val="32"/>
        </w:rPr>
      </w:pPr>
      <w:bookmarkStart w:id="19" w:name="_Toc93322909"/>
      <w:bookmarkStart w:id="20" w:name="_Toc93044775"/>
      <w:bookmarkStart w:id="21" w:name="_Toc93322906"/>
      <w:bookmarkStart w:id="22" w:name="_Toc93044772"/>
      <w:bookmarkStart w:id="23" w:name="_Toc93322905"/>
      <w:bookmarkStart w:id="24" w:name="_Toc93044771"/>
      <w:bookmarkStart w:id="25" w:name="_Toc93322904"/>
      <w:bookmarkStart w:id="26" w:name="_Toc93044770"/>
      <w:bookmarkStart w:id="27" w:name="_Toc93322901"/>
      <w:bookmarkStart w:id="28" w:name="_Toc93044767"/>
      <w:bookmarkStart w:id="29" w:name="_Toc219898309"/>
      <w:bookmarkEnd w:id="19"/>
      <w:bookmarkEnd w:id="20"/>
      <w:bookmarkEnd w:id="21"/>
      <w:bookmarkEnd w:id="22"/>
      <w:bookmarkEnd w:id="23"/>
      <w:bookmarkEnd w:id="24"/>
      <w:bookmarkEnd w:id="25"/>
      <w:bookmarkEnd w:id="26"/>
      <w:bookmarkEnd w:id="27"/>
      <w:bookmarkEnd w:id="28"/>
      <w:r w:rsidRPr="002A0545">
        <w:rPr>
          <w:rFonts w:ascii="Franklin Gothic Medium" w:hAnsi="Franklin Gothic Medium"/>
          <w:b w:val="0"/>
          <w:bCs w:val="0"/>
          <w:sz w:val="32"/>
          <w:szCs w:val="32"/>
        </w:rPr>
        <w:t>Comparative safety</w:t>
      </w:r>
      <w:bookmarkEnd w:id="29"/>
    </w:p>
    <w:p w14:paraId="3C780A62" w14:textId="77777777" w:rsidR="002F03F5" w:rsidRPr="002A0545" w:rsidRDefault="008F23FF">
      <w:pPr>
        <w:pStyle w:val="Heading4"/>
        <w:rPr>
          <w:rFonts w:ascii="Franklin Gothic Book" w:hAnsi="Franklin Gothic Book"/>
          <w:sz w:val="22"/>
          <w:szCs w:val="22"/>
        </w:rPr>
      </w:pPr>
      <w:r w:rsidRPr="002A0545">
        <w:rPr>
          <w:rFonts w:ascii="Franklin Gothic Book" w:hAnsi="Franklin Gothic Book"/>
          <w:sz w:val="22"/>
          <w:szCs w:val="22"/>
        </w:rPr>
        <w:t>Adverse events from testing</w:t>
      </w:r>
    </w:p>
    <w:p w14:paraId="3C780A63" w14:textId="77777777" w:rsidR="002F03F5" w:rsidRPr="002A0545" w:rsidRDefault="008F23FF" w:rsidP="00594280">
      <w:pPr>
        <w:pStyle w:val="MSACESParagraph"/>
        <w:jc w:val="left"/>
        <w:rPr>
          <w:rFonts w:ascii="Franklin Gothic Book" w:hAnsi="Franklin Gothic Book"/>
          <w:sz w:val="22"/>
        </w:rPr>
      </w:pPr>
      <w:r w:rsidRPr="002A0545">
        <w:rPr>
          <w:rFonts w:ascii="Franklin Gothic Book" w:hAnsi="Franklin Gothic Book"/>
          <w:sz w:val="22"/>
        </w:rPr>
        <w:t xml:space="preserve">No test safety data was presented in the submission. </w:t>
      </w:r>
    </w:p>
    <w:p w14:paraId="3C780A64" w14:textId="609E8482" w:rsidR="002F03F5" w:rsidRPr="002A0545" w:rsidRDefault="008F23FF" w:rsidP="00594280">
      <w:pPr>
        <w:pStyle w:val="MSACESParagraph"/>
        <w:jc w:val="left"/>
        <w:rPr>
          <w:rFonts w:ascii="Franklin Gothic Book" w:hAnsi="Franklin Gothic Book"/>
          <w:sz w:val="22"/>
        </w:rPr>
      </w:pPr>
      <w:r w:rsidRPr="002A0545">
        <w:rPr>
          <w:rFonts w:ascii="Franklin Gothic Book" w:hAnsi="Franklin Gothic Book"/>
          <w:sz w:val="22"/>
        </w:rPr>
        <w:t>The submission considered that</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 xml:space="preserve">variant testing of tumour tissue was not expected to introduce new safety concerns, primarily because testing would occur following diagnosis of MTC on tumour tissue samples obtained from surgical resection, which reduces the need to biopsy (unless unresectable). The risk of a biopsy or rebiopsy was noted in the circumstance where the initial resected specimen was no longer viable, available or sufficient. </w:t>
      </w:r>
    </w:p>
    <w:p w14:paraId="3C780A65" w14:textId="6643C8F9" w:rsidR="002F03F5" w:rsidRPr="002A0545" w:rsidRDefault="008F23FF" w:rsidP="00594280">
      <w:pPr>
        <w:pStyle w:val="3-BodyText"/>
        <w:numPr>
          <w:ilvl w:val="0"/>
          <w:numId w:val="13"/>
        </w:numPr>
        <w:jc w:val="left"/>
        <w:rPr>
          <w:rFonts w:ascii="Franklin Gothic Book" w:hAnsi="Franklin Gothic Book" w:cstheme="minorHAnsi"/>
          <w:sz w:val="22"/>
        </w:rPr>
      </w:pPr>
      <w:r w:rsidRPr="002A0545">
        <w:rPr>
          <w:rFonts w:ascii="Franklin Gothic Book" w:hAnsi="Franklin Gothic Book"/>
          <w:sz w:val="22"/>
        </w:rPr>
        <w:lastRenderedPageBreak/>
        <w:t>The commentary considered that while testing at diagnosis was proposed to avoid the need for molecular report retrieval, in practice, for a patient who had a previous</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variant test and experienced progression or recurrence to stage III/IV, molecular report retrieval would still be required and thus potentially delay time to treatment. In circumstances where insufficient tissue samples were obtained or the sample is no longer viable or available (e.g. in archival tumour tissue), the commentary considered </w:t>
      </w:r>
      <w:r w:rsidRPr="002A0545">
        <w:rPr>
          <w:rFonts w:ascii="Franklin Gothic Book" w:hAnsi="Franklin Gothic Book" w:cstheme="minorHAnsi"/>
          <w:sz w:val="22"/>
        </w:rPr>
        <w:t>a rebiopsy may be performed.</w:t>
      </w:r>
      <w:r w:rsidRPr="002A0545">
        <w:rPr>
          <w:rFonts w:ascii="Franklin Gothic Book" w:hAnsi="Franklin Gothic Book"/>
          <w:sz w:val="22"/>
        </w:rPr>
        <w:t xml:space="preserve"> PCR based Sanger Sequencing performed in EXAM resulted in approximately one third of test results being unknown and was </w:t>
      </w:r>
      <w:r w:rsidRPr="002A0545">
        <w:rPr>
          <w:rFonts w:ascii="Franklin Gothic Book" w:hAnsi="Franklin Gothic Book" w:cstheme="minorHAnsi"/>
          <w:sz w:val="22"/>
        </w:rPr>
        <w:t>predominantly due to insufficient tissue sample potentially attributed to the use of archival tissue samples to determine</w:t>
      </w:r>
      <w:r w:rsidRPr="002A0545">
        <w:rPr>
          <w:rFonts w:ascii="Franklin Gothic Book" w:hAnsi="Franklin Gothic Book" w:cstheme="minorHAnsi"/>
          <w:i/>
          <w:sz w:val="22"/>
        </w:rPr>
        <w:t xml:space="preserve"> </w:t>
      </w:r>
      <w:r w:rsidR="00B14353" w:rsidRPr="00B14353">
        <w:rPr>
          <w:rFonts w:ascii="Franklin Gothic Book" w:hAnsi="Franklin Gothic Book" w:cstheme="minorHAnsi"/>
          <w:i/>
          <w:iCs/>
          <w:sz w:val="22"/>
        </w:rPr>
        <w:t>RET</w:t>
      </w:r>
      <w:r w:rsidRPr="002A0545">
        <w:rPr>
          <w:rFonts w:ascii="Franklin Gothic Book" w:hAnsi="Franklin Gothic Book" w:cstheme="minorHAnsi"/>
          <w:i/>
          <w:sz w:val="22"/>
        </w:rPr>
        <w:t xml:space="preserve"> </w:t>
      </w:r>
      <w:r w:rsidRPr="002A0545">
        <w:rPr>
          <w:rFonts w:ascii="Franklin Gothic Book" w:hAnsi="Franklin Gothic Book" w:cstheme="minorHAnsi"/>
          <w:sz w:val="22"/>
        </w:rPr>
        <w:t xml:space="preserve">variant status. </w:t>
      </w:r>
    </w:p>
    <w:p w14:paraId="3C780A66" w14:textId="50E49821" w:rsidR="002F03F5" w:rsidRPr="002A0545" w:rsidRDefault="008F23FF" w:rsidP="00594280">
      <w:pPr>
        <w:pStyle w:val="3-BodyText"/>
        <w:numPr>
          <w:ilvl w:val="0"/>
          <w:numId w:val="13"/>
        </w:numPr>
        <w:jc w:val="left"/>
        <w:rPr>
          <w:rFonts w:ascii="Franklin Gothic Book" w:hAnsi="Franklin Gothic Book" w:cstheme="minorHAnsi"/>
          <w:sz w:val="22"/>
        </w:rPr>
      </w:pPr>
      <w:r w:rsidRPr="002A0545">
        <w:rPr>
          <w:rFonts w:ascii="Franklin Gothic Book" w:hAnsi="Franklin Gothic Book" w:cstheme="minorHAnsi"/>
          <w:sz w:val="22"/>
        </w:rPr>
        <w:t xml:space="preserve">Furthermore, for some patients there may be an extended </w:t>
      </w:r>
      <w:proofErr w:type="gramStart"/>
      <w:r w:rsidRPr="002A0545">
        <w:rPr>
          <w:rFonts w:ascii="Franklin Gothic Book" w:hAnsi="Franklin Gothic Book" w:cstheme="minorHAnsi"/>
          <w:sz w:val="22"/>
        </w:rPr>
        <w:t>period of time</w:t>
      </w:r>
      <w:proofErr w:type="gramEnd"/>
      <w:r w:rsidRPr="002A0545">
        <w:rPr>
          <w:rFonts w:ascii="Franklin Gothic Book" w:hAnsi="Franklin Gothic Book" w:cstheme="minorHAnsi"/>
          <w:sz w:val="22"/>
        </w:rPr>
        <w:t xml:space="preserve"> from when surgical resection was performed (and MTC diagnosed) and when the patient progresses to locally advanced or metastatic MTC. In these cases, rebiopsy may be considered to discern whether the tumour is metastatic disease or a different primary tumour. Even if metastatic disease is confirmed, retrieval of previous specimens/reports may not be available due to the progression of time. </w:t>
      </w:r>
      <w:r w:rsidRPr="002A0545">
        <w:rPr>
          <w:rFonts w:ascii="Franklin Gothic Book" w:hAnsi="Franklin Gothic Book"/>
          <w:sz w:val="22"/>
        </w:rPr>
        <w:t xml:space="preserve">The commentary also noted the submission did not consider the possibility of developing resistance to treatment, for example, following disease recurrence or progression on treatment. In this circumstance, a second test may be considered (as is permitted under the proposed MBS item descriptor) and </w:t>
      </w:r>
      <w:r w:rsidRPr="002A0545">
        <w:rPr>
          <w:rFonts w:ascii="Franklin Gothic Book" w:hAnsi="Franklin Gothic Book" w:cstheme="minorHAnsi"/>
          <w:sz w:val="22"/>
        </w:rPr>
        <w:t>rebiopsy may be required; however, the likelihood or frequency of this was uncertain.</w:t>
      </w:r>
    </w:p>
    <w:p w14:paraId="3C780A67" w14:textId="77777777" w:rsidR="002F03F5" w:rsidRPr="002A0545" w:rsidRDefault="008F23FF" w:rsidP="00594280">
      <w:pPr>
        <w:pStyle w:val="Heading4"/>
        <w:rPr>
          <w:rFonts w:ascii="Franklin Gothic Book" w:hAnsi="Franklin Gothic Book"/>
          <w:sz w:val="22"/>
          <w:szCs w:val="22"/>
        </w:rPr>
      </w:pPr>
      <w:r w:rsidRPr="002A0545">
        <w:rPr>
          <w:rFonts w:ascii="Franklin Gothic Book" w:hAnsi="Franklin Gothic Book"/>
          <w:sz w:val="22"/>
          <w:szCs w:val="22"/>
        </w:rPr>
        <w:t>Adverse events from changes in management</w:t>
      </w:r>
    </w:p>
    <w:p w14:paraId="3C780A68" w14:textId="4A28E0C5" w:rsidR="002F03F5" w:rsidRPr="002A0545" w:rsidRDefault="008F23FF" w:rsidP="00594280">
      <w:pPr>
        <w:pStyle w:val="MSACESParagraph"/>
        <w:jc w:val="left"/>
        <w:rPr>
          <w:rFonts w:ascii="Franklin Gothic Book" w:hAnsi="Franklin Gothic Book"/>
          <w:sz w:val="22"/>
        </w:rPr>
      </w:pPr>
      <w:r w:rsidRPr="002A0545">
        <w:rPr>
          <w:rFonts w:ascii="Franklin Gothic Book" w:hAnsi="Franklin Gothic Book"/>
          <w:sz w:val="22"/>
        </w:rPr>
        <w:t>The</w:t>
      </w:r>
      <w:r w:rsidRPr="002A0545">
        <w:rPr>
          <w:rFonts w:ascii="Franklin Gothic Book" w:hAnsi="Franklin Gothic Book"/>
          <w:i/>
          <w:iCs/>
          <w:sz w:val="22"/>
        </w:rPr>
        <w:t xml:space="preserve"> </w:t>
      </w:r>
      <w:r w:rsidRPr="002A0545">
        <w:rPr>
          <w:rFonts w:ascii="Franklin Gothic Book" w:hAnsi="Franklin Gothic Book"/>
          <w:sz w:val="22"/>
        </w:rPr>
        <w:t>adverse events (AEs) in LIBRETTO-531 (selpercatinib vs cabozantinib or vandetanib)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patients and EXAM (cabozantinib vs placebo) in patients irrespective of</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 xml:space="preserve">variant status are presented in </w:t>
      </w:r>
      <w:r w:rsidRPr="002A0545">
        <w:rPr>
          <w:rFonts w:ascii="Franklin Gothic Book" w:hAnsi="Franklin Gothic Book"/>
          <w:sz w:val="22"/>
        </w:rPr>
        <w:fldChar w:fldCharType="begin"/>
      </w:r>
      <w:r w:rsidRPr="002A0545">
        <w:rPr>
          <w:rFonts w:ascii="Franklin Gothic Book" w:hAnsi="Franklin Gothic Book"/>
          <w:sz w:val="22"/>
        </w:rPr>
        <w:instrText xml:space="preserve"> REF _Ref216360422 \h </w:instrText>
      </w:r>
      <w:r w:rsidR="002A0545" w:rsidRPr="002A0545">
        <w:rPr>
          <w:rFonts w:ascii="Franklin Gothic Book" w:hAnsi="Franklin Gothic Book"/>
          <w:sz w:val="22"/>
        </w:rPr>
        <w:instrText xml:space="preserve"> \* MERGEFORMAT </w:instrText>
      </w:r>
      <w:r w:rsidRPr="002A0545">
        <w:rPr>
          <w:rFonts w:ascii="Franklin Gothic Book" w:hAnsi="Franklin Gothic Book"/>
          <w:sz w:val="22"/>
        </w:rPr>
      </w:r>
      <w:r w:rsidRPr="002A0545">
        <w:rPr>
          <w:rFonts w:ascii="Franklin Gothic Book" w:hAnsi="Franklin Gothic Book"/>
          <w:sz w:val="22"/>
        </w:rPr>
        <w:fldChar w:fldCharType="separate"/>
      </w:r>
      <w:r w:rsidR="005B2039" w:rsidRPr="00687588">
        <w:rPr>
          <w:rFonts w:ascii="Franklin Gothic Book" w:hAnsi="Franklin Gothic Book"/>
          <w:sz w:val="22"/>
        </w:rPr>
        <w:t>Table 5</w:t>
      </w:r>
      <w:r w:rsidR="005B2039">
        <w:t xml:space="preserve"> </w:t>
      </w:r>
      <w:r w:rsidR="005B2039" w:rsidRPr="00687588">
        <w:rPr>
          <w:rFonts w:ascii="Franklin Gothic Book" w:hAnsi="Franklin Gothic Book"/>
          <w:sz w:val="22"/>
        </w:rPr>
        <w:t>1</w:t>
      </w:r>
      <w:r w:rsidRPr="002A0545">
        <w:rPr>
          <w:rFonts w:ascii="Franklin Gothic Book" w:hAnsi="Franklin Gothic Book"/>
          <w:sz w:val="22"/>
        </w:rPr>
        <w:fldChar w:fldCharType="end"/>
      </w:r>
      <w:r w:rsidRPr="002A0545">
        <w:rPr>
          <w:rFonts w:ascii="Franklin Gothic Book" w:hAnsi="Franklin Gothic Book"/>
          <w:sz w:val="22"/>
        </w:rPr>
        <w:t xml:space="preserve">. The placebo arm from EXAM represented BSC in the submission, which the commentary considered reasonable. </w:t>
      </w:r>
    </w:p>
    <w:p w14:paraId="3C780A69" w14:textId="0AB385F6" w:rsidR="002F03F5" w:rsidRDefault="00CF28BD" w:rsidP="00CF28BD">
      <w:pPr>
        <w:pStyle w:val="Caption"/>
      </w:pPr>
      <w:bookmarkStart w:id="30" w:name="_Ref216360422"/>
      <w:r>
        <w:t xml:space="preserve">Table </w:t>
      </w:r>
      <w:r>
        <w:fldChar w:fldCharType="begin"/>
      </w:r>
      <w:r>
        <w:instrText>SEQ Table \* ARABIC</w:instrText>
      </w:r>
      <w:r>
        <w:fldChar w:fldCharType="separate"/>
      </w:r>
      <w:r w:rsidR="005B2039">
        <w:rPr>
          <w:noProof/>
        </w:rPr>
        <w:t>5</w:t>
      </w:r>
      <w:r>
        <w:fldChar w:fldCharType="end"/>
      </w:r>
      <w:r>
        <w:t xml:space="preserve"> </w:t>
      </w:r>
      <w:r>
        <w:fldChar w:fldCharType="begin"/>
      </w:r>
      <w:r>
        <w:instrText>SEQ Table_MSAC. \* ARABIC</w:instrText>
      </w:r>
      <w:r>
        <w:fldChar w:fldCharType="separate"/>
      </w:r>
      <w:r w:rsidR="005B2039">
        <w:rPr>
          <w:noProof/>
        </w:rPr>
        <w:t>1</w:t>
      </w:r>
      <w:r>
        <w:fldChar w:fldCharType="end"/>
      </w:r>
      <w:bookmarkEnd w:id="30"/>
      <w:r w:rsidR="008F23FF">
        <w:t>Summary of safety results LIBRETTO-531 and EXAM (SAS)</w:t>
      </w:r>
    </w:p>
    <w:tbl>
      <w:tblPr>
        <w:tblW w:w="5000" w:type="pct"/>
        <w:tblLayout w:type="fixed"/>
        <w:tblCellMar>
          <w:left w:w="5" w:type="dxa"/>
          <w:right w:w="5" w:type="dxa"/>
        </w:tblCellMar>
        <w:tblLook w:val="04A0" w:firstRow="1" w:lastRow="0" w:firstColumn="1" w:lastColumn="0" w:noHBand="0" w:noVBand="1"/>
      </w:tblPr>
      <w:tblGrid>
        <w:gridCol w:w="2423"/>
        <w:gridCol w:w="1283"/>
        <w:gridCol w:w="1283"/>
        <w:gridCol w:w="1283"/>
        <w:gridCol w:w="1283"/>
        <w:gridCol w:w="1461"/>
      </w:tblGrid>
      <w:tr w:rsidR="002F03F5" w14:paraId="3C780A6E" w14:textId="77777777" w:rsidTr="00B65D0F">
        <w:trPr>
          <w:tblHeader/>
        </w:trPr>
        <w:tc>
          <w:tcPr>
            <w:tcW w:w="2427" w:type="dxa"/>
            <w:tcBorders>
              <w:top w:val="single" w:sz="4" w:space="0" w:color="000000"/>
              <w:left w:val="single" w:sz="4" w:space="0" w:color="000000"/>
              <w:bottom w:val="single" w:sz="4" w:space="0" w:color="000000"/>
              <w:right w:val="single" w:sz="4" w:space="0" w:color="000000"/>
            </w:tcBorders>
            <w:vAlign w:val="center"/>
          </w:tcPr>
          <w:p w14:paraId="3C780A6A" w14:textId="77777777" w:rsidR="002F03F5" w:rsidRDefault="002F03F5">
            <w:pPr>
              <w:pStyle w:val="TableRowHeader"/>
              <w:keepNext/>
            </w:pP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14:paraId="3C780A6B" w14:textId="20EFDDE4" w:rsidR="002F03F5" w:rsidRDefault="008F23FF">
            <w:pPr>
              <w:pStyle w:val="TableRowHeader"/>
              <w:keepNext/>
            </w:pPr>
            <w:r>
              <w:t>LIBRETTO-531</w:t>
            </w:r>
          </w:p>
        </w:tc>
        <w:tc>
          <w:tcPr>
            <w:tcW w:w="2568" w:type="dxa"/>
            <w:gridSpan w:val="2"/>
            <w:tcBorders>
              <w:top w:val="single" w:sz="4" w:space="0" w:color="000000"/>
              <w:left w:val="single" w:sz="4" w:space="0" w:color="000000"/>
              <w:bottom w:val="single" w:sz="4" w:space="0" w:color="000000"/>
              <w:right w:val="single" w:sz="4" w:space="0" w:color="000000"/>
            </w:tcBorders>
            <w:vAlign w:val="center"/>
          </w:tcPr>
          <w:p w14:paraId="3C780A6C" w14:textId="77777777" w:rsidR="002F03F5" w:rsidRDefault="008F23FF">
            <w:pPr>
              <w:pStyle w:val="TableRowHeader"/>
              <w:keepNext/>
            </w:pPr>
            <w:r>
              <w:t xml:space="preserve">EXAM </w:t>
            </w:r>
          </w:p>
        </w:tc>
        <w:tc>
          <w:tcPr>
            <w:tcW w:w="1463" w:type="dxa"/>
            <w:tcBorders>
              <w:top w:val="single" w:sz="4" w:space="0" w:color="000000"/>
              <w:left w:val="single" w:sz="4" w:space="0" w:color="000000"/>
              <w:bottom w:val="single" w:sz="4" w:space="0" w:color="000000"/>
              <w:right w:val="single" w:sz="4" w:space="0" w:color="000000"/>
            </w:tcBorders>
            <w:vAlign w:val="center"/>
          </w:tcPr>
          <w:p w14:paraId="3C780A6D" w14:textId="77777777" w:rsidR="002F03F5" w:rsidRDefault="008F23FF">
            <w:pPr>
              <w:pStyle w:val="TableRowHeader"/>
              <w:keepNext/>
            </w:pPr>
            <w:r>
              <w:t>RD % (95% CI)</w:t>
            </w:r>
          </w:p>
        </w:tc>
      </w:tr>
      <w:tr w:rsidR="002F03F5" w14:paraId="3C780A78" w14:textId="77777777" w:rsidTr="00B65D0F">
        <w:trPr>
          <w:tblHeader/>
        </w:trPr>
        <w:tc>
          <w:tcPr>
            <w:tcW w:w="2427" w:type="dxa"/>
            <w:tcBorders>
              <w:top w:val="single" w:sz="4" w:space="0" w:color="000000"/>
              <w:left w:val="single" w:sz="4" w:space="0" w:color="000000"/>
              <w:bottom w:val="single" w:sz="4" w:space="0" w:color="000000"/>
              <w:right w:val="single" w:sz="4" w:space="0" w:color="000000"/>
            </w:tcBorders>
            <w:vAlign w:val="center"/>
          </w:tcPr>
          <w:p w14:paraId="3C780A6F" w14:textId="77777777" w:rsidR="002F03F5" w:rsidRDefault="008F23FF">
            <w:pPr>
              <w:pStyle w:val="TableRowHeader"/>
              <w:keepNext/>
            </w:pPr>
            <w:r>
              <w:t>AE</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70" w14:textId="77777777" w:rsidR="002F03F5" w:rsidRDefault="008F23FF">
            <w:pPr>
              <w:pStyle w:val="TableRowHeader"/>
              <w:keepNext/>
            </w:pPr>
            <w:r>
              <w:t>SELP</w:t>
            </w:r>
          </w:p>
          <w:p w14:paraId="3C780A71" w14:textId="77777777" w:rsidR="002F03F5" w:rsidRDefault="008F23FF">
            <w:pPr>
              <w:pStyle w:val="TableRowHeader"/>
              <w:keepNext/>
            </w:pPr>
            <w:r>
              <w:t>(N=193)</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72" w14:textId="77777777" w:rsidR="002F03F5" w:rsidRDefault="008F23FF">
            <w:pPr>
              <w:pStyle w:val="TableRowHeader"/>
              <w:keepNext/>
            </w:pPr>
            <w:r>
              <w:t>CABO/VAND (N=97)</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73" w14:textId="77777777" w:rsidR="002F03F5" w:rsidRDefault="008F23FF">
            <w:pPr>
              <w:pStyle w:val="TableRowHeader"/>
              <w:keepNext/>
            </w:pPr>
            <w:r>
              <w:t>CABO</w:t>
            </w:r>
          </w:p>
          <w:p w14:paraId="3C780A74" w14:textId="77777777" w:rsidR="002F03F5" w:rsidRDefault="008F23FF">
            <w:pPr>
              <w:pStyle w:val="TableRowHeader"/>
              <w:keepNext/>
            </w:pPr>
            <w:r>
              <w:t>(N=214)</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75" w14:textId="77777777" w:rsidR="002F03F5" w:rsidRDefault="008F23FF">
            <w:pPr>
              <w:pStyle w:val="TableRowHeader"/>
              <w:keepNext/>
            </w:pPr>
            <w:r>
              <w:t xml:space="preserve">PBO </w:t>
            </w:r>
          </w:p>
          <w:p w14:paraId="3C780A76" w14:textId="77777777" w:rsidR="002F03F5" w:rsidRDefault="008F23FF">
            <w:pPr>
              <w:pStyle w:val="TableRowHeader"/>
              <w:keepNext/>
            </w:pPr>
            <w:r>
              <w:t>(N=109)</w:t>
            </w:r>
          </w:p>
        </w:tc>
        <w:tc>
          <w:tcPr>
            <w:tcW w:w="1463" w:type="dxa"/>
            <w:tcBorders>
              <w:top w:val="single" w:sz="4" w:space="0" w:color="000000"/>
              <w:left w:val="single" w:sz="4" w:space="0" w:color="000000"/>
              <w:bottom w:val="single" w:sz="4" w:space="0" w:color="000000"/>
              <w:right w:val="single" w:sz="4" w:space="0" w:color="000000"/>
            </w:tcBorders>
            <w:vAlign w:val="center"/>
          </w:tcPr>
          <w:p w14:paraId="3C780A77" w14:textId="77777777" w:rsidR="002F03F5" w:rsidRDefault="008F23FF">
            <w:pPr>
              <w:pStyle w:val="TableRowHeader"/>
              <w:keepNext/>
            </w:pPr>
            <w:r>
              <w:t>SELP vs PBO</w:t>
            </w:r>
          </w:p>
        </w:tc>
      </w:tr>
      <w:tr w:rsidR="002F03F5" w14:paraId="3C780A7F" w14:textId="77777777" w:rsidTr="00B65D0F">
        <w:tc>
          <w:tcPr>
            <w:tcW w:w="2427" w:type="dxa"/>
            <w:tcBorders>
              <w:top w:val="single" w:sz="4" w:space="0" w:color="000000"/>
              <w:left w:val="single" w:sz="4" w:space="0" w:color="000000"/>
              <w:bottom w:val="single" w:sz="4" w:space="0" w:color="000000"/>
              <w:right w:val="single" w:sz="4" w:space="0" w:color="000000"/>
            </w:tcBorders>
            <w:vAlign w:val="center"/>
          </w:tcPr>
          <w:p w14:paraId="3C780A79" w14:textId="77777777" w:rsidR="002F03F5" w:rsidRDefault="008F23FF">
            <w:pPr>
              <w:pStyle w:val="TableText"/>
              <w:keepNext/>
              <w:rPr>
                <w:lang w:eastAsia="en-AU"/>
              </w:rPr>
            </w:pPr>
            <w:r>
              <w:rPr>
                <w:lang w:eastAsia="en-AU"/>
              </w:rPr>
              <w:t>Any TEAE</w:t>
            </w:r>
          </w:p>
        </w:tc>
        <w:tc>
          <w:tcPr>
            <w:tcW w:w="128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780A7A" w14:textId="77777777" w:rsidR="002F03F5" w:rsidRDefault="008F23FF">
            <w:pPr>
              <w:pStyle w:val="TableText"/>
              <w:keepNext/>
              <w:jc w:val="center"/>
              <w:rPr>
                <w:bCs/>
                <w:lang w:eastAsia="en-AU"/>
              </w:rPr>
            </w:pPr>
            <w:r>
              <w:t>192 (99.5)</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7B" w14:textId="77777777" w:rsidR="002F03F5" w:rsidRDefault="008F23FF">
            <w:pPr>
              <w:pStyle w:val="TableText"/>
              <w:keepNext/>
              <w:jc w:val="center"/>
              <w:rPr>
                <w:bCs/>
                <w:lang w:eastAsia="en-AU"/>
              </w:rPr>
            </w:pPr>
            <w:r>
              <w:t>96 (99.0)</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7C" w14:textId="77777777" w:rsidR="002F03F5" w:rsidRDefault="008F23FF">
            <w:pPr>
              <w:pStyle w:val="TableText"/>
              <w:keepNext/>
              <w:jc w:val="center"/>
              <w:rPr>
                <w:lang w:eastAsia="en-AU"/>
              </w:rPr>
            </w:pPr>
            <w:r>
              <w:rPr>
                <w:lang w:eastAsia="en-AU"/>
              </w:rPr>
              <w:t>214 (100)</w:t>
            </w:r>
          </w:p>
        </w:tc>
        <w:tc>
          <w:tcPr>
            <w:tcW w:w="128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780A7D" w14:textId="77777777" w:rsidR="002F03F5" w:rsidRDefault="008F23FF">
            <w:pPr>
              <w:pStyle w:val="TableText"/>
              <w:keepNext/>
              <w:jc w:val="center"/>
              <w:rPr>
                <w:lang w:eastAsia="en-AU"/>
              </w:rPr>
            </w:pPr>
            <w:r>
              <w:rPr>
                <w:lang w:eastAsia="en-AU"/>
              </w:rPr>
              <w:t>104 (95)</w:t>
            </w:r>
          </w:p>
        </w:tc>
        <w:tc>
          <w:tcPr>
            <w:tcW w:w="1463" w:type="dxa"/>
            <w:tcBorders>
              <w:top w:val="single" w:sz="4" w:space="0" w:color="000000"/>
              <w:left w:val="single" w:sz="4" w:space="0" w:color="000000"/>
              <w:bottom w:val="single" w:sz="4" w:space="0" w:color="000000"/>
              <w:right w:val="single" w:sz="4" w:space="0" w:color="000000"/>
            </w:tcBorders>
            <w:vAlign w:val="center"/>
          </w:tcPr>
          <w:p w14:paraId="3C780A7E" w14:textId="77777777" w:rsidR="002F03F5" w:rsidRDefault="008F23FF">
            <w:pPr>
              <w:pStyle w:val="TableText"/>
              <w:keepNext/>
              <w:jc w:val="center"/>
              <w:rPr>
                <w:b/>
                <w:bCs/>
                <w:lang w:eastAsia="en-AU"/>
              </w:rPr>
            </w:pPr>
            <w:r>
              <w:rPr>
                <w:b/>
                <w:bCs/>
              </w:rPr>
              <w:t>5.1 (0.6, 9.6)</w:t>
            </w:r>
          </w:p>
        </w:tc>
      </w:tr>
      <w:tr w:rsidR="002F03F5" w14:paraId="3C780A86" w14:textId="77777777" w:rsidTr="00B65D0F">
        <w:tc>
          <w:tcPr>
            <w:tcW w:w="2427" w:type="dxa"/>
            <w:tcBorders>
              <w:top w:val="single" w:sz="4" w:space="0" w:color="000000"/>
              <w:left w:val="single" w:sz="4" w:space="0" w:color="000000"/>
              <w:bottom w:val="single" w:sz="4" w:space="0" w:color="000000"/>
              <w:right w:val="single" w:sz="4" w:space="0" w:color="000000"/>
            </w:tcBorders>
            <w:vAlign w:val="center"/>
          </w:tcPr>
          <w:p w14:paraId="3C780A80" w14:textId="77777777" w:rsidR="002F03F5" w:rsidRDefault="008F23FF">
            <w:pPr>
              <w:pStyle w:val="TableText"/>
              <w:keepNext/>
              <w:ind w:left="144"/>
              <w:rPr>
                <w:lang w:eastAsia="en-AU"/>
              </w:rPr>
            </w:pPr>
            <w:r>
              <w:rPr>
                <w:lang w:eastAsia="en-AU"/>
              </w:rPr>
              <w:t>Treatment related</w:t>
            </w:r>
          </w:p>
        </w:tc>
        <w:tc>
          <w:tcPr>
            <w:tcW w:w="128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780A81" w14:textId="77777777" w:rsidR="002F03F5" w:rsidRDefault="008F23FF">
            <w:pPr>
              <w:pStyle w:val="TableText"/>
              <w:keepNext/>
              <w:jc w:val="center"/>
              <w:rPr>
                <w:bCs/>
                <w:lang w:eastAsia="en-AU"/>
              </w:rPr>
            </w:pPr>
            <w:r>
              <w:t>178 (92.2)</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82" w14:textId="77777777" w:rsidR="002F03F5" w:rsidRDefault="008F23FF">
            <w:pPr>
              <w:pStyle w:val="TableText"/>
              <w:keepNext/>
              <w:jc w:val="center"/>
              <w:rPr>
                <w:bCs/>
                <w:lang w:eastAsia="en-AU"/>
              </w:rPr>
            </w:pPr>
            <w:r>
              <w:t>95 (97.9)</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83" w14:textId="77777777" w:rsidR="002F03F5" w:rsidRDefault="008F23FF">
            <w:pPr>
              <w:pStyle w:val="TableText"/>
              <w:keepNext/>
              <w:jc w:val="center"/>
              <w:rPr>
                <w:lang w:eastAsia="en-AU"/>
              </w:rPr>
            </w:pPr>
            <w:r>
              <w:rPr>
                <w:lang w:eastAsia="en-AU"/>
              </w:rPr>
              <w:t>NR</w:t>
            </w:r>
          </w:p>
        </w:tc>
        <w:tc>
          <w:tcPr>
            <w:tcW w:w="128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780A84" w14:textId="77777777" w:rsidR="002F03F5" w:rsidRDefault="008F23FF">
            <w:pPr>
              <w:pStyle w:val="TableText"/>
              <w:keepNext/>
              <w:jc w:val="center"/>
              <w:rPr>
                <w:lang w:eastAsia="en-AU"/>
              </w:rPr>
            </w:pPr>
            <w:r>
              <w:rPr>
                <w:lang w:eastAsia="en-AU"/>
              </w:rPr>
              <w:t>NR</w:t>
            </w:r>
          </w:p>
        </w:tc>
        <w:tc>
          <w:tcPr>
            <w:tcW w:w="1463" w:type="dxa"/>
            <w:tcBorders>
              <w:top w:val="single" w:sz="4" w:space="0" w:color="000000"/>
              <w:left w:val="single" w:sz="4" w:space="0" w:color="000000"/>
              <w:bottom w:val="single" w:sz="4" w:space="0" w:color="000000"/>
              <w:right w:val="single" w:sz="4" w:space="0" w:color="000000"/>
            </w:tcBorders>
            <w:vAlign w:val="center"/>
          </w:tcPr>
          <w:p w14:paraId="3C780A85" w14:textId="77777777" w:rsidR="002F03F5" w:rsidRDefault="008F23FF">
            <w:pPr>
              <w:pStyle w:val="TableText"/>
              <w:keepNext/>
              <w:jc w:val="center"/>
              <w:rPr>
                <w:lang w:eastAsia="en-AU"/>
              </w:rPr>
            </w:pPr>
            <w:r>
              <w:t>NE</w:t>
            </w:r>
          </w:p>
        </w:tc>
      </w:tr>
      <w:tr w:rsidR="002F03F5" w14:paraId="3C780A8D" w14:textId="77777777" w:rsidTr="00B65D0F">
        <w:tc>
          <w:tcPr>
            <w:tcW w:w="2427" w:type="dxa"/>
            <w:tcBorders>
              <w:top w:val="single" w:sz="4" w:space="0" w:color="000000"/>
              <w:left w:val="single" w:sz="4" w:space="0" w:color="000000"/>
              <w:bottom w:val="single" w:sz="4" w:space="0" w:color="000000"/>
              <w:right w:val="single" w:sz="4" w:space="0" w:color="000000"/>
            </w:tcBorders>
            <w:vAlign w:val="center"/>
          </w:tcPr>
          <w:p w14:paraId="3C780A87" w14:textId="77777777" w:rsidR="002F03F5" w:rsidRDefault="008F23FF">
            <w:pPr>
              <w:pStyle w:val="TableText"/>
              <w:keepNext/>
              <w:rPr>
                <w:lang w:eastAsia="en-AU"/>
              </w:rPr>
            </w:pPr>
            <w:r>
              <w:rPr>
                <w:lang w:eastAsia="en-AU"/>
              </w:rPr>
              <w:t>Grade ≥3 TEAE</w:t>
            </w:r>
          </w:p>
        </w:tc>
        <w:tc>
          <w:tcPr>
            <w:tcW w:w="128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780A88" w14:textId="77777777" w:rsidR="002F03F5" w:rsidRDefault="008F23FF">
            <w:pPr>
              <w:pStyle w:val="TableText"/>
              <w:keepNext/>
              <w:jc w:val="center"/>
              <w:rPr>
                <w:bCs/>
                <w:lang w:eastAsia="en-AU"/>
              </w:rPr>
            </w:pPr>
            <w:r>
              <w:t>119 (61.7)</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89" w14:textId="77777777" w:rsidR="002F03F5" w:rsidRDefault="008F23FF">
            <w:pPr>
              <w:pStyle w:val="TableText"/>
              <w:keepNext/>
              <w:jc w:val="center"/>
              <w:rPr>
                <w:bCs/>
                <w:lang w:eastAsia="en-AU"/>
              </w:rPr>
            </w:pPr>
            <w:r>
              <w:t>79 (81.4)</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8A" w14:textId="77777777" w:rsidR="002F03F5" w:rsidRDefault="008F23FF">
            <w:pPr>
              <w:pStyle w:val="TableText"/>
              <w:keepNext/>
              <w:jc w:val="center"/>
              <w:rPr>
                <w:lang w:eastAsia="en-AU"/>
              </w:rPr>
            </w:pPr>
            <w:r>
              <w:rPr>
                <w:lang w:eastAsia="en-AU"/>
              </w:rPr>
              <w:t>167 (78)</w:t>
            </w:r>
          </w:p>
        </w:tc>
        <w:tc>
          <w:tcPr>
            <w:tcW w:w="128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780A8B" w14:textId="77777777" w:rsidR="002F03F5" w:rsidRDefault="008F23FF">
            <w:pPr>
              <w:pStyle w:val="TableText"/>
              <w:keepNext/>
              <w:jc w:val="center"/>
              <w:rPr>
                <w:lang w:eastAsia="en-AU"/>
              </w:rPr>
            </w:pPr>
            <w:r>
              <w:rPr>
                <w:lang w:eastAsia="en-AU"/>
              </w:rPr>
              <w:t>36 (33)</w:t>
            </w:r>
          </w:p>
        </w:tc>
        <w:tc>
          <w:tcPr>
            <w:tcW w:w="1463" w:type="dxa"/>
            <w:tcBorders>
              <w:top w:val="single" w:sz="4" w:space="0" w:color="000000"/>
              <w:left w:val="single" w:sz="4" w:space="0" w:color="000000"/>
              <w:bottom w:val="single" w:sz="4" w:space="0" w:color="000000"/>
              <w:right w:val="single" w:sz="4" w:space="0" w:color="000000"/>
            </w:tcBorders>
            <w:vAlign w:val="center"/>
          </w:tcPr>
          <w:p w14:paraId="3C780A8C" w14:textId="77777777" w:rsidR="002F03F5" w:rsidRDefault="008F23FF">
            <w:pPr>
              <w:pStyle w:val="TableText"/>
              <w:keepNext/>
              <w:jc w:val="center"/>
              <w:rPr>
                <w:b/>
                <w:bCs/>
                <w:lang w:eastAsia="en-AU"/>
              </w:rPr>
            </w:pPr>
            <w:r>
              <w:rPr>
                <w:b/>
                <w:bCs/>
              </w:rPr>
              <w:t>25.2 (10.6, 39.9)</w:t>
            </w:r>
          </w:p>
        </w:tc>
      </w:tr>
      <w:tr w:rsidR="002F03F5" w14:paraId="3C780A94" w14:textId="77777777" w:rsidTr="00B65D0F">
        <w:tc>
          <w:tcPr>
            <w:tcW w:w="2427" w:type="dxa"/>
            <w:tcBorders>
              <w:top w:val="single" w:sz="4" w:space="0" w:color="000000"/>
              <w:left w:val="single" w:sz="4" w:space="0" w:color="000000"/>
              <w:bottom w:val="single" w:sz="4" w:space="0" w:color="000000"/>
              <w:right w:val="single" w:sz="4" w:space="0" w:color="000000"/>
            </w:tcBorders>
            <w:vAlign w:val="center"/>
          </w:tcPr>
          <w:p w14:paraId="3C780A8E" w14:textId="77777777" w:rsidR="002F03F5" w:rsidRDefault="008F23FF">
            <w:pPr>
              <w:pStyle w:val="TableText"/>
              <w:keepNext/>
              <w:ind w:left="144"/>
              <w:rPr>
                <w:lang w:eastAsia="en-AU"/>
              </w:rPr>
            </w:pPr>
            <w:r>
              <w:rPr>
                <w:lang w:eastAsia="en-AU"/>
              </w:rPr>
              <w:t>Treatment related</w:t>
            </w:r>
          </w:p>
        </w:tc>
        <w:tc>
          <w:tcPr>
            <w:tcW w:w="128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780A8F" w14:textId="77777777" w:rsidR="002F03F5" w:rsidRDefault="008F23FF">
            <w:pPr>
              <w:pStyle w:val="TableText"/>
              <w:keepNext/>
              <w:jc w:val="center"/>
              <w:rPr>
                <w:bCs/>
                <w:lang w:eastAsia="en-AU"/>
              </w:rPr>
            </w:pPr>
            <w:r>
              <w:t>84 (43.5)</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90" w14:textId="77777777" w:rsidR="002F03F5" w:rsidRDefault="008F23FF">
            <w:pPr>
              <w:pStyle w:val="TableText"/>
              <w:keepNext/>
              <w:jc w:val="center"/>
              <w:rPr>
                <w:bCs/>
                <w:lang w:eastAsia="en-AU"/>
              </w:rPr>
            </w:pPr>
            <w:r>
              <w:t>71 (73.2)</w:t>
            </w:r>
          </w:p>
        </w:tc>
        <w:tc>
          <w:tcPr>
            <w:tcW w:w="1284" w:type="dxa"/>
            <w:tcBorders>
              <w:top w:val="single" w:sz="4" w:space="0" w:color="000000"/>
              <w:left w:val="single" w:sz="4" w:space="0" w:color="000000"/>
              <w:bottom w:val="single" w:sz="4" w:space="0" w:color="000000"/>
              <w:right w:val="single" w:sz="4" w:space="0" w:color="000000"/>
            </w:tcBorders>
            <w:vAlign w:val="center"/>
          </w:tcPr>
          <w:p w14:paraId="3C780A91" w14:textId="77777777" w:rsidR="002F03F5" w:rsidRDefault="008F23FF">
            <w:pPr>
              <w:pStyle w:val="TableText"/>
              <w:keepNext/>
              <w:jc w:val="center"/>
              <w:rPr>
                <w:lang w:eastAsia="en-AU"/>
              </w:rPr>
            </w:pPr>
            <w:r>
              <w:rPr>
                <w:lang w:eastAsia="en-AU"/>
              </w:rPr>
              <w:t>NR</w:t>
            </w:r>
          </w:p>
        </w:tc>
        <w:tc>
          <w:tcPr>
            <w:tcW w:w="128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780A92" w14:textId="77777777" w:rsidR="002F03F5" w:rsidRDefault="008F23FF">
            <w:pPr>
              <w:pStyle w:val="TableText"/>
              <w:keepNext/>
              <w:jc w:val="center"/>
              <w:rPr>
                <w:lang w:eastAsia="en-AU"/>
              </w:rPr>
            </w:pPr>
            <w:r>
              <w:rPr>
                <w:lang w:eastAsia="en-AU"/>
              </w:rPr>
              <w:t>NR</w:t>
            </w:r>
          </w:p>
        </w:tc>
        <w:tc>
          <w:tcPr>
            <w:tcW w:w="1463" w:type="dxa"/>
            <w:tcBorders>
              <w:top w:val="single" w:sz="4" w:space="0" w:color="000000"/>
              <w:left w:val="single" w:sz="4" w:space="0" w:color="000000"/>
              <w:bottom w:val="single" w:sz="4" w:space="0" w:color="000000"/>
              <w:right w:val="single" w:sz="4" w:space="0" w:color="000000"/>
            </w:tcBorders>
            <w:vAlign w:val="center"/>
          </w:tcPr>
          <w:p w14:paraId="3C780A93" w14:textId="77777777" w:rsidR="002F03F5" w:rsidRDefault="008F23FF">
            <w:pPr>
              <w:pStyle w:val="TableText"/>
              <w:keepNext/>
              <w:jc w:val="center"/>
              <w:rPr>
                <w:lang w:eastAsia="en-AU"/>
              </w:rPr>
            </w:pPr>
            <w:r>
              <w:t>NE</w:t>
            </w:r>
          </w:p>
        </w:tc>
      </w:tr>
      <w:tr w:rsidR="00476A25" w14:paraId="3C780A9B" w14:textId="77777777" w:rsidTr="00CB4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2425" w:type="dxa"/>
            <w:tcBorders>
              <w:top w:val="single" w:sz="4" w:space="0" w:color="auto"/>
              <w:left w:val="single" w:sz="4" w:space="0" w:color="auto"/>
              <w:bottom w:val="single" w:sz="4" w:space="0" w:color="auto"/>
              <w:right w:val="single" w:sz="4" w:space="0" w:color="auto"/>
            </w:tcBorders>
            <w:vAlign w:val="center"/>
          </w:tcPr>
          <w:p w14:paraId="3C780A95" w14:textId="77777777" w:rsidR="002F03F5" w:rsidRDefault="008F23FF">
            <w:pPr>
              <w:pStyle w:val="TableText"/>
              <w:keepNext/>
              <w:rPr>
                <w:lang w:eastAsia="en-AU"/>
              </w:rPr>
            </w:pPr>
            <w:r>
              <w:rPr>
                <w:lang w:eastAsia="en-AU"/>
              </w:rPr>
              <w:t>Any SAE</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96" w14:textId="77777777" w:rsidR="002F03F5" w:rsidRDefault="008F23FF">
            <w:pPr>
              <w:pStyle w:val="TableText"/>
              <w:keepNext/>
              <w:jc w:val="center"/>
              <w:rPr>
                <w:bCs/>
                <w:lang w:eastAsia="en-AU"/>
              </w:rPr>
            </w:pPr>
            <w:r>
              <w:t>59 (30.6)</w:t>
            </w:r>
          </w:p>
        </w:tc>
        <w:tc>
          <w:tcPr>
            <w:tcW w:w="1283" w:type="dxa"/>
            <w:tcBorders>
              <w:top w:val="single" w:sz="4" w:space="0" w:color="auto"/>
              <w:left w:val="single" w:sz="4" w:space="0" w:color="auto"/>
              <w:bottom w:val="single" w:sz="4" w:space="0" w:color="auto"/>
              <w:right w:val="single" w:sz="4" w:space="0" w:color="auto"/>
            </w:tcBorders>
            <w:vAlign w:val="center"/>
          </w:tcPr>
          <w:p w14:paraId="3C780A97" w14:textId="77777777" w:rsidR="002F03F5" w:rsidRDefault="008F23FF">
            <w:pPr>
              <w:pStyle w:val="TableText"/>
              <w:keepNext/>
              <w:jc w:val="center"/>
              <w:rPr>
                <w:bCs/>
                <w:lang w:eastAsia="en-AU"/>
              </w:rPr>
            </w:pPr>
            <w:r>
              <w:t>33 (34.0)</w:t>
            </w:r>
          </w:p>
        </w:tc>
        <w:tc>
          <w:tcPr>
            <w:tcW w:w="1282" w:type="dxa"/>
            <w:tcBorders>
              <w:top w:val="single" w:sz="4" w:space="0" w:color="auto"/>
              <w:left w:val="single" w:sz="4" w:space="0" w:color="auto"/>
              <w:bottom w:val="single" w:sz="4" w:space="0" w:color="auto"/>
              <w:right w:val="single" w:sz="4" w:space="0" w:color="auto"/>
            </w:tcBorders>
            <w:vAlign w:val="center"/>
          </w:tcPr>
          <w:p w14:paraId="3C780A98" w14:textId="77777777" w:rsidR="002F03F5" w:rsidRDefault="008F23FF">
            <w:pPr>
              <w:pStyle w:val="TableText"/>
              <w:keepNext/>
              <w:jc w:val="center"/>
              <w:rPr>
                <w:lang w:eastAsia="en-AU"/>
              </w:rPr>
            </w:pPr>
            <w:r>
              <w:rPr>
                <w:lang w:eastAsia="en-AU"/>
              </w:rPr>
              <w:t>113 (53)</w:t>
            </w:r>
          </w:p>
        </w:tc>
        <w:tc>
          <w:tcPr>
            <w:tcW w:w="1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99" w14:textId="77777777" w:rsidR="002F03F5" w:rsidRDefault="008F23FF">
            <w:pPr>
              <w:pStyle w:val="TableText"/>
              <w:keepNext/>
              <w:jc w:val="center"/>
              <w:rPr>
                <w:lang w:eastAsia="en-AU"/>
              </w:rPr>
            </w:pPr>
            <w:r>
              <w:rPr>
                <w:lang w:eastAsia="en-AU"/>
              </w:rPr>
              <w:t>26 (24)</w:t>
            </w:r>
          </w:p>
        </w:tc>
        <w:tc>
          <w:tcPr>
            <w:tcW w:w="1461" w:type="dxa"/>
            <w:vAlign w:val="center"/>
          </w:tcPr>
          <w:p w14:paraId="3C780A9A" w14:textId="77777777" w:rsidR="002F03F5" w:rsidRDefault="008F23FF">
            <w:pPr>
              <w:pStyle w:val="TableText"/>
              <w:keepNext/>
              <w:jc w:val="center"/>
              <w:rPr>
                <w:b/>
                <w:bCs/>
                <w:lang w:eastAsia="en-AU"/>
              </w:rPr>
            </w:pPr>
            <w:r>
              <w:rPr>
                <w:b/>
                <w:bCs/>
              </w:rPr>
              <w:t>25.5 (10, 41)</w:t>
            </w:r>
          </w:p>
        </w:tc>
      </w:tr>
      <w:tr w:rsidR="00476A25" w14:paraId="3C780AA2" w14:textId="77777777" w:rsidTr="00CB4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2425" w:type="dxa"/>
            <w:tcBorders>
              <w:top w:val="single" w:sz="4" w:space="0" w:color="auto"/>
              <w:left w:val="single" w:sz="4" w:space="0" w:color="auto"/>
              <w:bottom w:val="single" w:sz="4" w:space="0" w:color="auto"/>
              <w:right w:val="single" w:sz="4" w:space="0" w:color="auto"/>
            </w:tcBorders>
            <w:vAlign w:val="center"/>
          </w:tcPr>
          <w:p w14:paraId="3C780A9C" w14:textId="77777777" w:rsidR="002F03F5" w:rsidRDefault="008F23FF">
            <w:pPr>
              <w:pStyle w:val="TableText"/>
              <w:keepNext/>
              <w:ind w:left="144"/>
              <w:rPr>
                <w:lang w:eastAsia="en-AU"/>
              </w:rPr>
            </w:pPr>
            <w:r>
              <w:rPr>
                <w:lang w:eastAsia="en-AU"/>
              </w:rPr>
              <w:t>Treatment related</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9D" w14:textId="77777777" w:rsidR="002F03F5" w:rsidRDefault="008F23FF">
            <w:pPr>
              <w:pStyle w:val="TableText"/>
              <w:keepNext/>
              <w:jc w:val="center"/>
              <w:rPr>
                <w:bCs/>
                <w:lang w:eastAsia="en-AU"/>
              </w:rPr>
            </w:pPr>
            <w:r>
              <w:t>18 (9.3)</w:t>
            </w:r>
          </w:p>
        </w:tc>
        <w:tc>
          <w:tcPr>
            <w:tcW w:w="1283" w:type="dxa"/>
            <w:tcBorders>
              <w:top w:val="single" w:sz="4" w:space="0" w:color="auto"/>
              <w:left w:val="single" w:sz="4" w:space="0" w:color="auto"/>
              <w:bottom w:val="single" w:sz="4" w:space="0" w:color="auto"/>
              <w:right w:val="single" w:sz="4" w:space="0" w:color="auto"/>
            </w:tcBorders>
            <w:vAlign w:val="center"/>
          </w:tcPr>
          <w:p w14:paraId="3C780A9E" w14:textId="77777777" w:rsidR="002F03F5" w:rsidRDefault="008F23FF">
            <w:pPr>
              <w:pStyle w:val="TableText"/>
              <w:keepNext/>
              <w:jc w:val="center"/>
              <w:rPr>
                <w:bCs/>
                <w:lang w:eastAsia="en-AU"/>
              </w:rPr>
            </w:pPr>
            <w:r>
              <w:t>17 (17.5)</w:t>
            </w:r>
          </w:p>
        </w:tc>
        <w:tc>
          <w:tcPr>
            <w:tcW w:w="1282" w:type="dxa"/>
            <w:tcBorders>
              <w:top w:val="single" w:sz="4" w:space="0" w:color="auto"/>
              <w:left w:val="single" w:sz="4" w:space="0" w:color="auto"/>
              <w:bottom w:val="single" w:sz="4" w:space="0" w:color="auto"/>
              <w:right w:val="single" w:sz="4" w:space="0" w:color="auto"/>
            </w:tcBorders>
            <w:vAlign w:val="center"/>
          </w:tcPr>
          <w:p w14:paraId="3C780A9F" w14:textId="77777777" w:rsidR="002F03F5" w:rsidRDefault="008F23FF">
            <w:pPr>
              <w:pStyle w:val="TableText"/>
              <w:keepNext/>
              <w:jc w:val="center"/>
              <w:rPr>
                <w:lang w:eastAsia="en-AU"/>
              </w:rPr>
            </w:pPr>
            <w:r>
              <w:rPr>
                <w:lang w:eastAsia="en-AU"/>
              </w:rPr>
              <w:t>NR</w:t>
            </w:r>
          </w:p>
        </w:tc>
        <w:tc>
          <w:tcPr>
            <w:tcW w:w="1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A0" w14:textId="77777777" w:rsidR="002F03F5" w:rsidRDefault="008F23FF">
            <w:pPr>
              <w:pStyle w:val="TableText"/>
              <w:keepNext/>
              <w:jc w:val="center"/>
              <w:rPr>
                <w:lang w:eastAsia="en-AU"/>
              </w:rPr>
            </w:pPr>
            <w:r>
              <w:rPr>
                <w:lang w:eastAsia="en-AU"/>
              </w:rPr>
              <w:t>NR</w:t>
            </w:r>
          </w:p>
        </w:tc>
        <w:tc>
          <w:tcPr>
            <w:tcW w:w="1461" w:type="dxa"/>
            <w:vAlign w:val="center"/>
          </w:tcPr>
          <w:p w14:paraId="3C780AA1" w14:textId="77777777" w:rsidR="002F03F5" w:rsidRDefault="008F23FF">
            <w:pPr>
              <w:pStyle w:val="TableText"/>
              <w:keepNext/>
              <w:jc w:val="center"/>
              <w:rPr>
                <w:lang w:eastAsia="en-AU"/>
              </w:rPr>
            </w:pPr>
            <w:r>
              <w:t>NE</w:t>
            </w:r>
          </w:p>
        </w:tc>
      </w:tr>
      <w:tr w:rsidR="00476A25" w14:paraId="3C780AA9" w14:textId="77777777" w:rsidTr="00CB4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2425" w:type="dxa"/>
            <w:tcBorders>
              <w:top w:val="single" w:sz="4" w:space="0" w:color="auto"/>
              <w:left w:val="single" w:sz="4" w:space="0" w:color="auto"/>
              <w:bottom w:val="single" w:sz="4" w:space="0" w:color="auto"/>
              <w:right w:val="single" w:sz="4" w:space="0" w:color="auto"/>
            </w:tcBorders>
            <w:vAlign w:val="center"/>
          </w:tcPr>
          <w:p w14:paraId="3C780AA3" w14:textId="77777777" w:rsidR="002F03F5" w:rsidRDefault="008F23FF">
            <w:pPr>
              <w:pStyle w:val="TableText"/>
              <w:keepNext/>
              <w:rPr>
                <w:lang w:eastAsia="en-AU"/>
              </w:rPr>
            </w:pPr>
            <w:r>
              <w:rPr>
                <w:lang w:eastAsia="en-AU"/>
              </w:rPr>
              <w:t xml:space="preserve">AE leading to treatment discontinuation </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A4" w14:textId="77777777" w:rsidR="002F03F5" w:rsidRDefault="008F23FF">
            <w:pPr>
              <w:pStyle w:val="TableText"/>
              <w:keepNext/>
              <w:jc w:val="center"/>
              <w:rPr>
                <w:bCs/>
                <w:lang w:eastAsia="en-AU"/>
              </w:rPr>
            </w:pPr>
            <w:r>
              <w:t>11 (5.7)</w:t>
            </w:r>
          </w:p>
        </w:tc>
        <w:tc>
          <w:tcPr>
            <w:tcW w:w="1283" w:type="dxa"/>
            <w:tcBorders>
              <w:top w:val="single" w:sz="4" w:space="0" w:color="auto"/>
              <w:left w:val="single" w:sz="4" w:space="0" w:color="auto"/>
              <w:bottom w:val="single" w:sz="4" w:space="0" w:color="auto"/>
              <w:right w:val="single" w:sz="4" w:space="0" w:color="auto"/>
            </w:tcBorders>
            <w:vAlign w:val="center"/>
          </w:tcPr>
          <w:p w14:paraId="3C780AA5" w14:textId="77777777" w:rsidR="002F03F5" w:rsidRDefault="008F23FF">
            <w:pPr>
              <w:pStyle w:val="TableText"/>
              <w:keepNext/>
              <w:jc w:val="center"/>
              <w:rPr>
                <w:bCs/>
                <w:lang w:eastAsia="en-AU"/>
              </w:rPr>
            </w:pPr>
            <w:r>
              <w:t>30 (30.9)</w:t>
            </w:r>
          </w:p>
        </w:tc>
        <w:tc>
          <w:tcPr>
            <w:tcW w:w="1282" w:type="dxa"/>
            <w:tcBorders>
              <w:top w:val="single" w:sz="4" w:space="0" w:color="auto"/>
              <w:left w:val="single" w:sz="4" w:space="0" w:color="auto"/>
              <w:bottom w:val="single" w:sz="4" w:space="0" w:color="auto"/>
              <w:right w:val="single" w:sz="4" w:space="0" w:color="auto"/>
            </w:tcBorders>
            <w:vAlign w:val="center"/>
          </w:tcPr>
          <w:p w14:paraId="3C780AA6" w14:textId="77777777" w:rsidR="002F03F5" w:rsidRDefault="008F23FF">
            <w:pPr>
              <w:pStyle w:val="TableText"/>
              <w:keepNext/>
              <w:jc w:val="center"/>
              <w:rPr>
                <w:lang w:eastAsia="en-AU"/>
              </w:rPr>
            </w:pPr>
            <w:r>
              <w:rPr>
                <w:lang w:eastAsia="en-AU"/>
              </w:rPr>
              <w:t>49 (23)</w:t>
            </w:r>
          </w:p>
        </w:tc>
        <w:tc>
          <w:tcPr>
            <w:tcW w:w="1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A7" w14:textId="77777777" w:rsidR="002F03F5" w:rsidRDefault="008F23FF">
            <w:pPr>
              <w:pStyle w:val="TableText"/>
              <w:keepNext/>
              <w:jc w:val="center"/>
              <w:rPr>
                <w:lang w:eastAsia="en-AU"/>
              </w:rPr>
            </w:pPr>
            <w:r>
              <w:rPr>
                <w:lang w:eastAsia="en-AU"/>
              </w:rPr>
              <w:t>10 (9)</w:t>
            </w:r>
          </w:p>
        </w:tc>
        <w:tc>
          <w:tcPr>
            <w:tcW w:w="1461" w:type="dxa"/>
            <w:vAlign w:val="center"/>
          </w:tcPr>
          <w:p w14:paraId="3C780AA8" w14:textId="77777777" w:rsidR="002F03F5" w:rsidRDefault="008F23FF">
            <w:pPr>
              <w:pStyle w:val="TableText"/>
              <w:keepNext/>
              <w:jc w:val="center"/>
              <w:rPr>
                <w:lang w:eastAsia="en-AU"/>
              </w:rPr>
            </w:pPr>
            <w:r>
              <w:t>-11.5 (-24, 1)</w:t>
            </w:r>
          </w:p>
        </w:tc>
      </w:tr>
      <w:tr w:rsidR="00476A25" w14:paraId="3C780AB0" w14:textId="77777777" w:rsidTr="00CB4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2425" w:type="dxa"/>
            <w:tcBorders>
              <w:top w:val="single" w:sz="4" w:space="0" w:color="auto"/>
              <w:left w:val="single" w:sz="4" w:space="0" w:color="auto"/>
              <w:bottom w:val="single" w:sz="4" w:space="0" w:color="auto"/>
              <w:right w:val="single" w:sz="4" w:space="0" w:color="auto"/>
            </w:tcBorders>
            <w:vAlign w:val="center"/>
          </w:tcPr>
          <w:p w14:paraId="3C780AAA" w14:textId="77777777" w:rsidR="002F03F5" w:rsidRDefault="008F23FF">
            <w:pPr>
              <w:pStyle w:val="TableText"/>
              <w:keepNext/>
              <w:ind w:left="144"/>
              <w:rPr>
                <w:lang w:eastAsia="en-AU"/>
              </w:rPr>
            </w:pPr>
            <w:r>
              <w:rPr>
                <w:lang w:eastAsia="en-AU"/>
              </w:rPr>
              <w:t>Treatment related</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AB" w14:textId="77777777" w:rsidR="002F03F5" w:rsidRDefault="008F23FF">
            <w:pPr>
              <w:pStyle w:val="TableText"/>
              <w:keepNext/>
              <w:jc w:val="center"/>
              <w:rPr>
                <w:bCs/>
                <w:lang w:eastAsia="en-AU"/>
              </w:rPr>
            </w:pPr>
            <w:r>
              <w:t>5 (2.6)</w:t>
            </w:r>
          </w:p>
        </w:tc>
        <w:tc>
          <w:tcPr>
            <w:tcW w:w="1283" w:type="dxa"/>
            <w:tcBorders>
              <w:top w:val="single" w:sz="4" w:space="0" w:color="auto"/>
              <w:left w:val="single" w:sz="4" w:space="0" w:color="auto"/>
              <w:bottom w:val="single" w:sz="4" w:space="0" w:color="auto"/>
              <w:right w:val="single" w:sz="4" w:space="0" w:color="auto"/>
            </w:tcBorders>
            <w:vAlign w:val="center"/>
          </w:tcPr>
          <w:p w14:paraId="3C780AAC" w14:textId="77777777" w:rsidR="002F03F5" w:rsidRDefault="008F23FF">
            <w:pPr>
              <w:pStyle w:val="TableText"/>
              <w:keepNext/>
              <w:jc w:val="center"/>
              <w:rPr>
                <w:bCs/>
                <w:lang w:eastAsia="en-AU"/>
              </w:rPr>
            </w:pPr>
            <w:r>
              <w:t>25 (25.8)</w:t>
            </w:r>
          </w:p>
        </w:tc>
        <w:tc>
          <w:tcPr>
            <w:tcW w:w="1282" w:type="dxa"/>
            <w:tcBorders>
              <w:top w:val="single" w:sz="4" w:space="0" w:color="auto"/>
              <w:left w:val="single" w:sz="4" w:space="0" w:color="auto"/>
              <w:bottom w:val="single" w:sz="4" w:space="0" w:color="auto"/>
              <w:right w:val="single" w:sz="4" w:space="0" w:color="auto"/>
            </w:tcBorders>
            <w:vAlign w:val="center"/>
          </w:tcPr>
          <w:p w14:paraId="3C780AAD" w14:textId="77777777" w:rsidR="002F03F5" w:rsidRDefault="008F23FF">
            <w:pPr>
              <w:pStyle w:val="TableText"/>
              <w:keepNext/>
              <w:jc w:val="center"/>
              <w:rPr>
                <w:lang w:eastAsia="en-AU"/>
              </w:rPr>
            </w:pPr>
            <w:r>
              <w:rPr>
                <w:lang w:eastAsia="en-AU"/>
              </w:rPr>
              <w:t>NR</w:t>
            </w:r>
          </w:p>
        </w:tc>
        <w:tc>
          <w:tcPr>
            <w:tcW w:w="1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AE" w14:textId="77777777" w:rsidR="002F03F5" w:rsidRDefault="008F23FF">
            <w:pPr>
              <w:pStyle w:val="TableText"/>
              <w:keepNext/>
              <w:jc w:val="center"/>
              <w:rPr>
                <w:lang w:eastAsia="en-AU"/>
              </w:rPr>
            </w:pPr>
            <w:r>
              <w:rPr>
                <w:lang w:eastAsia="en-AU"/>
              </w:rPr>
              <w:t>NR</w:t>
            </w:r>
          </w:p>
        </w:tc>
        <w:tc>
          <w:tcPr>
            <w:tcW w:w="1461" w:type="dxa"/>
            <w:vAlign w:val="center"/>
          </w:tcPr>
          <w:p w14:paraId="3C780AAF" w14:textId="77777777" w:rsidR="002F03F5" w:rsidRDefault="008F23FF">
            <w:pPr>
              <w:pStyle w:val="TableText"/>
              <w:keepNext/>
              <w:jc w:val="center"/>
              <w:rPr>
                <w:lang w:eastAsia="en-AU"/>
              </w:rPr>
            </w:pPr>
            <w:r>
              <w:t>NE</w:t>
            </w:r>
          </w:p>
        </w:tc>
      </w:tr>
      <w:tr w:rsidR="00476A25" w14:paraId="3C780AB7" w14:textId="77777777" w:rsidTr="00CB4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2425" w:type="dxa"/>
            <w:tcBorders>
              <w:top w:val="single" w:sz="4" w:space="0" w:color="auto"/>
              <w:left w:val="single" w:sz="4" w:space="0" w:color="auto"/>
              <w:bottom w:val="single" w:sz="4" w:space="0" w:color="auto"/>
              <w:right w:val="single" w:sz="4" w:space="0" w:color="auto"/>
            </w:tcBorders>
            <w:vAlign w:val="center"/>
          </w:tcPr>
          <w:p w14:paraId="3C780AB1" w14:textId="77777777" w:rsidR="002F03F5" w:rsidRDefault="008F23FF">
            <w:pPr>
              <w:pStyle w:val="TableText"/>
              <w:keepNext/>
              <w:rPr>
                <w:lang w:eastAsia="en-AU"/>
              </w:rPr>
            </w:pPr>
            <w:r>
              <w:rPr>
                <w:lang w:eastAsia="en-AU"/>
              </w:rPr>
              <w:t>SAE leading to treatment discontinuation</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B2" w14:textId="77777777" w:rsidR="002F03F5" w:rsidRDefault="008F23FF">
            <w:pPr>
              <w:pStyle w:val="TableText"/>
              <w:keepNext/>
              <w:jc w:val="center"/>
              <w:rPr>
                <w:bCs/>
                <w:lang w:eastAsia="en-AU"/>
              </w:rPr>
            </w:pPr>
            <w:r>
              <w:t>7 (3.6)</w:t>
            </w:r>
          </w:p>
        </w:tc>
        <w:tc>
          <w:tcPr>
            <w:tcW w:w="1283" w:type="dxa"/>
            <w:tcBorders>
              <w:top w:val="single" w:sz="4" w:space="0" w:color="auto"/>
              <w:left w:val="single" w:sz="4" w:space="0" w:color="auto"/>
              <w:bottom w:val="single" w:sz="4" w:space="0" w:color="auto"/>
              <w:right w:val="single" w:sz="4" w:space="0" w:color="auto"/>
            </w:tcBorders>
            <w:vAlign w:val="center"/>
          </w:tcPr>
          <w:p w14:paraId="3C780AB3" w14:textId="77777777" w:rsidR="002F03F5" w:rsidRDefault="008F23FF">
            <w:pPr>
              <w:pStyle w:val="TableText"/>
              <w:keepNext/>
              <w:jc w:val="center"/>
              <w:rPr>
                <w:bCs/>
                <w:lang w:eastAsia="en-AU"/>
              </w:rPr>
            </w:pPr>
            <w:r>
              <w:t>10 (10.3)</w:t>
            </w:r>
          </w:p>
        </w:tc>
        <w:tc>
          <w:tcPr>
            <w:tcW w:w="1282" w:type="dxa"/>
            <w:tcBorders>
              <w:top w:val="single" w:sz="4" w:space="0" w:color="auto"/>
              <w:left w:val="single" w:sz="4" w:space="0" w:color="auto"/>
              <w:bottom w:val="single" w:sz="4" w:space="0" w:color="auto"/>
              <w:right w:val="single" w:sz="4" w:space="0" w:color="auto"/>
            </w:tcBorders>
            <w:vAlign w:val="center"/>
          </w:tcPr>
          <w:p w14:paraId="3C780AB4" w14:textId="77777777" w:rsidR="002F03F5" w:rsidRDefault="008F23FF">
            <w:pPr>
              <w:pStyle w:val="TableText"/>
              <w:keepNext/>
              <w:jc w:val="center"/>
              <w:rPr>
                <w:lang w:eastAsia="en-AU"/>
              </w:rPr>
            </w:pPr>
            <w:r>
              <w:rPr>
                <w:lang w:eastAsia="en-AU"/>
              </w:rPr>
              <w:t>NR</w:t>
            </w:r>
          </w:p>
        </w:tc>
        <w:tc>
          <w:tcPr>
            <w:tcW w:w="1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B5" w14:textId="77777777" w:rsidR="002F03F5" w:rsidRDefault="008F23FF">
            <w:pPr>
              <w:pStyle w:val="TableText"/>
              <w:keepNext/>
              <w:jc w:val="center"/>
              <w:rPr>
                <w:lang w:eastAsia="en-AU"/>
              </w:rPr>
            </w:pPr>
            <w:r>
              <w:rPr>
                <w:lang w:eastAsia="en-AU"/>
              </w:rPr>
              <w:t>NR</w:t>
            </w:r>
          </w:p>
        </w:tc>
        <w:tc>
          <w:tcPr>
            <w:tcW w:w="1461" w:type="dxa"/>
            <w:vAlign w:val="center"/>
          </w:tcPr>
          <w:p w14:paraId="3C780AB6" w14:textId="77777777" w:rsidR="002F03F5" w:rsidRDefault="008F23FF">
            <w:pPr>
              <w:pStyle w:val="TableText"/>
              <w:keepNext/>
              <w:jc w:val="center"/>
              <w:rPr>
                <w:lang w:eastAsia="en-AU"/>
              </w:rPr>
            </w:pPr>
            <w:r>
              <w:t>NE</w:t>
            </w:r>
          </w:p>
        </w:tc>
      </w:tr>
      <w:tr w:rsidR="00476A25" w14:paraId="3C780ABE" w14:textId="77777777" w:rsidTr="00CB4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2425" w:type="dxa"/>
            <w:tcBorders>
              <w:top w:val="single" w:sz="4" w:space="0" w:color="auto"/>
              <w:left w:val="single" w:sz="4" w:space="0" w:color="auto"/>
              <w:bottom w:val="single" w:sz="4" w:space="0" w:color="auto"/>
              <w:right w:val="single" w:sz="4" w:space="0" w:color="auto"/>
            </w:tcBorders>
            <w:vAlign w:val="center"/>
          </w:tcPr>
          <w:p w14:paraId="3C780AB8" w14:textId="77777777" w:rsidR="002F03F5" w:rsidRDefault="008F23FF">
            <w:pPr>
              <w:pStyle w:val="TableText"/>
              <w:keepNext/>
              <w:ind w:left="144"/>
              <w:rPr>
                <w:lang w:eastAsia="en-AU"/>
              </w:rPr>
            </w:pPr>
            <w:r>
              <w:rPr>
                <w:lang w:eastAsia="en-AU"/>
              </w:rPr>
              <w:t>Treatment related</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B9" w14:textId="77777777" w:rsidR="002F03F5" w:rsidRDefault="008F23FF">
            <w:pPr>
              <w:pStyle w:val="TableText"/>
              <w:keepNext/>
              <w:jc w:val="center"/>
              <w:rPr>
                <w:bCs/>
                <w:lang w:eastAsia="en-AU"/>
              </w:rPr>
            </w:pPr>
            <w:r>
              <w:t>2 (1.0)</w:t>
            </w:r>
          </w:p>
        </w:tc>
        <w:tc>
          <w:tcPr>
            <w:tcW w:w="1283" w:type="dxa"/>
            <w:tcBorders>
              <w:top w:val="single" w:sz="4" w:space="0" w:color="auto"/>
              <w:left w:val="single" w:sz="4" w:space="0" w:color="auto"/>
              <w:bottom w:val="single" w:sz="4" w:space="0" w:color="auto"/>
              <w:right w:val="single" w:sz="4" w:space="0" w:color="auto"/>
            </w:tcBorders>
            <w:vAlign w:val="center"/>
          </w:tcPr>
          <w:p w14:paraId="3C780ABA" w14:textId="77777777" w:rsidR="002F03F5" w:rsidRDefault="008F23FF">
            <w:pPr>
              <w:pStyle w:val="TableText"/>
              <w:keepNext/>
              <w:jc w:val="center"/>
              <w:rPr>
                <w:bCs/>
                <w:lang w:eastAsia="en-AU"/>
              </w:rPr>
            </w:pPr>
            <w:r>
              <w:t>6 (6.3)</w:t>
            </w:r>
          </w:p>
        </w:tc>
        <w:tc>
          <w:tcPr>
            <w:tcW w:w="1282" w:type="dxa"/>
            <w:tcBorders>
              <w:top w:val="single" w:sz="4" w:space="0" w:color="auto"/>
              <w:left w:val="single" w:sz="4" w:space="0" w:color="auto"/>
              <w:bottom w:val="single" w:sz="4" w:space="0" w:color="auto"/>
              <w:right w:val="single" w:sz="4" w:space="0" w:color="auto"/>
            </w:tcBorders>
            <w:vAlign w:val="center"/>
          </w:tcPr>
          <w:p w14:paraId="3C780ABB" w14:textId="77777777" w:rsidR="002F03F5" w:rsidRDefault="008F23FF">
            <w:pPr>
              <w:pStyle w:val="TableText"/>
              <w:keepNext/>
              <w:jc w:val="center"/>
              <w:rPr>
                <w:lang w:eastAsia="en-AU"/>
              </w:rPr>
            </w:pPr>
            <w:r>
              <w:rPr>
                <w:lang w:eastAsia="en-AU"/>
              </w:rPr>
              <w:t>NR</w:t>
            </w:r>
          </w:p>
        </w:tc>
        <w:tc>
          <w:tcPr>
            <w:tcW w:w="1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BC" w14:textId="77777777" w:rsidR="002F03F5" w:rsidRDefault="008F23FF">
            <w:pPr>
              <w:pStyle w:val="TableText"/>
              <w:keepNext/>
              <w:jc w:val="center"/>
              <w:rPr>
                <w:lang w:eastAsia="en-AU"/>
              </w:rPr>
            </w:pPr>
            <w:r>
              <w:rPr>
                <w:lang w:eastAsia="en-AU"/>
              </w:rPr>
              <w:t>NR</w:t>
            </w:r>
          </w:p>
        </w:tc>
        <w:tc>
          <w:tcPr>
            <w:tcW w:w="1461" w:type="dxa"/>
            <w:vAlign w:val="center"/>
          </w:tcPr>
          <w:p w14:paraId="3C780ABD" w14:textId="77777777" w:rsidR="002F03F5" w:rsidRDefault="008F23FF">
            <w:pPr>
              <w:pStyle w:val="TableText"/>
              <w:keepNext/>
              <w:jc w:val="center"/>
              <w:rPr>
                <w:lang w:eastAsia="en-AU"/>
              </w:rPr>
            </w:pPr>
            <w:r>
              <w:t>NE</w:t>
            </w:r>
          </w:p>
        </w:tc>
      </w:tr>
      <w:tr w:rsidR="00476A25" w14:paraId="3C780AC5" w14:textId="77777777" w:rsidTr="00CB4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2425" w:type="dxa"/>
            <w:tcBorders>
              <w:top w:val="single" w:sz="4" w:space="0" w:color="auto"/>
              <w:left w:val="single" w:sz="4" w:space="0" w:color="auto"/>
              <w:bottom w:val="single" w:sz="4" w:space="0" w:color="auto"/>
              <w:right w:val="single" w:sz="4" w:space="0" w:color="auto"/>
            </w:tcBorders>
            <w:vAlign w:val="center"/>
          </w:tcPr>
          <w:p w14:paraId="3C780ABF" w14:textId="77777777" w:rsidR="002F03F5" w:rsidRDefault="008F23FF">
            <w:pPr>
              <w:pStyle w:val="TableText"/>
              <w:keepNext/>
              <w:rPr>
                <w:lang w:eastAsia="en-AU"/>
              </w:rPr>
            </w:pPr>
            <w:r>
              <w:rPr>
                <w:lang w:eastAsia="en-AU"/>
              </w:rPr>
              <w:t xml:space="preserve">Deaths </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C0" w14:textId="77777777" w:rsidR="002F03F5" w:rsidRDefault="008F23FF">
            <w:pPr>
              <w:pStyle w:val="TableText"/>
              <w:keepNext/>
              <w:jc w:val="center"/>
              <w:rPr>
                <w:bCs/>
                <w:lang w:eastAsia="en-AU"/>
              </w:rPr>
            </w:pPr>
            <w:r>
              <w:t>10 (5.2)</w:t>
            </w:r>
          </w:p>
        </w:tc>
        <w:tc>
          <w:tcPr>
            <w:tcW w:w="1283" w:type="dxa"/>
            <w:tcBorders>
              <w:top w:val="single" w:sz="4" w:space="0" w:color="auto"/>
              <w:left w:val="single" w:sz="4" w:space="0" w:color="auto"/>
              <w:bottom w:val="single" w:sz="4" w:space="0" w:color="auto"/>
              <w:right w:val="single" w:sz="4" w:space="0" w:color="auto"/>
            </w:tcBorders>
            <w:vAlign w:val="center"/>
          </w:tcPr>
          <w:p w14:paraId="3C780AC1" w14:textId="77777777" w:rsidR="002F03F5" w:rsidRDefault="008F23FF">
            <w:pPr>
              <w:pStyle w:val="TableText"/>
              <w:keepNext/>
              <w:jc w:val="center"/>
              <w:rPr>
                <w:bCs/>
                <w:lang w:eastAsia="en-AU"/>
              </w:rPr>
            </w:pPr>
            <w:r>
              <w:t>16 (16.5)</w:t>
            </w:r>
          </w:p>
        </w:tc>
        <w:tc>
          <w:tcPr>
            <w:tcW w:w="1282" w:type="dxa"/>
            <w:tcBorders>
              <w:top w:val="single" w:sz="4" w:space="0" w:color="auto"/>
              <w:left w:val="single" w:sz="4" w:space="0" w:color="auto"/>
              <w:bottom w:val="single" w:sz="4" w:space="0" w:color="auto"/>
              <w:right w:val="single" w:sz="4" w:space="0" w:color="auto"/>
            </w:tcBorders>
            <w:vAlign w:val="center"/>
          </w:tcPr>
          <w:p w14:paraId="3C780AC2" w14:textId="77777777" w:rsidR="002F03F5" w:rsidRDefault="008F23FF">
            <w:pPr>
              <w:pStyle w:val="TableText"/>
              <w:keepNext/>
              <w:jc w:val="center"/>
              <w:rPr>
                <w:lang w:eastAsia="en-AU"/>
              </w:rPr>
            </w:pPr>
            <w:r>
              <w:rPr>
                <w:lang w:eastAsia="en-AU"/>
              </w:rPr>
              <w:t>141 (65.8)</w:t>
            </w:r>
          </w:p>
        </w:tc>
        <w:tc>
          <w:tcPr>
            <w:tcW w:w="1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C3" w14:textId="77777777" w:rsidR="002F03F5" w:rsidRDefault="008F23FF">
            <w:pPr>
              <w:pStyle w:val="TableText"/>
              <w:keepNext/>
              <w:jc w:val="center"/>
              <w:rPr>
                <w:lang w:eastAsia="en-AU"/>
              </w:rPr>
            </w:pPr>
            <w:r>
              <w:rPr>
                <w:lang w:eastAsia="en-AU"/>
              </w:rPr>
              <w:t>77 (70.6)</w:t>
            </w:r>
          </w:p>
        </w:tc>
        <w:tc>
          <w:tcPr>
            <w:tcW w:w="1461" w:type="dxa"/>
            <w:vAlign w:val="center"/>
          </w:tcPr>
          <w:p w14:paraId="3C780AC4" w14:textId="77777777" w:rsidR="002F03F5" w:rsidRDefault="008F23FF">
            <w:pPr>
              <w:pStyle w:val="TableText"/>
              <w:keepNext/>
              <w:jc w:val="center"/>
              <w:rPr>
                <w:lang w:eastAsia="en-AU"/>
              </w:rPr>
            </w:pPr>
            <w:r>
              <w:t>-16.1 (-29.4, -2.7)</w:t>
            </w:r>
          </w:p>
        </w:tc>
      </w:tr>
      <w:tr w:rsidR="00476A25" w14:paraId="3C780ACC" w14:textId="77777777" w:rsidTr="00CB4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2425" w:type="dxa"/>
            <w:tcBorders>
              <w:top w:val="single" w:sz="4" w:space="0" w:color="auto"/>
              <w:left w:val="single" w:sz="4" w:space="0" w:color="auto"/>
              <w:bottom w:val="single" w:sz="4" w:space="0" w:color="auto"/>
              <w:right w:val="single" w:sz="4" w:space="0" w:color="auto"/>
            </w:tcBorders>
            <w:vAlign w:val="center"/>
          </w:tcPr>
          <w:p w14:paraId="3C780AC6" w14:textId="77777777" w:rsidR="002F03F5" w:rsidRDefault="008F23FF">
            <w:pPr>
              <w:pStyle w:val="TableText"/>
              <w:keepNext/>
              <w:ind w:left="144"/>
              <w:rPr>
                <w:lang w:eastAsia="en-AU"/>
              </w:rPr>
            </w:pPr>
            <w:r>
              <w:rPr>
                <w:lang w:eastAsia="en-AU"/>
              </w:rPr>
              <w:t>Deaths due to AE on treatment</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C7" w14:textId="77777777" w:rsidR="002F03F5" w:rsidRDefault="008F23FF">
            <w:pPr>
              <w:pStyle w:val="TableText"/>
              <w:keepNext/>
              <w:jc w:val="center"/>
              <w:rPr>
                <w:bCs/>
                <w:vertAlign w:val="superscript"/>
                <w:lang w:eastAsia="en-AU"/>
              </w:rPr>
            </w:pPr>
            <w:r>
              <w:t>5 (</w:t>
            </w:r>
            <w:proofErr w:type="gramStart"/>
            <w:r>
              <w:t>2.6)</w:t>
            </w:r>
            <w:r>
              <w:rPr>
                <w:vertAlign w:val="superscript"/>
              </w:rPr>
              <w:t>a</w:t>
            </w:r>
            <w:proofErr w:type="gramEnd"/>
          </w:p>
        </w:tc>
        <w:tc>
          <w:tcPr>
            <w:tcW w:w="1283" w:type="dxa"/>
            <w:tcBorders>
              <w:top w:val="single" w:sz="4" w:space="0" w:color="auto"/>
              <w:left w:val="single" w:sz="4" w:space="0" w:color="auto"/>
              <w:bottom w:val="single" w:sz="4" w:space="0" w:color="auto"/>
              <w:right w:val="single" w:sz="4" w:space="0" w:color="auto"/>
            </w:tcBorders>
            <w:vAlign w:val="center"/>
          </w:tcPr>
          <w:p w14:paraId="3C780AC8" w14:textId="77777777" w:rsidR="002F03F5" w:rsidRDefault="008F23FF">
            <w:pPr>
              <w:pStyle w:val="TableText"/>
              <w:keepNext/>
              <w:jc w:val="center"/>
              <w:rPr>
                <w:bCs/>
                <w:vertAlign w:val="superscript"/>
                <w:lang w:eastAsia="en-AU"/>
              </w:rPr>
            </w:pPr>
            <w:r>
              <w:t>3 (</w:t>
            </w:r>
            <w:proofErr w:type="gramStart"/>
            <w:r>
              <w:t>3.1)</w:t>
            </w:r>
            <w:r>
              <w:rPr>
                <w:vertAlign w:val="superscript"/>
              </w:rPr>
              <w:t>b</w:t>
            </w:r>
            <w:proofErr w:type="gramEnd"/>
          </w:p>
        </w:tc>
        <w:tc>
          <w:tcPr>
            <w:tcW w:w="1282" w:type="dxa"/>
            <w:tcBorders>
              <w:top w:val="single" w:sz="4" w:space="0" w:color="auto"/>
              <w:left w:val="single" w:sz="4" w:space="0" w:color="auto"/>
              <w:bottom w:val="single" w:sz="4" w:space="0" w:color="auto"/>
              <w:right w:val="single" w:sz="4" w:space="0" w:color="auto"/>
            </w:tcBorders>
            <w:vAlign w:val="center"/>
          </w:tcPr>
          <w:p w14:paraId="3C780AC9" w14:textId="77777777" w:rsidR="002F03F5" w:rsidRDefault="008F23FF">
            <w:pPr>
              <w:pStyle w:val="TableText"/>
              <w:keepNext/>
              <w:jc w:val="center"/>
              <w:rPr>
                <w:lang w:eastAsia="en-AU"/>
              </w:rPr>
            </w:pPr>
            <w:proofErr w:type="spellStart"/>
            <w:r>
              <w:rPr>
                <w:lang w:eastAsia="en-AU"/>
              </w:rPr>
              <w:t>NR</w:t>
            </w:r>
            <w:r>
              <w:rPr>
                <w:vertAlign w:val="superscript"/>
                <w:lang w:eastAsia="en-AU"/>
              </w:rPr>
              <w:t>c</w:t>
            </w:r>
            <w:proofErr w:type="spellEnd"/>
          </w:p>
        </w:tc>
        <w:tc>
          <w:tcPr>
            <w:tcW w:w="1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CA" w14:textId="77777777" w:rsidR="002F03F5" w:rsidRDefault="008F23FF">
            <w:pPr>
              <w:pStyle w:val="TableText"/>
              <w:keepNext/>
              <w:jc w:val="center"/>
              <w:rPr>
                <w:vertAlign w:val="superscript"/>
                <w:lang w:eastAsia="en-AU"/>
              </w:rPr>
            </w:pPr>
            <w:proofErr w:type="spellStart"/>
            <w:r>
              <w:rPr>
                <w:lang w:eastAsia="en-AU"/>
              </w:rPr>
              <w:t>NR</w:t>
            </w:r>
            <w:r>
              <w:rPr>
                <w:vertAlign w:val="superscript"/>
                <w:lang w:eastAsia="en-AU"/>
              </w:rPr>
              <w:t>c</w:t>
            </w:r>
            <w:proofErr w:type="spellEnd"/>
          </w:p>
        </w:tc>
        <w:tc>
          <w:tcPr>
            <w:tcW w:w="1461" w:type="dxa"/>
            <w:vAlign w:val="center"/>
          </w:tcPr>
          <w:p w14:paraId="3C780ACB" w14:textId="77777777" w:rsidR="002F03F5" w:rsidRDefault="008F23FF">
            <w:pPr>
              <w:pStyle w:val="TableText"/>
              <w:keepNext/>
              <w:jc w:val="center"/>
              <w:rPr>
                <w:lang w:eastAsia="en-AU"/>
              </w:rPr>
            </w:pPr>
            <w:r>
              <w:t>NE</w:t>
            </w:r>
          </w:p>
        </w:tc>
      </w:tr>
      <w:tr w:rsidR="00476A25" w14:paraId="3C780AD3" w14:textId="77777777" w:rsidTr="00CB42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Ex>
        <w:tc>
          <w:tcPr>
            <w:tcW w:w="2425" w:type="dxa"/>
            <w:tcBorders>
              <w:top w:val="single" w:sz="4" w:space="0" w:color="auto"/>
              <w:left w:val="single" w:sz="4" w:space="0" w:color="auto"/>
              <w:bottom w:val="single" w:sz="4" w:space="0" w:color="auto"/>
              <w:right w:val="single" w:sz="4" w:space="0" w:color="auto"/>
            </w:tcBorders>
            <w:vAlign w:val="center"/>
          </w:tcPr>
          <w:p w14:paraId="3C780ACD" w14:textId="77777777" w:rsidR="002F03F5" w:rsidRDefault="008F23FF">
            <w:pPr>
              <w:pStyle w:val="TableText"/>
              <w:keepNext/>
              <w:ind w:left="144"/>
              <w:rPr>
                <w:lang w:eastAsia="en-AU"/>
              </w:rPr>
            </w:pPr>
            <w:r>
              <w:rPr>
                <w:lang w:eastAsia="en-AU"/>
              </w:rPr>
              <w:t>Death due to study disease</w:t>
            </w:r>
          </w:p>
        </w:tc>
        <w:tc>
          <w:tcPr>
            <w:tcW w:w="128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CE" w14:textId="77777777" w:rsidR="002F03F5" w:rsidRDefault="008F23FF">
            <w:pPr>
              <w:pStyle w:val="TableText"/>
              <w:keepNext/>
              <w:jc w:val="center"/>
            </w:pPr>
            <w:r>
              <w:t>1 (0.5)</w:t>
            </w:r>
          </w:p>
        </w:tc>
        <w:tc>
          <w:tcPr>
            <w:tcW w:w="1283" w:type="dxa"/>
            <w:tcBorders>
              <w:top w:val="single" w:sz="4" w:space="0" w:color="auto"/>
              <w:left w:val="single" w:sz="4" w:space="0" w:color="auto"/>
              <w:bottom w:val="single" w:sz="4" w:space="0" w:color="auto"/>
              <w:right w:val="single" w:sz="4" w:space="0" w:color="auto"/>
            </w:tcBorders>
            <w:vAlign w:val="center"/>
          </w:tcPr>
          <w:p w14:paraId="3C780ACF" w14:textId="77777777" w:rsidR="002F03F5" w:rsidRDefault="008F23FF">
            <w:pPr>
              <w:pStyle w:val="TableText"/>
              <w:keepNext/>
              <w:jc w:val="center"/>
            </w:pPr>
            <w:r>
              <w:t>3 (3.1)</w:t>
            </w:r>
          </w:p>
        </w:tc>
        <w:tc>
          <w:tcPr>
            <w:tcW w:w="1282" w:type="dxa"/>
            <w:tcBorders>
              <w:top w:val="single" w:sz="4" w:space="0" w:color="auto"/>
              <w:left w:val="single" w:sz="4" w:space="0" w:color="auto"/>
              <w:bottom w:val="single" w:sz="4" w:space="0" w:color="auto"/>
              <w:right w:val="single" w:sz="4" w:space="0" w:color="auto"/>
            </w:tcBorders>
            <w:vAlign w:val="center"/>
          </w:tcPr>
          <w:p w14:paraId="3C780AD0" w14:textId="77777777" w:rsidR="002F03F5" w:rsidRDefault="008F23FF">
            <w:pPr>
              <w:pStyle w:val="TableText"/>
              <w:keepNext/>
              <w:jc w:val="center"/>
              <w:rPr>
                <w:lang w:eastAsia="en-AU"/>
              </w:rPr>
            </w:pPr>
            <w:r>
              <w:rPr>
                <w:lang w:eastAsia="en-AU"/>
              </w:rPr>
              <w:t>NR</w:t>
            </w:r>
          </w:p>
        </w:tc>
        <w:tc>
          <w:tcPr>
            <w:tcW w:w="1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C780AD1" w14:textId="77777777" w:rsidR="002F03F5" w:rsidRDefault="008F23FF">
            <w:pPr>
              <w:pStyle w:val="TableText"/>
              <w:keepNext/>
              <w:jc w:val="center"/>
              <w:rPr>
                <w:lang w:eastAsia="en-AU"/>
              </w:rPr>
            </w:pPr>
            <w:r>
              <w:rPr>
                <w:lang w:eastAsia="en-AU"/>
              </w:rPr>
              <w:t>NR</w:t>
            </w:r>
          </w:p>
        </w:tc>
        <w:tc>
          <w:tcPr>
            <w:tcW w:w="1461" w:type="dxa"/>
            <w:vAlign w:val="center"/>
          </w:tcPr>
          <w:p w14:paraId="3C780AD2" w14:textId="77777777" w:rsidR="002F03F5" w:rsidRDefault="008F23FF">
            <w:pPr>
              <w:pStyle w:val="TableText"/>
              <w:keepNext/>
              <w:jc w:val="center"/>
              <w:rPr>
                <w:lang w:eastAsia="en-AU"/>
              </w:rPr>
            </w:pPr>
            <w:r>
              <w:t>NE</w:t>
            </w:r>
          </w:p>
        </w:tc>
      </w:tr>
    </w:tbl>
    <w:p w14:paraId="3C780AD4" w14:textId="59347579" w:rsidR="002F03F5" w:rsidRDefault="008F23FF">
      <w:pPr>
        <w:pStyle w:val="TableFooter"/>
        <w:keepNext/>
        <w:rPr>
          <w:sz w:val="20"/>
          <w:lang w:eastAsia="en-AU"/>
        </w:rPr>
      </w:pPr>
      <w:r>
        <w:rPr>
          <w:lang w:eastAsia="en-AU"/>
        </w:rPr>
        <w:t>Source: Table 2-24, p92 of the submission (LIBRETTO-531); Table 16, p58, Table 18, p51, Table 19, p51, Table 20, p63, NICE TA516 Assessment Report (EXAM); RD analyses conducted during the evaluation</w:t>
      </w:r>
    </w:p>
    <w:p w14:paraId="3C780AD5" w14:textId="77777777" w:rsidR="002F03F5" w:rsidRDefault="008F23FF">
      <w:pPr>
        <w:pStyle w:val="TableFooter"/>
        <w:keepNext/>
        <w:rPr>
          <w:rFonts w:eastAsia="Calibri"/>
          <w:lang w:eastAsia="en-AU"/>
        </w:rPr>
      </w:pPr>
      <w:r>
        <w:rPr>
          <w:rFonts w:eastAsia="Calibri"/>
          <w:lang w:eastAsia="en-AU"/>
        </w:rPr>
        <w:t>AE = adverse event; CABO = cabozantinib; CI = confidence interval; n = number of participants reporting data; N = total participants in group; NE = not evaluable; NR = not reported; PBO = placebo; RD = risk difference; SAE = serious adverse event; SAS = safety analysis set; SELP = selpercatinib; TEAE = treatment emergent adverse event; VAND = vandetanib</w:t>
      </w:r>
    </w:p>
    <w:p w14:paraId="3C780AD6" w14:textId="77777777" w:rsidR="002F03F5" w:rsidRDefault="008F23FF">
      <w:pPr>
        <w:pStyle w:val="TableFooter"/>
        <w:keepNext/>
        <w:rPr>
          <w:rFonts w:eastAsia="Calibri"/>
          <w:lang w:eastAsia="en-AU"/>
        </w:rPr>
      </w:pPr>
      <w:proofErr w:type="gramStart"/>
      <w:r>
        <w:rPr>
          <w:rFonts w:eastAsia="Calibri"/>
          <w:vertAlign w:val="superscript"/>
          <w:lang w:eastAsia="en-AU"/>
        </w:rPr>
        <w:t>a</w:t>
      </w:r>
      <w:r>
        <w:rPr>
          <w:rFonts w:eastAsia="Calibri"/>
          <w:lang w:eastAsia="en-AU"/>
        </w:rPr>
        <w:t xml:space="preserve"> 5 deaths</w:t>
      </w:r>
      <w:proofErr w:type="gramEnd"/>
      <w:r>
        <w:rPr>
          <w:rFonts w:eastAsia="Calibri"/>
          <w:lang w:eastAsia="en-AU"/>
        </w:rPr>
        <w:t xml:space="preserve"> in selpercatinib arm due to diabetic ketoacidosis (1), COVID 19 (1), multiple organ dysfunction syndrome (1), pneumonia (1) and sudden death (1). One death was related to treatment (not reported which one).</w:t>
      </w:r>
    </w:p>
    <w:p w14:paraId="3C780AD7" w14:textId="77777777" w:rsidR="002F03F5" w:rsidRDefault="008F23FF">
      <w:pPr>
        <w:pStyle w:val="TableFooter"/>
        <w:keepNext/>
        <w:rPr>
          <w:rFonts w:eastAsia="Calibri"/>
          <w:lang w:eastAsia="en-AU"/>
        </w:rPr>
      </w:pPr>
      <w:r>
        <w:rPr>
          <w:rFonts w:eastAsia="Calibri"/>
          <w:vertAlign w:val="superscript"/>
          <w:lang w:eastAsia="en-AU"/>
        </w:rPr>
        <w:t>b</w:t>
      </w:r>
      <w:r>
        <w:rPr>
          <w:rFonts w:eastAsia="Calibri"/>
          <w:lang w:eastAsia="en-AU"/>
        </w:rPr>
        <w:t xml:space="preserve"> 3 deaths in cabozantinib/vandetanib arm due to cholangitis (1), haemorrhage (1), sudden death (1). </w:t>
      </w:r>
    </w:p>
    <w:p w14:paraId="3C780AD8" w14:textId="77777777" w:rsidR="002F03F5" w:rsidRDefault="008F23FF">
      <w:pPr>
        <w:pStyle w:val="TableFooter"/>
        <w:keepNext/>
        <w:rPr>
          <w:rFonts w:eastAsia="Calibri"/>
          <w:lang w:eastAsia="en-AU"/>
        </w:rPr>
      </w:pPr>
      <w:r>
        <w:rPr>
          <w:rFonts w:eastAsia="Calibri"/>
          <w:vertAlign w:val="superscript"/>
          <w:lang w:eastAsia="en-AU"/>
        </w:rPr>
        <w:t xml:space="preserve">c </w:t>
      </w:r>
      <w:r>
        <w:rPr>
          <w:rFonts w:eastAsia="Calibri"/>
          <w:lang w:eastAsia="en-AU"/>
        </w:rPr>
        <w:t xml:space="preserve">values not reported but the NICE TA516 Assessment Reported stated that “treatment related remaining at 4 5% for cabozantinib and 1% </w:t>
      </w:r>
      <w:r>
        <w:rPr>
          <w:rFonts w:eastAsia="Calibri"/>
          <w:lang w:eastAsia="en-AU"/>
        </w:rPr>
        <w:lastRenderedPageBreak/>
        <w:t>for placebo at both the interim and final analysis”</w:t>
      </w:r>
    </w:p>
    <w:p w14:paraId="3C780AD9" w14:textId="77777777" w:rsidR="002F03F5" w:rsidRDefault="008F23FF">
      <w:pPr>
        <w:pStyle w:val="TableFooter"/>
        <w:keepNext/>
        <w:rPr>
          <w:rFonts w:eastAsia="Calibri"/>
          <w:u w:val="single"/>
          <w:lang w:eastAsia="en-AU"/>
        </w:rPr>
      </w:pPr>
      <w:r>
        <w:rPr>
          <w:rFonts w:eastAsia="Calibri"/>
          <w:u w:val="single"/>
          <w:lang w:eastAsia="en-AU"/>
        </w:rPr>
        <w:t>Note:</w:t>
      </w:r>
    </w:p>
    <w:p w14:paraId="3C780ADA" w14:textId="77777777" w:rsidR="002F03F5" w:rsidRDefault="008F23FF">
      <w:pPr>
        <w:pStyle w:val="TableFooter"/>
        <w:keepNext/>
        <w:rPr>
          <w:rFonts w:eastAsia="Calibri"/>
          <w:lang w:eastAsia="en-AU"/>
        </w:rPr>
      </w:pPr>
      <w:r>
        <w:rPr>
          <w:rFonts w:eastAsia="Calibri"/>
          <w:b/>
          <w:bCs/>
          <w:lang w:eastAsia="en-AU"/>
        </w:rPr>
        <w:t>Bold</w:t>
      </w:r>
      <w:r>
        <w:rPr>
          <w:rFonts w:eastAsia="Calibri"/>
          <w:lang w:eastAsia="en-AU"/>
        </w:rPr>
        <w:t xml:space="preserve"> text indicates a RD value that did not include 0. </w:t>
      </w:r>
    </w:p>
    <w:p w14:paraId="3C780ADB" w14:textId="77777777" w:rsidR="002F03F5" w:rsidRDefault="008F23FF">
      <w:pPr>
        <w:pStyle w:val="TableFooter"/>
        <w:keepNext/>
        <w:rPr>
          <w:rFonts w:eastAsia="Calibri"/>
          <w:lang w:eastAsia="en-AU"/>
        </w:rPr>
      </w:pPr>
      <w:r>
        <w:rPr>
          <w:rFonts w:eastAsia="Calibri"/>
          <w:lang w:eastAsia="en-AU"/>
        </w:rPr>
        <w:t xml:space="preserve">Grey shaded cells </w:t>
      </w:r>
      <w:proofErr w:type="gramStart"/>
      <w:r>
        <w:rPr>
          <w:rFonts w:eastAsia="Calibri"/>
          <w:lang w:eastAsia="en-AU"/>
        </w:rPr>
        <w:t>indicates</w:t>
      </w:r>
      <w:proofErr w:type="gramEnd"/>
      <w:r>
        <w:rPr>
          <w:rFonts w:eastAsia="Calibri"/>
          <w:lang w:eastAsia="en-AU"/>
        </w:rPr>
        <w:t xml:space="preserve"> the treatment arms used in the ITC of AEs</w:t>
      </w:r>
    </w:p>
    <w:p w14:paraId="3C780ADC" w14:textId="77777777" w:rsidR="002F03F5" w:rsidRDefault="008F23FF">
      <w:pPr>
        <w:pStyle w:val="TableFooter"/>
        <w:keepNext/>
        <w:rPr>
          <w:rFonts w:eastAsia="Calibri"/>
          <w:lang w:eastAsia="en-AU"/>
        </w:rPr>
      </w:pPr>
      <w:r>
        <w:rPr>
          <w:rFonts w:eastAsia="Calibri"/>
          <w:lang w:eastAsia="en-AU"/>
        </w:rPr>
        <w:t xml:space="preserve">The AE for EXAM were from NICE TA516 as these were not reported in the publications. The NICE TA516 Assessment Report noted these were from the respective CSRs at the latest DCOs </w:t>
      </w:r>
    </w:p>
    <w:p w14:paraId="3C780ADD" w14:textId="669BE465" w:rsidR="002F03F5" w:rsidRDefault="008F23FF">
      <w:pPr>
        <w:pStyle w:val="TableFooter"/>
        <w:keepNext/>
        <w:rPr>
          <w:rFonts w:eastAsia="Calibri"/>
          <w:lang w:eastAsia="en-AU"/>
        </w:rPr>
      </w:pPr>
      <w:r>
        <w:rPr>
          <w:rFonts w:eastAsia="Calibri"/>
          <w:lang w:eastAsia="en-AU"/>
        </w:rPr>
        <w:t xml:space="preserve">The ITC of selpercatinib and placebo was based on the RD from LIBRETTO-531 (selpercatinib vs cabozantinib/vandetanib) compared to the RD from EXAM (placebo vs cabozantinib). A RD &lt;0 favoured selpercatinib. </w:t>
      </w:r>
    </w:p>
    <w:p w14:paraId="3C780ADE" w14:textId="77777777" w:rsidR="002F03F5" w:rsidRDefault="008F23FF">
      <w:pPr>
        <w:pStyle w:val="TableFooter"/>
        <w:keepNext/>
        <w:rPr>
          <w:rFonts w:eastAsia="Calibri"/>
          <w:lang w:eastAsia="en-AU"/>
        </w:rPr>
      </w:pPr>
      <w:r>
        <w:t>Data cutoff dates and median follow up duration</w:t>
      </w:r>
    </w:p>
    <w:p w14:paraId="3C780ADF" w14:textId="0EB21F00" w:rsidR="002F03F5" w:rsidRDefault="008F23FF" w:rsidP="00601076">
      <w:pPr>
        <w:pStyle w:val="TableFooter"/>
        <w:keepNext/>
        <w:numPr>
          <w:ilvl w:val="0"/>
          <w:numId w:val="5"/>
        </w:numPr>
        <w:ind w:left="284" w:hanging="284"/>
      </w:pPr>
      <w:r>
        <w:t>LIBRETTO-531 DCO March 2024, median follow up for safety NR (median follow up for PFS was 17.4-22.1 months and for OS was 25 months)</w:t>
      </w:r>
    </w:p>
    <w:p w14:paraId="3C780AE1" w14:textId="7EAC5893" w:rsidR="002F03F5" w:rsidRDefault="008F23FF" w:rsidP="00601076">
      <w:pPr>
        <w:pStyle w:val="TableFooter"/>
        <w:keepNext/>
        <w:numPr>
          <w:ilvl w:val="0"/>
          <w:numId w:val="5"/>
        </w:numPr>
        <w:spacing w:after="240"/>
        <w:ind w:left="284" w:hanging="284"/>
      </w:pPr>
      <w:r>
        <w:t>EXAM DCO August 2014, minimum follow up 42 months</w:t>
      </w:r>
    </w:p>
    <w:p w14:paraId="3C780AE2" w14:textId="76D5EED0"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An indirect comparison of AEs conducted by the commentary suggested an inferior safety profile for selpercatinib compared to placebo which was expected given the comparison was between an active vs non active treatment arm. Though, comparisons between LIBRETTO-531 and EXAM were limited due to the differences in follow up time (median of 25 months vs minimum of 42 months), the use of subsequent anticancer therapies and potential bias in the reporting of AEs in the placebo arm from EXAM due to functional unblinding. Nonetheless, the commentary considered it may be reasonable to expect active treatment with selpercatinib to have an inferior safety profile compared to placebo with AEs manageable through dose reductions and omissions.</w:t>
      </w:r>
    </w:p>
    <w:p w14:paraId="3C780AE3" w14:textId="0837A092"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Based on the direct evidence from LIBRETTO-531, selpercatinib appeared to have a more favourable safety profile compared to cabozantinib and vandetanib. Higher rates of AEs in the cabozantinib and vandetanib arm may be expected due to the non-selective mechanism of action of these MKIs relative to the highly selective mechanism of action of selpercatinib. However, there was potential reporting bias in AEs particularly in the cabozantinib or vandetanib arm due to the open label trial design and crossover. </w:t>
      </w:r>
    </w:p>
    <w:p w14:paraId="3C780AE4" w14:textId="2840B2AF" w:rsidR="002F03F5" w:rsidRPr="002A0545" w:rsidRDefault="008F23FF" w:rsidP="002A0545">
      <w:pPr>
        <w:pStyle w:val="MSACESParagraph"/>
        <w:jc w:val="left"/>
        <w:rPr>
          <w:rFonts w:ascii="Franklin Gothic Book" w:hAnsi="Franklin Gothic Book"/>
          <w:i/>
          <w:iCs/>
          <w:sz w:val="22"/>
        </w:rPr>
      </w:pPr>
      <w:r w:rsidRPr="002A0545">
        <w:rPr>
          <w:rFonts w:ascii="Franklin Gothic Book" w:hAnsi="Franklin Gothic Book"/>
          <w:sz w:val="22"/>
        </w:rPr>
        <w:t>The submission did not present the consequences of false positive results (i.e. resulting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patients receiving selpercatinib) or false negative results (i.e. resulting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patients not receiving selpercatinib). The commentary considered the implications of false positive results could not be informed by the evidence given the lack of selpercatinib efficacy data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patients, although it would be reasonable to expect increased risk of AEs relative to BSC.</w:t>
      </w:r>
      <w:r w:rsidRPr="002A0545">
        <w:rPr>
          <w:rFonts w:ascii="Franklin Gothic Book" w:hAnsi="Franklin Gothic Book"/>
          <w:i/>
          <w:iCs/>
          <w:sz w:val="22"/>
        </w:rPr>
        <w:t xml:space="preserve"> </w:t>
      </w:r>
      <w:r w:rsidRPr="002A0545">
        <w:rPr>
          <w:rFonts w:ascii="Franklin Gothic Book" w:hAnsi="Franklin Gothic Book"/>
          <w:sz w:val="22"/>
        </w:rPr>
        <w:t>The commentary also noted that NGS was stated to have greater sensitivity than PCR and there might be implications of false positive results if laboratories in practice opt for PCR based assays. The commentary considered the implications of false negative results would be associated with forgone treatment benefit with selpercatinib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MTC patients. Nonetheless, the commentary acknowledges that PASC stated test validity evidence was not required for this submission. In addition, the commentary considered that testing conducted under NATA accredited laboratories in practice may minimise these risks.</w:t>
      </w:r>
    </w:p>
    <w:p w14:paraId="3C780AE5" w14:textId="77777777" w:rsidR="002F03F5" w:rsidRPr="002A0545" w:rsidRDefault="008F23FF" w:rsidP="00601076">
      <w:pPr>
        <w:pStyle w:val="MSACHeading1"/>
        <w:numPr>
          <w:ilvl w:val="0"/>
          <w:numId w:val="15"/>
        </w:numPr>
        <w:ind w:hanging="720"/>
        <w:rPr>
          <w:rFonts w:ascii="Franklin Gothic Medium" w:hAnsi="Franklin Gothic Medium"/>
          <w:b w:val="0"/>
          <w:bCs w:val="0"/>
          <w:sz w:val="32"/>
          <w:szCs w:val="32"/>
        </w:rPr>
      </w:pPr>
      <w:bookmarkStart w:id="31" w:name="_Toc219898310"/>
      <w:bookmarkStart w:id="32" w:name="_Ref496866994"/>
      <w:bookmarkStart w:id="33" w:name="_Ref496866969"/>
      <w:r w:rsidRPr="002A0545">
        <w:rPr>
          <w:rFonts w:ascii="Franklin Gothic Medium" w:hAnsi="Franklin Gothic Medium"/>
          <w:b w:val="0"/>
          <w:bCs w:val="0"/>
          <w:sz w:val="32"/>
          <w:szCs w:val="32"/>
        </w:rPr>
        <w:t>Comparative effectiveness</w:t>
      </w:r>
      <w:bookmarkEnd w:id="31"/>
      <w:bookmarkEnd w:id="32"/>
      <w:bookmarkEnd w:id="33"/>
    </w:p>
    <w:p w14:paraId="3C780AE6" w14:textId="60E3D8F8"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available evidence is presented in </w:t>
      </w:r>
      <w:r w:rsidR="00CF28BD" w:rsidRPr="00CF28BD">
        <w:rPr>
          <w:rFonts w:ascii="Franklin Gothic Book" w:hAnsi="Franklin Gothic Book"/>
          <w:sz w:val="22"/>
        </w:rPr>
        <w:fldChar w:fldCharType="begin"/>
      </w:r>
      <w:r w:rsidR="00CF28BD" w:rsidRPr="00CF28BD">
        <w:rPr>
          <w:rFonts w:ascii="Franklin Gothic Book" w:hAnsi="Franklin Gothic Book"/>
          <w:sz w:val="22"/>
        </w:rPr>
        <w:instrText xml:space="preserve"> REF _Ref226642670 \h  \* MERGEFORMAT </w:instrText>
      </w:r>
      <w:r w:rsidR="00CF28BD" w:rsidRPr="00CF28BD">
        <w:rPr>
          <w:rFonts w:ascii="Franklin Gothic Book" w:hAnsi="Franklin Gothic Book"/>
          <w:sz w:val="22"/>
        </w:rPr>
      </w:r>
      <w:r w:rsidR="00CF28BD" w:rsidRPr="00CF28BD">
        <w:rPr>
          <w:rFonts w:ascii="Franklin Gothic Book" w:hAnsi="Franklin Gothic Book"/>
          <w:sz w:val="22"/>
        </w:rPr>
        <w:fldChar w:fldCharType="separate"/>
      </w:r>
      <w:r w:rsidR="00CF28BD" w:rsidRPr="00687588">
        <w:rPr>
          <w:rFonts w:ascii="Franklin Gothic Book" w:hAnsi="Franklin Gothic Book"/>
          <w:sz w:val="22"/>
        </w:rPr>
        <w:t xml:space="preserve">Table </w:t>
      </w:r>
      <w:r w:rsidR="00CF28BD" w:rsidRPr="00687588">
        <w:rPr>
          <w:rFonts w:ascii="Franklin Gothic Book" w:hAnsi="Franklin Gothic Book"/>
          <w:noProof/>
          <w:sz w:val="22"/>
        </w:rPr>
        <w:t>6</w:t>
      </w:r>
      <w:r w:rsidR="00CF28BD" w:rsidRPr="00CF28BD">
        <w:rPr>
          <w:rFonts w:ascii="Franklin Gothic Book" w:hAnsi="Franklin Gothic Book"/>
          <w:sz w:val="22"/>
        </w:rPr>
        <w:fldChar w:fldCharType="end"/>
      </w:r>
      <w:r w:rsidRPr="002A0545">
        <w:rPr>
          <w:rFonts w:ascii="Franklin Gothic Book" w:hAnsi="Franklin Gothic Book"/>
          <w:sz w:val="22"/>
        </w:rPr>
        <w:t xml:space="preserve">. </w:t>
      </w:r>
    </w:p>
    <w:p w14:paraId="3C780AE7" w14:textId="6555DB8C" w:rsidR="002F03F5" w:rsidRDefault="00CF28BD" w:rsidP="00CF28BD">
      <w:pPr>
        <w:pStyle w:val="Caption"/>
      </w:pPr>
      <w:bookmarkStart w:id="34" w:name="_Ref226642670"/>
      <w:r>
        <w:t xml:space="preserve">Table </w:t>
      </w:r>
      <w:r>
        <w:fldChar w:fldCharType="begin"/>
      </w:r>
      <w:r>
        <w:instrText>SEQ Table \* ARABIC</w:instrText>
      </w:r>
      <w:r>
        <w:fldChar w:fldCharType="separate"/>
      </w:r>
      <w:r w:rsidR="005B2039">
        <w:rPr>
          <w:noProof/>
        </w:rPr>
        <w:t>6</w:t>
      </w:r>
      <w:r>
        <w:fldChar w:fldCharType="end"/>
      </w:r>
      <w:bookmarkEnd w:id="34"/>
      <w:r>
        <w:t xml:space="preserve"> </w:t>
      </w:r>
      <w:r w:rsidR="008F23FF">
        <w:t>Data availability to inform comparisons</w:t>
      </w:r>
    </w:p>
    <w:tbl>
      <w:tblPr>
        <w:tblW w:w="5000" w:type="pct"/>
        <w:tblLayout w:type="fixed"/>
        <w:tblLook w:val="04A0" w:firstRow="1" w:lastRow="0" w:firstColumn="1" w:lastColumn="0" w:noHBand="0" w:noVBand="1"/>
      </w:tblPr>
      <w:tblGrid>
        <w:gridCol w:w="2688"/>
        <w:gridCol w:w="3163"/>
        <w:gridCol w:w="3165"/>
      </w:tblGrid>
      <w:tr w:rsidR="002F03F5" w14:paraId="3C780AEA" w14:textId="77777777" w:rsidTr="00B65D0F">
        <w:tc>
          <w:tcPr>
            <w:tcW w:w="2690" w:type="dxa"/>
            <w:tcBorders>
              <w:top w:val="single" w:sz="4" w:space="0" w:color="000000"/>
              <w:left w:val="single" w:sz="4" w:space="0" w:color="000000"/>
              <w:bottom w:val="single" w:sz="4" w:space="0" w:color="000000"/>
              <w:right w:val="single" w:sz="4" w:space="0" w:color="000000"/>
            </w:tcBorders>
            <w:hideMark/>
          </w:tcPr>
          <w:p w14:paraId="3C780AE8" w14:textId="77777777" w:rsidR="002F03F5" w:rsidRDefault="008F23FF">
            <w:pPr>
              <w:pStyle w:val="TableText"/>
            </w:pPr>
            <w:r>
              <w:t>Proposed test vs no test</w:t>
            </w:r>
          </w:p>
        </w:tc>
        <w:tc>
          <w:tcPr>
            <w:tcW w:w="6336" w:type="dxa"/>
            <w:gridSpan w:val="2"/>
            <w:tcBorders>
              <w:top w:val="single" w:sz="4" w:space="0" w:color="000000"/>
              <w:left w:val="single" w:sz="4" w:space="0" w:color="000000"/>
              <w:bottom w:val="single" w:sz="4" w:space="0" w:color="000000"/>
              <w:right w:val="single" w:sz="4" w:space="0" w:color="000000"/>
            </w:tcBorders>
            <w:vAlign w:val="center"/>
            <w:hideMark/>
          </w:tcPr>
          <w:p w14:paraId="3C780AE9" w14:textId="77777777" w:rsidR="002F03F5" w:rsidRDefault="008F23FF">
            <w:pPr>
              <w:pStyle w:val="TableText"/>
              <w:jc w:val="center"/>
              <w:rPr>
                <w:b/>
              </w:rPr>
            </w:pPr>
            <w:r>
              <w:t>Not available/presented</w:t>
            </w:r>
          </w:p>
        </w:tc>
      </w:tr>
      <w:tr w:rsidR="002F03F5" w14:paraId="3C780AED" w14:textId="77777777" w:rsidTr="00B65D0F">
        <w:tc>
          <w:tcPr>
            <w:tcW w:w="2690" w:type="dxa"/>
            <w:tcBorders>
              <w:top w:val="single" w:sz="4" w:space="0" w:color="000000"/>
              <w:left w:val="single" w:sz="4" w:space="0" w:color="000000"/>
              <w:bottom w:val="single" w:sz="4" w:space="0" w:color="000000"/>
              <w:right w:val="single" w:sz="4" w:space="0" w:color="000000"/>
            </w:tcBorders>
            <w:hideMark/>
          </w:tcPr>
          <w:p w14:paraId="3C780AEB" w14:textId="77777777" w:rsidR="002F03F5" w:rsidRDefault="008F23FF">
            <w:pPr>
              <w:pStyle w:val="TableText"/>
            </w:pPr>
            <w:r>
              <w:t>Proposed test vs alternative test</w:t>
            </w:r>
          </w:p>
        </w:tc>
        <w:tc>
          <w:tcPr>
            <w:tcW w:w="6336" w:type="dxa"/>
            <w:gridSpan w:val="2"/>
            <w:tcBorders>
              <w:top w:val="single" w:sz="4" w:space="0" w:color="000000"/>
              <w:left w:val="single" w:sz="4" w:space="0" w:color="000000"/>
              <w:bottom w:val="single" w:sz="4" w:space="0" w:color="000000"/>
              <w:right w:val="single" w:sz="4" w:space="0" w:color="000000"/>
            </w:tcBorders>
            <w:vAlign w:val="center"/>
            <w:hideMark/>
          </w:tcPr>
          <w:p w14:paraId="3C780AEC" w14:textId="77777777" w:rsidR="002F03F5" w:rsidRDefault="008F23FF">
            <w:pPr>
              <w:pStyle w:val="TableText"/>
              <w:jc w:val="center"/>
              <w:rPr>
                <w:b/>
              </w:rPr>
            </w:pPr>
            <w:r>
              <w:t>Not available/presented</w:t>
            </w:r>
          </w:p>
        </w:tc>
      </w:tr>
      <w:tr w:rsidR="002F03F5" w14:paraId="3C780AF1" w14:textId="77777777" w:rsidTr="00B65D0F">
        <w:tc>
          <w:tcPr>
            <w:tcW w:w="2690" w:type="dxa"/>
            <w:tcBorders>
              <w:top w:val="single" w:sz="4" w:space="0" w:color="000000"/>
              <w:left w:val="single" w:sz="4" w:space="0" w:color="000000"/>
              <w:bottom w:val="single" w:sz="4" w:space="0" w:color="000000"/>
              <w:right w:val="single" w:sz="4" w:space="0" w:color="000000"/>
            </w:tcBorders>
          </w:tcPr>
          <w:p w14:paraId="3C780AEE" w14:textId="77777777" w:rsidR="002F03F5" w:rsidRDefault="002F03F5">
            <w:pPr>
              <w:pStyle w:val="TableText"/>
            </w:pPr>
          </w:p>
        </w:tc>
        <w:tc>
          <w:tcPr>
            <w:tcW w:w="3167" w:type="dxa"/>
            <w:tcBorders>
              <w:top w:val="single" w:sz="4" w:space="0" w:color="000000"/>
              <w:left w:val="single" w:sz="4" w:space="0" w:color="000000"/>
              <w:bottom w:val="single" w:sz="4" w:space="0" w:color="000000"/>
              <w:right w:val="single" w:sz="4" w:space="0" w:color="000000"/>
            </w:tcBorders>
            <w:vAlign w:val="center"/>
            <w:hideMark/>
          </w:tcPr>
          <w:p w14:paraId="3C780AEF" w14:textId="77777777" w:rsidR="002F03F5" w:rsidRDefault="008F23FF">
            <w:pPr>
              <w:pStyle w:val="TableText"/>
              <w:jc w:val="center"/>
              <w:rPr>
                <w:b/>
              </w:rPr>
            </w:pPr>
            <w:r>
              <w:rPr>
                <w:b/>
              </w:rPr>
              <w:t>Selpercatinib</w:t>
            </w:r>
          </w:p>
        </w:tc>
        <w:tc>
          <w:tcPr>
            <w:tcW w:w="3169" w:type="dxa"/>
            <w:tcBorders>
              <w:top w:val="single" w:sz="4" w:space="0" w:color="000000"/>
              <w:left w:val="single" w:sz="4" w:space="0" w:color="000000"/>
              <w:bottom w:val="single" w:sz="4" w:space="0" w:color="000000"/>
              <w:right w:val="single" w:sz="4" w:space="0" w:color="000000"/>
            </w:tcBorders>
            <w:vAlign w:val="center"/>
            <w:hideMark/>
          </w:tcPr>
          <w:p w14:paraId="3C780AF0" w14:textId="77777777" w:rsidR="002F03F5" w:rsidRDefault="008F23FF">
            <w:pPr>
              <w:pStyle w:val="TableText"/>
              <w:jc w:val="center"/>
              <w:rPr>
                <w:b/>
              </w:rPr>
            </w:pPr>
            <w:r>
              <w:rPr>
                <w:b/>
              </w:rPr>
              <w:t xml:space="preserve">Best supportive </w:t>
            </w:r>
            <w:proofErr w:type="spellStart"/>
            <w:proofErr w:type="gramStart"/>
            <w:r>
              <w:rPr>
                <w:b/>
              </w:rPr>
              <w:t>care</w:t>
            </w:r>
            <w:r>
              <w:rPr>
                <w:b/>
                <w:vertAlign w:val="superscript"/>
              </w:rPr>
              <w:t>a,b</w:t>
            </w:r>
            <w:proofErr w:type="spellEnd"/>
            <w:proofErr w:type="gramEnd"/>
          </w:p>
        </w:tc>
      </w:tr>
      <w:tr w:rsidR="002F03F5" w14:paraId="3C780AF5" w14:textId="77777777" w:rsidTr="00B65D0F">
        <w:tc>
          <w:tcPr>
            <w:tcW w:w="2690" w:type="dxa"/>
            <w:tcBorders>
              <w:top w:val="single" w:sz="4" w:space="0" w:color="000000"/>
              <w:left w:val="single" w:sz="4" w:space="0" w:color="000000"/>
              <w:bottom w:val="single" w:sz="4" w:space="0" w:color="000000"/>
              <w:right w:val="single" w:sz="4" w:space="0" w:color="000000"/>
            </w:tcBorders>
            <w:hideMark/>
          </w:tcPr>
          <w:p w14:paraId="3C780AF2" w14:textId="77777777" w:rsidR="002F03F5" w:rsidRDefault="008F23FF">
            <w:pPr>
              <w:pStyle w:val="TableText"/>
            </w:pPr>
            <w:r>
              <w:t>Biomarker test positive</w:t>
            </w:r>
          </w:p>
        </w:tc>
        <w:tc>
          <w:tcPr>
            <w:tcW w:w="3167" w:type="dxa"/>
            <w:tcBorders>
              <w:top w:val="single" w:sz="4" w:space="0" w:color="000000"/>
              <w:left w:val="single" w:sz="4" w:space="0" w:color="000000"/>
              <w:bottom w:val="single" w:sz="4" w:space="0" w:color="000000"/>
              <w:right w:val="single" w:sz="4" w:space="0" w:color="000000"/>
            </w:tcBorders>
            <w:vAlign w:val="center"/>
            <w:hideMark/>
          </w:tcPr>
          <w:p w14:paraId="3C780AF3" w14:textId="4374DA67" w:rsidR="002F03F5" w:rsidRDefault="008F23FF">
            <w:pPr>
              <w:pStyle w:val="TableText"/>
              <w:jc w:val="center"/>
            </w:pPr>
            <w:r>
              <w:t>LIBRETTO-531</w:t>
            </w:r>
          </w:p>
        </w:tc>
        <w:tc>
          <w:tcPr>
            <w:tcW w:w="3169" w:type="dxa"/>
            <w:tcBorders>
              <w:top w:val="single" w:sz="4" w:space="0" w:color="000000"/>
              <w:left w:val="single" w:sz="4" w:space="0" w:color="000000"/>
              <w:bottom w:val="single" w:sz="4" w:space="0" w:color="000000"/>
              <w:right w:val="single" w:sz="4" w:space="0" w:color="000000"/>
            </w:tcBorders>
            <w:vAlign w:val="center"/>
            <w:hideMark/>
          </w:tcPr>
          <w:p w14:paraId="3C780AF4" w14:textId="77777777" w:rsidR="002F03F5" w:rsidRDefault="008F23FF">
            <w:pPr>
              <w:pStyle w:val="TableText"/>
              <w:jc w:val="center"/>
            </w:pPr>
            <w:r>
              <w:t>EXAM</w:t>
            </w:r>
          </w:p>
        </w:tc>
      </w:tr>
      <w:tr w:rsidR="002F03F5" w14:paraId="3C780AF9" w14:textId="77777777" w:rsidTr="00B65D0F">
        <w:tc>
          <w:tcPr>
            <w:tcW w:w="2690" w:type="dxa"/>
            <w:tcBorders>
              <w:top w:val="single" w:sz="4" w:space="0" w:color="000000"/>
              <w:left w:val="single" w:sz="4" w:space="0" w:color="000000"/>
              <w:bottom w:val="single" w:sz="4" w:space="0" w:color="000000"/>
              <w:right w:val="single" w:sz="4" w:space="0" w:color="000000"/>
            </w:tcBorders>
            <w:hideMark/>
          </w:tcPr>
          <w:p w14:paraId="3C780AF6" w14:textId="77777777" w:rsidR="002F03F5" w:rsidRDefault="008F23FF">
            <w:pPr>
              <w:pStyle w:val="TableText"/>
            </w:pPr>
            <w:r>
              <w:t>Biomarker test wildtype</w:t>
            </w:r>
            <w:r>
              <w:rPr>
                <w:b/>
              </w:rPr>
              <w:t xml:space="preserve"> </w:t>
            </w:r>
          </w:p>
        </w:tc>
        <w:tc>
          <w:tcPr>
            <w:tcW w:w="3167" w:type="dxa"/>
            <w:tcBorders>
              <w:top w:val="single" w:sz="4" w:space="0" w:color="000000"/>
              <w:left w:val="single" w:sz="4" w:space="0" w:color="000000"/>
              <w:bottom w:val="single" w:sz="4" w:space="0" w:color="000000"/>
              <w:right w:val="single" w:sz="4" w:space="0" w:color="000000"/>
            </w:tcBorders>
            <w:vAlign w:val="center"/>
            <w:hideMark/>
          </w:tcPr>
          <w:p w14:paraId="3C780AF7" w14:textId="77777777" w:rsidR="002F03F5" w:rsidRDefault="008F23FF">
            <w:pPr>
              <w:pStyle w:val="TableText"/>
              <w:jc w:val="center"/>
            </w:pPr>
            <w:r>
              <w:t>Not available/presented</w:t>
            </w:r>
          </w:p>
        </w:tc>
        <w:tc>
          <w:tcPr>
            <w:tcW w:w="3169" w:type="dxa"/>
            <w:tcBorders>
              <w:top w:val="single" w:sz="4" w:space="0" w:color="000000"/>
              <w:left w:val="single" w:sz="4" w:space="0" w:color="000000"/>
              <w:bottom w:val="single" w:sz="4" w:space="0" w:color="000000"/>
              <w:right w:val="single" w:sz="4" w:space="0" w:color="000000"/>
            </w:tcBorders>
            <w:vAlign w:val="center"/>
            <w:hideMark/>
          </w:tcPr>
          <w:p w14:paraId="3C780AF8" w14:textId="77777777" w:rsidR="002F03F5" w:rsidRDefault="008F23FF">
            <w:pPr>
              <w:pStyle w:val="TableText"/>
              <w:jc w:val="center"/>
            </w:pPr>
            <w:r>
              <w:t>EXAM</w:t>
            </w:r>
          </w:p>
        </w:tc>
      </w:tr>
    </w:tbl>
    <w:p w14:paraId="3C780AFA" w14:textId="77777777" w:rsidR="002F03F5" w:rsidRDefault="008F23FF">
      <w:pPr>
        <w:pStyle w:val="TableFooter"/>
      </w:pPr>
      <w:r>
        <w:t>Source: Section 2A to 2D of the submission</w:t>
      </w:r>
    </w:p>
    <w:p w14:paraId="3C780AFB" w14:textId="77777777" w:rsidR="002F03F5" w:rsidRDefault="008F23FF">
      <w:pPr>
        <w:pStyle w:val="TableFooter"/>
      </w:pPr>
      <w:r>
        <w:rPr>
          <w:vertAlign w:val="superscript"/>
        </w:rPr>
        <w:t>a</w:t>
      </w:r>
      <w:r>
        <w:t xml:space="preserve"> ZETA was used as a sensitivity analysis in the indirect comparison for best supportive care but is not presented in the MSAC Executive Summary.</w:t>
      </w:r>
    </w:p>
    <w:p w14:paraId="3C780AFC" w14:textId="77777777" w:rsidR="002F03F5" w:rsidRDefault="008F23FF">
      <w:pPr>
        <w:pStyle w:val="TableFooter"/>
        <w:rPr>
          <w:vertAlign w:val="superscript"/>
        </w:rPr>
      </w:pPr>
      <w:r>
        <w:rPr>
          <w:vertAlign w:val="superscript"/>
        </w:rPr>
        <w:t>b</w:t>
      </w:r>
      <w:r>
        <w:rPr>
          <w:vertAlign w:val="subscript"/>
        </w:rPr>
        <w:t xml:space="preserve"> </w:t>
      </w:r>
      <w:r>
        <w:t>Placebo was used as a proxy for best supportive care which the commentary considered was reasonable</w:t>
      </w:r>
    </w:p>
    <w:p w14:paraId="3C780AFE" w14:textId="098F0E69" w:rsidR="002F03F5" w:rsidRPr="002A0545" w:rsidRDefault="008F23FF" w:rsidP="002D259E">
      <w:pPr>
        <w:pStyle w:val="MSACESParagraph"/>
        <w:spacing w:before="240"/>
        <w:jc w:val="left"/>
        <w:rPr>
          <w:rFonts w:ascii="Franklin Gothic Book" w:hAnsi="Franklin Gothic Book"/>
          <w:sz w:val="22"/>
        </w:rPr>
      </w:pPr>
      <w:r w:rsidRPr="002A0545">
        <w:rPr>
          <w:rFonts w:ascii="Franklin Gothic Book" w:hAnsi="Franklin Gothic Book"/>
          <w:sz w:val="22"/>
        </w:rPr>
        <w:lastRenderedPageBreak/>
        <w:t>The commentary noted that PASC advised that analytical validity was not required to be assessed and a reference standard was not required as the clinical utility standard was the same as what is currently used in Australia for testing of activating</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variants (NGS or Sanger sequencing, which are well established methods; p16, Ratified PICO confirmation 1804). </w:t>
      </w:r>
    </w:p>
    <w:p w14:paraId="3C780AFF" w14:textId="3EE8676F"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The commentary noted the submission only presented evidence for selpercatinib treatment in the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population (LIBRETTO-531) and did not present evidence of selpercatinib treatment in the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wildtype population, although the commentary acknowledged that this evidence was limited. </w:t>
      </w:r>
    </w:p>
    <w:p w14:paraId="3C780B00" w14:textId="77777777" w:rsidR="002F03F5" w:rsidRPr="002A0545" w:rsidRDefault="008F23FF">
      <w:pPr>
        <w:pStyle w:val="Heading4"/>
        <w:rPr>
          <w:rFonts w:ascii="Franklin Gothic Book" w:hAnsi="Franklin Gothic Book"/>
          <w:sz w:val="22"/>
          <w:szCs w:val="22"/>
        </w:rPr>
      </w:pPr>
      <w:r w:rsidRPr="002A0545">
        <w:rPr>
          <w:rFonts w:ascii="Franklin Gothic Book" w:hAnsi="Franklin Gothic Book"/>
          <w:sz w:val="22"/>
          <w:szCs w:val="22"/>
        </w:rPr>
        <w:t xml:space="preserve">Comparative accuracy/test performance – Diagnostic yield </w:t>
      </w:r>
    </w:p>
    <w:p w14:paraId="3C780B01" w14:textId="77777777"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 xml:space="preserve">The submission did not present test performance evidence as per PASC’s advice that NGS and PCR were the clinical utility standard in Australia. </w:t>
      </w:r>
    </w:p>
    <w:p w14:paraId="3C780B02" w14:textId="3F5D54B8"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The submission presented the diagnostic yield calculated as the inverse of the number of patients who need to be tested using NGS/PCR of tumour tissue to identify one patient with a</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alteration (i.e. the number needed to test [NNT]). The submission’s NNT was estimated based on:</w:t>
      </w:r>
    </w:p>
    <w:p w14:paraId="3C780B03" w14:textId="77777777" w:rsidR="002F03F5" w:rsidRPr="002A0545" w:rsidRDefault="008F23FF" w:rsidP="002D259E">
      <w:pPr>
        <w:pStyle w:val="MainBodyBulletPoint"/>
        <w:rPr>
          <w:rFonts w:ascii="Franklin Gothic Book" w:hAnsi="Franklin Gothic Book"/>
        </w:rPr>
      </w:pPr>
      <w:r w:rsidRPr="002A0545">
        <w:rPr>
          <w:rFonts w:ascii="Franklin Gothic Book" w:hAnsi="Franklin Gothic Book"/>
        </w:rPr>
        <w:t>The assumption that test sensitivity was 100%.</w:t>
      </w:r>
    </w:p>
    <w:p w14:paraId="3C780B04" w14:textId="77777777" w:rsidR="002F03F5" w:rsidRPr="002A0545" w:rsidRDefault="008F23FF" w:rsidP="002D259E">
      <w:pPr>
        <w:pStyle w:val="MainBodyBulletPoint"/>
        <w:rPr>
          <w:rFonts w:ascii="Franklin Gothic Book" w:hAnsi="Franklin Gothic Book"/>
        </w:rPr>
      </w:pPr>
      <w:r w:rsidRPr="002A0545">
        <w:rPr>
          <w:rFonts w:ascii="Franklin Gothic Book" w:hAnsi="Franklin Gothic Book"/>
        </w:rPr>
        <w:t>The proportion of patients diagnosed at or progressed to locally advanced or metastatic MTC (85%), which was estimated as the proportion of the eligible test population who were diagnosed at or progressed to stage III/IV MTC calculated from the submission’s financial estimates (see Section 11 of the MSAC Executive Summary).</w:t>
      </w:r>
      <w:r w:rsidRPr="002A0545">
        <w:rPr>
          <w:rFonts w:ascii="Franklin Gothic Book" w:hAnsi="Franklin Gothic Book"/>
          <w:i/>
          <w:iCs/>
        </w:rPr>
        <w:t xml:space="preserve"> </w:t>
      </w:r>
      <w:r w:rsidRPr="002A0545">
        <w:rPr>
          <w:rFonts w:ascii="Franklin Gothic Book" w:hAnsi="Franklin Gothic Book"/>
        </w:rPr>
        <w:t xml:space="preserve">The commentary cautions against relying on this estimate, since the submission substantially underestimated the population who would be eligible for testing due to inappropriate accounting of prevalent patients prior to 2026. Based on revised estimates by the commentary, the total proportion of stage III/IV MTC patients in the total eligible test cohort was 66.3% (1,373/2,070). Regardless, applying this proportion was inconsistent with proposed testing in patients at the point of MTC diagnosis (the base case assumption in the submission). </w:t>
      </w:r>
    </w:p>
    <w:p w14:paraId="3C780B05" w14:textId="7F062320" w:rsidR="002F03F5" w:rsidRPr="002A0545" w:rsidRDefault="008F23FF" w:rsidP="002D259E">
      <w:pPr>
        <w:pStyle w:val="MainBodyBulletPoint"/>
        <w:rPr>
          <w:rFonts w:ascii="Franklin Gothic Book" w:hAnsi="Franklin Gothic Book"/>
        </w:rPr>
      </w:pPr>
      <w:r w:rsidRPr="002A0545">
        <w:rPr>
          <w:rFonts w:ascii="Franklin Gothic Book" w:hAnsi="Franklin Gothic Book"/>
        </w:rPr>
        <w:t>The proportion of patients with progressive and symptomatic MTC (57.2%) based on a post hoc analysis from the ZETA trial (</w:t>
      </w:r>
      <w:proofErr w:type="spellStart"/>
      <w:r w:rsidRPr="002A0545">
        <w:rPr>
          <w:rFonts w:ascii="Franklin Gothic Book" w:hAnsi="Franklin Gothic Book"/>
        </w:rPr>
        <w:t>Kreissl</w:t>
      </w:r>
      <w:proofErr w:type="spellEnd"/>
      <w:r w:rsidRPr="002A0545">
        <w:rPr>
          <w:rFonts w:ascii="Franklin Gothic Book" w:hAnsi="Franklin Gothic Book"/>
        </w:rPr>
        <w:t xml:space="preserve"> 2020).</w:t>
      </w:r>
      <w:r w:rsidRPr="002A0545">
        <w:rPr>
          <w:rStyle w:val="FootnoteReference"/>
          <w:rFonts w:ascii="Franklin Gothic Book" w:hAnsi="Franklin Gothic Book"/>
        </w:rPr>
        <w:footnoteReference w:id="26"/>
      </w:r>
      <w:r w:rsidRPr="002A0545">
        <w:rPr>
          <w:rFonts w:ascii="Franklin Gothic Book" w:hAnsi="Franklin Gothic Book"/>
        </w:rPr>
        <w:t xml:space="preserve"> ZETA was a phase III, randomised, double blinded trial that compared vandetanib (n=231) to placebo (n=100) in patients with locally advanced or metastatic MTC with unresectable disease, and who had been exposed to kinase inhibitors. The submission stated the proportion of patients who </w:t>
      </w:r>
      <w:r w:rsidR="006016CB">
        <w:rPr>
          <w:rFonts w:ascii="Franklin Gothic Book" w:hAnsi="Franklin Gothic Book"/>
        </w:rPr>
        <w:t>had</w:t>
      </w:r>
      <w:r w:rsidRPr="002A0545">
        <w:rPr>
          <w:rFonts w:ascii="Franklin Gothic Book" w:hAnsi="Franklin Gothic Book"/>
        </w:rPr>
        <w:t xml:space="preserve"> progressed and </w:t>
      </w:r>
      <w:r w:rsidR="006016CB">
        <w:rPr>
          <w:rFonts w:ascii="Franklin Gothic Book" w:hAnsi="Franklin Gothic Book"/>
        </w:rPr>
        <w:t xml:space="preserve">were </w:t>
      </w:r>
      <w:r w:rsidR="00E37171">
        <w:rPr>
          <w:rFonts w:ascii="Franklin Gothic Book" w:hAnsi="Franklin Gothic Book"/>
        </w:rPr>
        <w:t xml:space="preserve">  </w:t>
      </w:r>
      <w:r w:rsidRPr="002A0545">
        <w:rPr>
          <w:rFonts w:ascii="Franklin Gothic Book" w:hAnsi="Franklin Gothic Book"/>
        </w:rPr>
        <w:t>symptomatic was 107/187; however,</w:t>
      </w:r>
      <w:r w:rsidRPr="002A0545">
        <w:rPr>
          <w:rFonts w:ascii="Franklin Gothic Book" w:hAnsi="Franklin Gothic Book"/>
          <w:i/>
          <w:iCs/>
        </w:rPr>
        <w:t xml:space="preserve"> </w:t>
      </w:r>
      <w:r w:rsidRPr="002A0545">
        <w:rPr>
          <w:rFonts w:ascii="Franklin Gothic Book" w:hAnsi="Franklin Gothic Book"/>
        </w:rPr>
        <w:t>the commentary noted this proportion reflected the proportion of progressive and symptomatic MTC patients with a</w:t>
      </w:r>
      <w:r w:rsidRPr="002A0545">
        <w:rPr>
          <w:rFonts w:ascii="Franklin Gothic Book" w:hAnsi="Franklin Gothic Book"/>
          <w:i/>
        </w:rPr>
        <w:t xml:space="preserve"> </w:t>
      </w:r>
      <w:r w:rsidR="00B14353" w:rsidRPr="00B14353">
        <w:rPr>
          <w:rFonts w:ascii="Franklin Gothic Book" w:hAnsi="Franklin Gothic Book"/>
          <w:i/>
          <w:iCs/>
        </w:rPr>
        <w:t>RET</w:t>
      </w:r>
      <w:r w:rsidRPr="002A0545">
        <w:rPr>
          <w:rFonts w:ascii="Franklin Gothic Book" w:hAnsi="Franklin Gothic Book"/>
          <w:i/>
        </w:rPr>
        <w:t xml:space="preserve"> </w:t>
      </w:r>
      <w:r w:rsidRPr="002A0545">
        <w:rPr>
          <w:rFonts w:ascii="Franklin Gothic Book" w:hAnsi="Franklin Gothic Book"/>
        </w:rPr>
        <w:t xml:space="preserve">variant in ZETA. The actual proportion of stage III/IV MTC patients with progressive and symptomatic disease was 55.6% (184/331; Table 1; </w:t>
      </w:r>
      <w:proofErr w:type="spellStart"/>
      <w:r w:rsidRPr="002A0545">
        <w:rPr>
          <w:rFonts w:ascii="Franklin Gothic Book" w:hAnsi="Franklin Gothic Book"/>
        </w:rPr>
        <w:t>Kreissl</w:t>
      </w:r>
      <w:proofErr w:type="spellEnd"/>
      <w:r w:rsidRPr="002A0545">
        <w:rPr>
          <w:rFonts w:ascii="Franklin Gothic Book" w:hAnsi="Franklin Gothic Book"/>
        </w:rPr>
        <w:t xml:space="preserve"> 2020). Regardless, the proposed test population was irrespective of whether a patient had progressive disease and the commentary considered this proportion should not be applied.</w:t>
      </w:r>
      <w:r w:rsidRPr="002A0545">
        <w:rPr>
          <w:rFonts w:ascii="Franklin Gothic Book" w:hAnsi="Franklin Gothic Book"/>
          <w:i/>
          <w:iCs/>
        </w:rPr>
        <w:t xml:space="preserve"> </w:t>
      </w:r>
    </w:p>
    <w:p w14:paraId="3C780B06" w14:textId="4B6DF54F" w:rsidR="002F03F5" w:rsidRPr="002A0545" w:rsidRDefault="008F23FF" w:rsidP="002D259E">
      <w:pPr>
        <w:pStyle w:val="MainBodyBulletPoint"/>
        <w:rPr>
          <w:rFonts w:ascii="Franklin Gothic Book" w:hAnsi="Franklin Gothic Book"/>
        </w:rPr>
      </w:pPr>
      <w:r w:rsidRPr="002A0545">
        <w:rPr>
          <w:rFonts w:ascii="Franklin Gothic Book" w:hAnsi="Franklin Gothic Book"/>
        </w:rPr>
        <w:t>The proportion of patients with a</w:t>
      </w:r>
      <w:r w:rsidRPr="002A0545">
        <w:rPr>
          <w:rFonts w:ascii="Franklin Gothic Book" w:hAnsi="Franklin Gothic Book"/>
          <w:i/>
        </w:rPr>
        <w:t xml:space="preserve"> </w:t>
      </w:r>
      <w:r w:rsidR="00B14353" w:rsidRPr="00B14353">
        <w:rPr>
          <w:rFonts w:ascii="Franklin Gothic Book" w:hAnsi="Franklin Gothic Book"/>
          <w:i/>
          <w:iCs/>
        </w:rPr>
        <w:t>RET</w:t>
      </w:r>
      <w:r w:rsidRPr="002A0545">
        <w:rPr>
          <w:rFonts w:ascii="Franklin Gothic Book" w:hAnsi="Franklin Gothic Book"/>
          <w:i/>
        </w:rPr>
        <w:t xml:space="preserve"> </w:t>
      </w:r>
      <w:r w:rsidRPr="002A0545">
        <w:rPr>
          <w:rFonts w:ascii="Franklin Gothic Book" w:hAnsi="Franklin Gothic Book"/>
        </w:rPr>
        <w:t xml:space="preserve">variant (70%). The commentary considered this was potentially higher in patients with advanced or metastatic MTC. </w:t>
      </w:r>
    </w:p>
    <w:p w14:paraId="3C780B07" w14:textId="77777777"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 xml:space="preserve">An NNT of 2.97 was reported in the submission. However, the commentary noted that based on the submission’s inputs, the calculation would result in an NNT of 2.92. Nonetheless, this had almost no impact on the economic model and financial estimations (Section 10 and 11 of the </w:t>
      </w:r>
      <w:r w:rsidRPr="002A0545">
        <w:rPr>
          <w:rFonts w:ascii="Franklin Gothic Book" w:hAnsi="Franklin Gothic Book"/>
          <w:sz w:val="22"/>
        </w:rPr>
        <w:lastRenderedPageBreak/>
        <w:t>MSAC Executive Summary) and the submission’s base case inputs were considered not applicable to the proposed test population as discussed above.</w:t>
      </w:r>
    </w:p>
    <w:p w14:paraId="3C780B08" w14:textId="515B56B0"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 xml:space="preserve">The commentary considered the NNT estimated by the submission limited testing in stage III/IV MTC patients with progressive and symptomatic disease which did not align with the MBS item </w:t>
      </w:r>
      <w:r w:rsidRPr="00B04D41">
        <w:rPr>
          <w:rFonts w:ascii="Franklin Gothic Book" w:hAnsi="Franklin Gothic Book"/>
          <w:sz w:val="22"/>
        </w:rPr>
        <w:t xml:space="preserve">descriptor or testing Options 1 or 2. Alternative NNT estimates calculated by the commentary are shown in </w:t>
      </w:r>
      <w:r w:rsidR="00B04D41" w:rsidRPr="00B04D41">
        <w:rPr>
          <w:rFonts w:ascii="Franklin Gothic Book" w:hAnsi="Franklin Gothic Book"/>
          <w:sz w:val="22"/>
        </w:rPr>
        <w:fldChar w:fldCharType="begin"/>
      </w:r>
      <w:r w:rsidR="00B04D41" w:rsidRPr="00B04D41">
        <w:rPr>
          <w:rFonts w:ascii="Franklin Gothic Book" w:hAnsi="Franklin Gothic Book"/>
          <w:sz w:val="22"/>
        </w:rPr>
        <w:instrText xml:space="preserve"> REF _Ref226642770 \h  \* MERGEFORMAT </w:instrText>
      </w:r>
      <w:r w:rsidR="00B04D41" w:rsidRPr="00B04D41">
        <w:rPr>
          <w:rFonts w:ascii="Franklin Gothic Book" w:hAnsi="Franklin Gothic Book"/>
          <w:sz w:val="22"/>
        </w:rPr>
      </w:r>
      <w:r w:rsidR="00B04D41" w:rsidRPr="00B04D41">
        <w:rPr>
          <w:rFonts w:ascii="Franklin Gothic Book" w:hAnsi="Franklin Gothic Book"/>
          <w:sz w:val="22"/>
        </w:rPr>
        <w:fldChar w:fldCharType="separate"/>
      </w:r>
      <w:r w:rsidR="00B04D41" w:rsidRPr="009B2025">
        <w:rPr>
          <w:rFonts w:ascii="Franklin Gothic Book" w:hAnsi="Franklin Gothic Book"/>
          <w:sz w:val="22"/>
        </w:rPr>
        <w:t xml:space="preserve">Table </w:t>
      </w:r>
      <w:r w:rsidR="00B04D41" w:rsidRPr="009B2025">
        <w:rPr>
          <w:rFonts w:ascii="Franklin Gothic Book" w:hAnsi="Franklin Gothic Book"/>
          <w:noProof/>
          <w:sz w:val="22"/>
        </w:rPr>
        <w:t>7</w:t>
      </w:r>
      <w:r w:rsidR="00B04D41" w:rsidRPr="00B04D41">
        <w:rPr>
          <w:rFonts w:ascii="Franklin Gothic Book" w:hAnsi="Franklin Gothic Book"/>
          <w:sz w:val="22"/>
        </w:rPr>
        <w:fldChar w:fldCharType="end"/>
      </w:r>
      <w:r w:rsidRPr="002A0545">
        <w:rPr>
          <w:rFonts w:ascii="Franklin Gothic Book" w:hAnsi="Franklin Gothic Book"/>
          <w:sz w:val="22"/>
        </w:rPr>
        <w:t>; these assumed different test populations and used more appropriate inputs. In addition, NNT assuming a higher</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prevalence in locally advanced or metastatic MTC patients estimated by the commentary is also presented.</w:t>
      </w:r>
    </w:p>
    <w:p w14:paraId="3C780B09" w14:textId="0F77E61E" w:rsidR="002F03F5" w:rsidRDefault="00CF28BD" w:rsidP="00B04D41">
      <w:pPr>
        <w:pStyle w:val="Caption"/>
        <w:tabs>
          <w:tab w:val="clear" w:pos="1418"/>
        </w:tabs>
        <w:ind w:left="0" w:firstLine="0"/>
      </w:pPr>
      <w:bookmarkStart w:id="35" w:name="_Ref226642770"/>
      <w:r>
        <w:t xml:space="preserve">Table </w:t>
      </w:r>
      <w:r>
        <w:fldChar w:fldCharType="begin"/>
      </w:r>
      <w:r>
        <w:instrText>SEQ Table \* ARABIC</w:instrText>
      </w:r>
      <w:r>
        <w:fldChar w:fldCharType="separate"/>
      </w:r>
      <w:r w:rsidR="005B2039">
        <w:rPr>
          <w:noProof/>
        </w:rPr>
        <w:t>7</w:t>
      </w:r>
      <w:r>
        <w:fldChar w:fldCharType="end"/>
      </w:r>
      <w:bookmarkEnd w:id="35"/>
      <w:r>
        <w:t xml:space="preserve"> </w:t>
      </w:r>
      <w:r w:rsidR="008F23FF">
        <w:t>NNT estimates by the commentary, assuming different testing populations and biomarker prevalence</w:t>
      </w:r>
    </w:p>
    <w:tbl>
      <w:tblPr>
        <w:tblStyle w:val="HTATableshaded"/>
        <w:tblW w:w="9016" w:type="dxa"/>
        <w:tblLayout w:type="fixed"/>
        <w:tblLook w:val="04A0" w:firstRow="1" w:lastRow="0" w:firstColumn="1" w:lastColumn="0" w:noHBand="0" w:noVBand="1"/>
      </w:tblPr>
      <w:tblGrid>
        <w:gridCol w:w="1704"/>
        <w:gridCol w:w="2340"/>
        <w:gridCol w:w="2431"/>
        <w:gridCol w:w="2541"/>
      </w:tblGrid>
      <w:tr w:rsidR="002F03F5" w14:paraId="3C780B0D" w14:textId="77777777" w:rsidTr="00B65D0F">
        <w:trPr>
          <w:cnfStyle w:val="100000000000" w:firstRow="1" w:lastRow="0" w:firstColumn="0" w:lastColumn="0" w:oddVBand="0" w:evenVBand="0" w:oddHBand="0" w:evenHBand="0" w:firstRowFirstColumn="0" w:firstRowLastColumn="0" w:lastRowFirstColumn="0" w:lastRowLastColumn="0"/>
          <w:trHeight w:val="20"/>
        </w:trPr>
        <w:tc>
          <w:tcPr>
            <w:tcW w:w="1704" w:type="dxa"/>
            <w:vMerge w:val="restart"/>
            <w:vAlign w:val="center"/>
          </w:tcPr>
          <w:p w14:paraId="3C780B0A" w14:textId="77777777" w:rsidR="002F03F5" w:rsidRDefault="008F23FF">
            <w:pPr>
              <w:pStyle w:val="TableRowHeader"/>
              <w:keepNext/>
              <w:rPr>
                <w:rFonts w:eastAsia="Times New Roman" w:cs="Times New Roman"/>
              </w:rPr>
            </w:pPr>
            <w:r>
              <w:rPr>
                <w:rFonts w:eastAsia="Times New Roman" w:cs="Times New Roman"/>
              </w:rPr>
              <w:t>Testing population</w:t>
            </w:r>
          </w:p>
        </w:tc>
        <w:tc>
          <w:tcPr>
            <w:tcW w:w="2340" w:type="dxa"/>
            <w:vMerge w:val="restart"/>
            <w:vAlign w:val="center"/>
          </w:tcPr>
          <w:p w14:paraId="3C780B0B" w14:textId="77777777" w:rsidR="002F03F5" w:rsidRDefault="008F23FF">
            <w:pPr>
              <w:pStyle w:val="TableRowHeader"/>
              <w:keepNext/>
              <w:rPr>
                <w:rFonts w:eastAsia="Times New Roman" w:cs="Times New Roman"/>
              </w:rPr>
            </w:pPr>
            <w:r>
              <w:rPr>
                <w:rFonts w:eastAsia="Times New Roman" w:cs="Times New Roman"/>
              </w:rPr>
              <w:t>Assumption</w:t>
            </w:r>
          </w:p>
        </w:tc>
        <w:tc>
          <w:tcPr>
            <w:tcW w:w="4972" w:type="dxa"/>
            <w:gridSpan w:val="2"/>
            <w:vAlign w:val="center"/>
          </w:tcPr>
          <w:p w14:paraId="3C780B0C" w14:textId="77777777" w:rsidR="002F03F5" w:rsidRDefault="008F23FF">
            <w:pPr>
              <w:pStyle w:val="TableRowHeader"/>
              <w:keepNext/>
              <w:rPr>
                <w:rFonts w:eastAsia="Times New Roman" w:cs="Times New Roman"/>
              </w:rPr>
            </w:pPr>
            <w:r>
              <w:rPr>
                <w:rFonts w:eastAsia="Times New Roman" w:cs="Times New Roman"/>
              </w:rPr>
              <w:t>NNT</w:t>
            </w:r>
          </w:p>
        </w:tc>
      </w:tr>
      <w:tr w:rsidR="002F03F5" w14:paraId="3C780B12" w14:textId="77777777" w:rsidTr="00B65D0F">
        <w:trPr>
          <w:trHeight w:val="20"/>
        </w:trPr>
        <w:tc>
          <w:tcPr>
            <w:tcW w:w="1704" w:type="dxa"/>
            <w:vMerge/>
            <w:vAlign w:val="center"/>
          </w:tcPr>
          <w:p w14:paraId="3C780B0E" w14:textId="77777777" w:rsidR="002F03F5" w:rsidRDefault="002F03F5">
            <w:pPr>
              <w:pStyle w:val="TableRowHeader"/>
              <w:keepNext/>
              <w:rPr>
                <w:rFonts w:eastAsia="Times New Roman" w:cs="Times New Roman"/>
              </w:rPr>
            </w:pPr>
          </w:p>
        </w:tc>
        <w:tc>
          <w:tcPr>
            <w:tcW w:w="2340" w:type="dxa"/>
            <w:vMerge/>
            <w:vAlign w:val="center"/>
          </w:tcPr>
          <w:p w14:paraId="3C780B0F" w14:textId="77777777" w:rsidR="002F03F5" w:rsidRDefault="002F03F5">
            <w:pPr>
              <w:pStyle w:val="TableRowHeader"/>
              <w:keepNext/>
              <w:rPr>
                <w:rFonts w:eastAsia="Times New Roman" w:cs="Times New Roman"/>
              </w:rPr>
            </w:pPr>
          </w:p>
        </w:tc>
        <w:tc>
          <w:tcPr>
            <w:tcW w:w="2431" w:type="dxa"/>
            <w:vAlign w:val="center"/>
          </w:tcPr>
          <w:p w14:paraId="3C780B10" w14:textId="38198F88" w:rsidR="002F03F5" w:rsidRDefault="00B14353">
            <w:pPr>
              <w:pStyle w:val="TableRowHeader"/>
              <w:keepNext/>
              <w:rPr>
                <w:rFonts w:eastAsia="Times New Roman" w:cs="Times New Roman"/>
              </w:rPr>
            </w:pPr>
            <w:r w:rsidRPr="00B14353">
              <w:rPr>
                <w:rFonts w:eastAsia="Times New Roman" w:cs="Times New Roman"/>
                <w:i/>
                <w:iCs/>
              </w:rPr>
              <w:t>RET</w:t>
            </w:r>
            <w:r w:rsidR="008F23FF">
              <w:rPr>
                <w:rFonts w:eastAsia="Times New Roman" w:cs="Times New Roman"/>
                <w:i/>
                <w:iCs/>
              </w:rPr>
              <w:t xml:space="preserve"> </w:t>
            </w:r>
            <w:r w:rsidR="008F23FF">
              <w:rPr>
                <w:rFonts w:eastAsia="Times New Roman" w:cs="Times New Roman"/>
              </w:rPr>
              <w:t>prevalence in MTC = 70%</w:t>
            </w:r>
          </w:p>
        </w:tc>
        <w:tc>
          <w:tcPr>
            <w:tcW w:w="2541" w:type="dxa"/>
            <w:vAlign w:val="center"/>
          </w:tcPr>
          <w:p w14:paraId="3C780B11" w14:textId="47A415F8" w:rsidR="002F03F5" w:rsidRDefault="00B14353">
            <w:pPr>
              <w:pStyle w:val="TableRowHeader"/>
              <w:keepNext/>
              <w:rPr>
                <w:rFonts w:eastAsia="Times New Roman" w:cs="Times New Roman"/>
              </w:rPr>
            </w:pPr>
            <w:r w:rsidRPr="00B14353">
              <w:rPr>
                <w:rFonts w:eastAsia="Times New Roman" w:cs="Times New Roman"/>
                <w:i/>
                <w:iCs/>
              </w:rPr>
              <w:t>RET</w:t>
            </w:r>
            <w:r w:rsidR="008F23FF">
              <w:rPr>
                <w:rFonts w:eastAsia="Times New Roman" w:cs="Times New Roman"/>
              </w:rPr>
              <w:t xml:space="preserve"> prevalence in locally advanced or metastatic MTC = 94%</w:t>
            </w:r>
          </w:p>
        </w:tc>
      </w:tr>
      <w:tr w:rsidR="002F03F5" w14:paraId="3C780B17" w14:textId="77777777" w:rsidTr="00B65D0F">
        <w:trPr>
          <w:trHeight w:val="20"/>
        </w:trPr>
        <w:tc>
          <w:tcPr>
            <w:tcW w:w="1704" w:type="dxa"/>
          </w:tcPr>
          <w:p w14:paraId="3C780B13" w14:textId="77777777" w:rsidR="002F03F5" w:rsidRDefault="008F23FF">
            <w:pPr>
              <w:pStyle w:val="TableText"/>
              <w:keepNext/>
              <w:rPr>
                <w:iCs/>
              </w:rPr>
            </w:pPr>
            <w:r>
              <w:rPr>
                <w:rFonts w:eastAsia="Times New Roman" w:cs="Times New Roman"/>
                <w:iCs/>
              </w:rPr>
              <w:t xml:space="preserve">Submission estimate </w:t>
            </w:r>
          </w:p>
        </w:tc>
        <w:tc>
          <w:tcPr>
            <w:tcW w:w="2340" w:type="dxa"/>
          </w:tcPr>
          <w:p w14:paraId="3C780B14" w14:textId="77777777" w:rsidR="002F03F5" w:rsidRDefault="008F23FF">
            <w:pPr>
              <w:pStyle w:val="TableText"/>
              <w:keepNext/>
              <w:rPr>
                <w:iCs/>
              </w:rPr>
            </w:pPr>
            <w:r>
              <w:rPr>
                <w:rFonts w:eastAsia="Times New Roman" w:cs="Times New Roman"/>
                <w:iCs/>
              </w:rPr>
              <w:t>Stage III/IV MTC (85%) with progressive and symptomatic disease (57.2%)</w:t>
            </w:r>
          </w:p>
        </w:tc>
        <w:tc>
          <w:tcPr>
            <w:tcW w:w="2431" w:type="dxa"/>
          </w:tcPr>
          <w:p w14:paraId="3C780B15" w14:textId="7BCBC573" w:rsidR="002F03F5" w:rsidRPr="00476A25" w:rsidRDefault="00250E7E" w:rsidP="00B65D0F">
            <w:pPr>
              <w:pStyle w:val="TableText"/>
              <w:keepNext/>
              <w:jc w:val="center"/>
              <w:rPr>
                <w:sz w:val="18"/>
              </w:rPr>
            </w:pPr>
            <m:oMathPara>
              <m:oMathParaPr>
                <m:jc m:val="center"/>
              </m:oMathParaPr>
              <m:oMath>
                <m:f>
                  <m:fPr>
                    <m:ctrlPr>
                      <w:rPr>
                        <w:rFonts w:ascii="Cambria Math" w:hAnsi="Cambria Math"/>
                        <w:sz w:val="18"/>
                      </w:rPr>
                    </m:ctrlPr>
                  </m:fPr>
                  <m:num>
                    <m:r>
                      <w:rPr>
                        <w:rFonts w:ascii="Cambria Math" w:hAnsi="Cambria Math"/>
                      </w:rPr>
                      <m:t>1</m:t>
                    </m:r>
                  </m:num>
                  <m:den>
                    <m:r>
                      <w:rPr>
                        <w:rFonts w:ascii="Cambria Math" w:hAnsi="Cambria Math"/>
                      </w:rPr>
                      <m:t>0.85×0.572×0.70</m:t>
                    </m:r>
                  </m:den>
                </m:f>
                <m:r>
                  <m:rPr>
                    <m:lit/>
                    <m:nor/>
                  </m:rPr>
                  <m:t>=</m:t>
                </m:r>
                <m:r>
                  <w:rPr>
                    <w:rFonts w:ascii="Cambria Math" w:hAnsi="Cambria Math"/>
                  </w:rPr>
                  <m:t>2.92</m:t>
                </m:r>
              </m:oMath>
            </m:oMathPara>
          </w:p>
        </w:tc>
        <w:tc>
          <w:tcPr>
            <w:tcW w:w="2541" w:type="dxa"/>
          </w:tcPr>
          <w:p w14:paraId="3C780B16" w14:textId="55C61377" w:rsidR="002F03F5" w:rsidRPr="00FC7CAF" w:rsidRDefault="00250E7E" w:rsidP="00B65D0F">
            <w:pPr>
              <w:pStyle w:val="TableText"/>
              <w:keepNext/>
              <w:jc w:val="center"/>
              <w:rPr>
                <w:rFonts w:ascii="Calibri" w:eastAsia="Calibri" w:hAnsi="Calibri" w:cs="Calibri"/>
                <w:iCs/>
                <w:sz w:val="18"/>
                <w:szCs w:val="16"/>
              </w:rPr>
            </w:pPr>
            <m:oMathPara>
              <m:oMathParaPr>
                <m:jc m:val="center"/>
              </m:oMathParaPr>
              <m:oMath>
                <m:f>
                  <m:fPr>
                    <m:ctrlPr>
                      <w:rPr>
                        <w:rFonts w:ascii="Cambria Math" w:hAnsi="Cambria Math"/>
                        <w:sz w:val="18"/>
                      </w:rPr>
                    </m:ctrlPr>
                  </m:fPr>
                  <m:num>
                    <m:r>
                      <w:rPr>
                        <w:rFonts w:ascii="Cambria Math" w:hAnsi="Cambria Math"/>
                      </w:rPr>
                      <m:t>1</m:t>
                    </m:r>
                  </m:num>
                  <m:den>
                    <m:r>
                      <w:rPr>
                        <w:rFonts w:ascii="Cambria Math" w:hAnsi="Cambria Math"/>
                      </w:rPr>
                      <m:t>0.85×0.572×0.94</m:t>
                    </m:r>
                  </m:den>
                </m:f>
                <m:r>
                  <m:rPr>
                    <m:lit/>
                    <m:nor/>
                  </m:rPr>
                  <m:t>=</m:t>
                </m:r>
                <m:r>
                  <w:rPr>
                    <w:rFonts w:ascii="Cambria Math" w:hAnsi="Cambria Math"/>
                  </w:rPr>
                  <m:t>2.18</m:t>
                </m:r>
              </m:oMath>
            </m:oMathPara>
          </w:p>
        </w:tc>
      </w:tr>
      <w:tr w:rsidR="002F03F5" w14:paraId="3C780B1C" w14:textId="77777777" w:rsidTr="00B65D0F">
        <w:trPr>
          <w:trHeight w:val="20"/>
        </w:trPr>
        <w:tc>
          <w:tcPr>
            <w:tcW w:w="1704" w:type="dxa"/>
          </w:tcPr>
          <w:p w14:paraId="3C780B18" w14:textId="77777777" w:rsidR="002F03F5" w:rsidRDefault="008F23FF">
            <w:pPr>
              <w:pStyle w:val="TableText"/>
              <w:keepNext/>
              <w:rPr>
                <w:iCs/>
              </w:rPr>
            </w:pPr>
            <w:r>
              <w:rPr>
                <w:rFonts w:eastAsia="Times New Roman" w:cs="Times New Roman"/>
                <w:iCs/>
              </w:rPr>
              <w:t>PICO Option 1: stage III/IV MTC patients</w:t>
            </w:r>
          </w:p>
        </w:tc>
        <w:tc>
          <w:tcPr>
            <w:tcW w:w="2340" w:type="dxa"/>
          </w:tcPr>
          <w:p w14:paraId="3C780B19" w14:textId="77777777" w:rsidR="002F03F5" w:rsidRDefault="008F23FF">
            <w:pPr>
              <w:pStyle w:val="TableText"/>
              <w:keepNext/>
              <w:rPr>
                <w:iCs/>
                <w:vertAlign w:val="superscript"/>
              </w:rPr>
            </w:pPr>
            <w:r>
              <w:rPr>
                <w:rFonts w:eastAsia="Times New Roman" w:cs="Times New Roman"/>
                <w:iCs/>
              </w:rPr>
              <w:t>Stage III/IV MTC only (66.3</w:t>
            </w:r>
            <w:proofErr w:type="gramStart"/>
            <w:r>
              <w:rPr>
                <w:rFonts w:eastAsia="Times New Roman" w:cs="Times New Roman"/>
                <w:iCs/>
              </w:rPr>
              <w:t>%)</w:t>
            </w:r>
            <w:r>
              <w:rPr>
                <w:rFonts w:eastAsia="Times New Roman" w:cs="Times New Roman"/>
                <w:iCs/>
                <w:vertAlign w:val="superscript"/>
              </w:rPr>
              <w:t>a</w:t>
            </w:r>
            <w:proofErr w:type="gramEnd"/>
          </w:p>
        </w:tc>
        <w:tc>
          <w:tcPr>
            <w:tcW w:w="2431" w:type="dxa"/>
          </w:tcPr>
          <w:p w14:paraId="3C780B1A" w14:textId="4F48B78C" w:rsidR="002F03F5" w:rsidRPr="00476A25" w:rsidRDefault="00250E7E" w:rsidP="00FC7CAF">
            <w:pPr>
              <w:pStyle w:val="TableText"/>
              <w:keepNext/>
              <w:jc w:val="center"/>
              <w:rPr>
                <w:sz w:val="18"/>
              </w:rPr>
            </w:pPr>
            <m:oMathPara>
              <m:oMathParaPr>
                <m:jc m:val="center"/>
              </m:oMathParaPr>
              <m:oMath>
                <m:f>
                  <m:fPr>
                    <m:ctrlPr>
                      <w:rPr>
                        <w:rFonts w:ascii="Cambria Math" w:hAnsi="Cambria Math"/>
                        <w:sz w:val="18"/>
                      </w:rPr>
                    </m:ctrlPr>
                  </m:fPr>
                  <m:num>
                    <m:r>
                      <w:rPr>
                        <w:rFonts w:ascii="Cambria Math" w:hAnsi="Cambria Math"/>
                      </w:rPr>
                      <m:t>1</m:t>
                    </m:r>
                  </m:num>
                  <m:den>
                    <m:r>
                      <w:rPr>
                        <w:rFonts w:ascii="Cambria Math" w:hAnsi="Cambria Math"/>
                      </w:rPr>
                      <m:t>0.663×0.70</m:t>
                    </m:r>
                  </m:den>
                </m:f>
                <m:r>
                  <m:rPr>
                    <m:lit/>
                    <m:nor/>
                  </m:rPr>
                  <m:t>=</m:t>
                </m:r>
                <m:r>
                  <w:rPr>
                    <w:rFonts w:ascii="Cambria Math" w:hAnsi="Cambria Math"/>
                  </w:rPr>
                  <m:t>2.15</m:t>
                </m:r>
              </m:oMath>
            </m:oMathPara>
          </w:p>
        </w:tc>
        <w:tc>
          <w:tcPr>
            <w:tcW w:w="2541" w:type="dxa"/>
          </w:tcPr>
          <w:p w14:paraId="3C780B1B" w14:textId="3BD14D90" w:rsidR="002F03F5" w:rsidRPr="00FC7CAF" w:rsidRDefault="00250E7E" w:rsidP="00FC7CAF">
            <w:pPr>
              <w:pStyle w:val="TableText"/>
              <w:keepNext/>
              <w:jc w:val="center"/>
              <w:rPr>
                <w:rFonts w:eastAsia="Calibri"/>
                <w:iCs/>
                <w:sz w:val="18"/>
                <w:szCs w:val="16"/>
              </w:rPr>
            </w:pPr>
            <m:oMathPara>
              <m:oMathParaPr>
                <m:jc m:val="center"/>
              </m:oMathParaPr>
              <m:oMath>
                <m:f>
                  <m:fPr>
                    <m:ctrlPr>
                      <w:rPr>
                        <w:rFonts w:ascii="Cambria Math" w:hAnsi="Cambria Math"/>
                        <w:sz w:val="18"/>
                      </w:rPr>
                    </m:ctrlPr>
                  </m:fPr>
                  <m:num>
                    <m:r>
                      <w:rPr>
                        <w:rFonts w:ascii="Cambria Math" w:hAnsi="Cambria Math"/>
                      </w:rPr>
                      <m:t>1</m:t>
                    </m:r>
                  </m:num>
                  <m:den>
                    <m:r>
                      <w:rPr>
                        <w:rFonts w:ascii="Cambria Math" w:hAnsi="Cambria Math"/>
                      </w:rPr>
                      <m:t>0.663×0.94</m:t>
                    </m:r>
                  </m:den>
                </m:f>
                <m:r>
                  <m:rPr>
                    <m:lit/>
                    <m:nor/>
                  </m:rPr>
                  <m:t>=</m:t>
                </m:r>
                <m:r>
                  <w:rPr>
                    <w:rFonts w:ascii="Cambria Math" w:hAnsi="Cambria Math"/>
                  </w:rPr>
                  <m:t>1.60</m:t>
                </m:r>
              </m:oMath>
            </m:oMathPara>
          </w:p>
        </w:tc>
      </w:tr>
      <w:tr w:rsidR="002F03F5" w14:paraId="3C780B21" w14:textId="77777777" w:rsidTr="00B65D0F">
        <w:trPr>
          <w:trHeight w:val="20"/>
        </w:trPr>
        <w:tc>
          <w:tcPr>
            <w:tcW w:w="1704" w:type="dxa"/>
          </w:tcPr>
          <w:p w14:paraId="3C780B1D" w14:textId="77777777" w:rsidR="002F03F5" w:rsidRDefault="008F23FF">
            <w:pPr>
              <w:pStyle w:val="TableText"/>
              <w:keepNext/>
              <w:rPr>
                <w:iCs/>
              </w:rPr>
            </w:pPr>
            <w:r>
              <w:rPr>
                <w:rFonts w:eastAsia="Times New Roman" w:cs="Times New Roman"/>
                <w:iCs/>
              </w:rPr>
              <w:t>PICO Option 2: all patients diagnosed with MTC</w:t>
            </w:r>
          </w:p>
        </w:tc>
        <w:tc>
          <w:tcPr>
            <w:tcW w:w="2340" w:type="dxa"/>
          </w:tcPr>
          <w:p w14:paraId="3C780B1E" w14:textId="77777777" w:rsidR="002F03F5" w:rsidRDefault="008F23FF">
            <w:pPr>
              <w:pStyle w:val="TableText"/>
              <w:keepNext/>
              <w:rPr>
                <w:iCs/>
              </w:rPr>
            </w:pPr>
            <w:r>
              <w:rPr>
                <w:rFonts w:eastAsia="Times New Roman" w:cs="Times New Roman"/>
                <w:iCs/>
              </w:rPr>
              <w:t>All patients diagnosed with MTC (100%)</w:t>
            </w:r>
          </w:p>
        </w:tc>
        <w:tc>
          <w:tcPr>
            <w:tcW w:w="2431" w:type="dxa"/>
          </w:tcPr>
          <w:p w14:paraId="3C780B1F" w14:textId="50408AC8" w:rsidR="002F03F5" w:rsidRPr="00476A25" w:rsidRDefault="00250E7E" w:rsidP="00FC7CAF">
            <w:pPr>
              <w:pStyle w:val="TableText"/>
              <w:keepNext/>
              <w:jc w:val="center"/>
              <w:rPr>
                <w:sz w:val="18"/>
              </w:rPr>
            </w:pPr>
            <m:oMathPara>
              <m:oMathParaPr>
                <m:jc m:val="center"/>
              </m:oMathParaPr>
              <m:oMath>
                <m:f>
                  <m:fPr>
                    <m:ctrlPr>
                      <w:rPr>
                        <w:rFonts w:ascii="Cambria Math" w:hAnsi="Cambria Math"/>
                        <w:sz w:val="18"/>
                      </w:rPr>
                    </m:ctrlPr>
                  </m:fPr>
                  <m:num>
                    <m:r>
                      <w:rPr>
                        <w:rFonts w:ascii="Cambria Math" w:hAnsi="Cambria Math"/>
                      </w:rPr>
                      <m:t>1</m:t>
                    </m:r>
                  </m:num>
                  <m:den>
                    <m:r>
                      <w:rPr>
                        <w:rFonts w:ascii="Cambria Math" w:hAnsi="Cambria Math"/>
                      </w:rPr>
                      <m:t>0.70</m:t>
                    </m:r>
                  </m:den>
                </m:f>
                <m:r>
                  <m:rPr>
                    <m:lit/>
                    <m:nor/>
                  </m:rPr>
                  <m:t>=</m:t>
                </m:r>
                <m:r>
                  <w:rPr>
                    <w:rFonts w:ascii="Cambria Math" w:hAnsi="Cambria Math"/>
                  </w:rPr>
                  <m:t>1.43</m:t>
                </m:r>
              </m:oMath>
            </m:oMathPara>
          </w:p>
        </w:tc>
        <w:tc>
          <w:tcPr>
            <w:tcW w:w="2541" w:type="dxa"/>
          </w:tcPr>
          <w:p w14:paraId="3C780B20" w14:textId="77777777" w:rsidR="002F03F5" w:rsidRDefault="008F23FF">
            <w:pPr>
              <w:pStyle w:val="TableText"/>
              <w:keepNext/>
              <w:rPr>
                <w:rFonts w:ascii="Calibri" w:eastAsia="Calibri" w:hAnsi="Calibri" w:cs="Arial"/>
                <w:iCs/>
              </w:rPr>
            </w:pPr>
            <w:r>
              <w:rPr>
                <w:rFonts w:eastAsia="Calibri" w:cs="Times New Roman"/>
                <w:iCs/>
              </w:rPr>
              <w:t xml:space="preserve">Not applicable since this prevalence was in advanced/metastatic MTC </w:t>
            </w:r>
          </w:p>
        </w:tc>
      </w:tr>
      <w:tr w:rsidR="002F03F5" w14:paraId="3C780B26" w14:textId="77777777" w:rsidTr="00B65D0F">
        <w:trPr>
          <w:trHeight w:val="20"/>
        </w:trPr>
        <w:tc>
          <w:tcPr>
            <w:tcW w:w="1704" w:type="dxa"/>
          </w:tcPr>
          <w:p w14:paraId="3C780B22" w14:textId="0D4F9939" w:rsidR="002F03F5" w:rsidRDefault="008F23FF">
            <w:pPr>
              <w:pStyle w:val="TableText"/>
              <w:keepNext/>
              <w:rPr>
                <w:iCs/>
                <w:vertAlign w:val="superscript"/>
              </w:rPr>
            </w:pPr>
            <w:r>
              <w:rPr>
                <w:rFonts w:eastAsia="Times New Roman" w:cs="Times New Roman"/>
                <w:iCs/>
              </w:rPr>
              <w:t>Testing as per LIBRETTO-531 population</w:t>
            </w:r>
          </w:p>
        </w:tc>
        <w:tc>
          <w:tcPr>
            <w:tcW w:w="2340" w:type="dxa"/>
          </w:tcPr>
          <w:p w14:paraId="3C780B23" w14:textId="77777777" w:rsidR="002F03F5" w:rsidRDefault="008F23FF">
            <w:pPr>
              <w:pStyle w:val="TableText"/>
              <w:keepNext/>
              <w:rPr>
                <w:iCs/>
                <w:vertAlign w:val="superscript"/>
              </w:rPr>
            </w:pPr>
            <w:r>
              <w:rPr>
                <w:rFonts w:eastAsia="Times New Roman" w:cs="Times New Roman"/>
                <w:iCs/>
              </w:rPr>
              <w:t>Locally advanced or metastatic MTC (66.3%) with progressive (55.6</w:t>
            </w:r>
            <w:proofErr w:type="gramStart"/>
            <w:r>
              <w:rPr>
                <w:rFonts w:eastAsia="Times New Roman" w:cs="Times New Roman"/>
                <w:iCs/>
              </w:rPr>
              <w:t>%)</w:t>
            </w:r>
            <w:r>
              <w:rPr>
                <w:rFonts w:eastAsia="Times New Roman" w:cs="Times New Roman"/>
                <w:iCs/>
                <w:vertAlign w:val="superscript"/>
              </w:rPr>
              <w:t>b</w:t>
            </w:r>
            <w:proofErr w:type="gramEnd"/>
            <w:r>
              <w:rPr>
                <w:rFonts w:eastAsia="Times New Roman" w:cs="Times New Roman"/>
                <w:iCs/>
              </w:rPr>
              <w:t xml:space="preserve"> and unresectable (NR) </w:t>
            </w:r>
            <w:proofErr w:type="spellStart"/>
            <w:r>
              <w:rPr>
                <w:rFonts w:eastAsia="Times New Roman" w:cs="Times New Roman"/>
                <w:iCs/>
              </w:rPr>
              <w:t>disease</w:t>
            </w:r>
            <w:r>
              <w:rPr>
                <w:rFonts w:eastAsia="Times New Roman" w:cs="Times New Roman"/>
                <w:iCs/>
                <w:vertAlign w:val="superscript"/>
              </w:rPr>
              <w:t>c</w:t>
            </w:r>
            <w:proofErr w:type="spellEnd"/>
          </w:p>
        </w:tc>
        <w:tc>
          <w:tcPr>
            <w:tcW w:w="2431" w:type="dxa"/>
          </w:tcPr>
          <w:p w14:paraId="3C780B24" w14:textId="66500284" w:rsidR="002F03F5" w:rsidRPr="00476A25" w:rsidRDefault="00250E7E" w:rsidP="00FC7CAF">
            <w:pPr>
              <w:pStyle w:val="TableText"/>
              <w:keepNext/>
              <w:jc w:val="center"/>
              <w:rPr>
                <w:sz w:val="18"/>
              </w:rPr>
            </w:pPr>
            <m:oMathPara>
              <m:oMathParaPr>
                <m:jc m:val="center"/>
              </m:oMathParaPr>
              <m:oMath>
                <m:f>
                  <m:fPr>
                    <m:ctrlPr>
                      <w:rPr>
                        <w:rFonts w:ascii="Cambria Math" w:hAnsi="Cambria Math"/>
                        <w:sz w:val="18"/>
                      </w:rPr>
                    </m:ctrlPr>
                  </m:fPr>
                  <m:num>
                    <m:r>
                      <w:rPr>
                        <w:rFonts w:ascii="Cambria Math" w:hAnsi="Cambria Math"/>
                      </w:rPr>
                      <m:t>1</m:t>
                    </m:r>
                  </m:num>
                  <m:den>
                    <m:r>
                      <w:rPr>
                        <w:rFonts w:ascii="Cambria Math" w:hAnsi="Cambria Math"/>
                      </w:rPr>
                      <m:t>0.663×0.556×0.70</m:t>
                    </m:r>
                  </m:den>
                </m:f>
                <m:r>
                  <m:rPr>
                    <m:lit/>
                    <m:nor/>
                  </m:rPr>
                  <m:t>=</m:t>
                </m:r>
                <m:r>
                  <w:rPr>
                    <w:rFonts w:ascii="Cambria Math" w:hAnsi="Cambria Math"/>
                  </w:rPr>
                  <m:t>3.87</m:t>
                </m:r>
              </m:oMath>
            </m:oMathPara>
          </w:p>
        </w:tc>
        <w:tc>
          <w:tcPr>
            <w:tcW w:w="2541" w:type="dxa"/>
          </w:tcPr>
          <w:p w14:paraId="3C780B25" w14:textId="75573650" w:rsidR="002F03F5" w:rsidRPr="00FC7CAF" w:rsidRDefault="00250E7E" w:rsidP="00FC7CAF">
            <w:pPr>
              <w:pStyle w:val="TableText"/>
              <w:keepNext/>
              <w:jc w:val="center"/>
              <w:rPr>
                <w:rFonts w:ascii="Calibri" w:eastAsia="Calibri" w:hAnsi="Calibri" w:cs="Arial"/>
                <w:iCs/>
                <w:sz w:val="18"/>
                <w:szCs w:val="16"/>
              </w:rPr>
            </w:pPr>
            <m:oMathPara>
              <m:oMathParaPr>
                <m:jc m:val="center"/>
              </m:oMathParaPr>
              <m:oMath>
                <m:f>
                  <m:fPr>
                    <m:ctrlPr>
                      <w:rPr>
                        <w:rFonts w:ascii="Cambria Math" w:hAnsi="Cambria Math"/>
                        <w:sz w:val="18"/>
                      </w:rPr>
                    </m:ctrlPr>
                  </m:fPr>
                  <m:num>
                    <m:r>
                      <w:rPr>
                        <w:rFonts w:ascii="Cambria Math" w:hAnsi="Cambria Math"/>
                      </w:rPr>
                      <m:t>1</m:t>
                    </m:r>
                  </m:num>
                  <m:den>
                    <m:r>
                      <w:rPr>
                        <w:rFonts w:ascii="Cambria Math" w:hAnsi="Cambria Math"/>
                      </w:rPr>
                      <m:t>0.663×0.556×0.94</m:t>
                    </m:r>
                  </m:den>
                </m:f>
                <m:r>
                  <m:rPr>
                    <m:lit/>
                    <m:nor/>
                  </m:rPr>
                  <m:t>=</m:t>
                </m:r>
                <m:r>
                  <w:rPr>
                    <w:rFonts w:ascii="Cambria Math" w:hAnsi="Cambria Math"/>
                  </w:rPr>
                  <m:t>2.89</m:t>
                </m:r>
              </m:oMath>
            </m:oMathPara>
          </w:p>
        </w:tc>
      </w:tr>
    </w:tbl>
    <w:p w14:paraId="3C780B27" w14:textId="77777777" w:rsidR="002F03F5" w:rsidRDefault="008F23FF">
      <w:pPr>
        <w:pStyle w:val="TableFooter"/>
        <w:keepNext/>
        <w:rPr>
          <w:iCs/>
        </w:rPr>
      </w:pPr>
      <w:r>
        <w:rPr>
          <w:iCs/>
        </w:rPr>
        <w:t xml:space="preserve">Source: Table 4-18, p164 of the submission; Table 1, </w:t>
      </w:r>
      <w:proofErr w:type="spellStart"/>
      <w:r>
        <w:rPr>
          <w:iCs/>
        </w:rPr>
        <w:t>Kreissl</w:t>
      </w:r>
      <w:proofErr w:type="spellEnd"/>
      <w:r>
        <w:rPr>
          <w:iCs/>
        </w:rPr>
        <w:t xml:space="preserve"> 2020; p2, Romei 2016 </w:t>
      </w:r>
      <w:r>
        <w:rPr>
          <w:rStyle w:val="FootnoteReference"/>
          <w:iCs/>
        </w:rPr>
        <w:footnoteReference w:id="27"/>
      </w:r>
    </w:p>
    <w:p w14:paraId="3C780B28" w14:textId="77777777" w:rsidR="002F03F5" w:rsidRDefault="008F23FF">
      <w:pPr>
        <w:pStyle w:val="TableFooter"/>
        <w:keepNext/>
        <w:rPr>
          <w:iCs/>
        </w:rPr>
      </w:pPr>
      <w:r>
        <w:rPr>
          <w:iCs/>
        </w:rPr>
        <w:t>MTC = medullary thyroid cancer; NNT = number needed to test; NR = not reported</w:t>
      </w:r>
    </w:p>
    <w:p w14:paraId="3C780B29" w14:textId="77777777" w:rsidR="002F03F5" w:rsidRDefault="008F23FF">
      <w:pPr>
        <w:pStyle w:val="TableFooter"/>
        <w:keepNext/>
        <w:rPr>
          <w:iCs/>
        </w:rPr>
      </w:pPr>
      <w:r>
        <w:rPr>
          <w:iCs/>
          <w:vertAlign w:val="superscript"/>
        </w:rPr>
        <w:t>a</w:t>
      </w:r>
      <w:r>
        <w:rPr>
          <w:iCs/>
        </w:rPr>
        <w:t xml:space="preserve"> Proportion of the eligible test population who were stage III/IV using revised estimates  </w:t>
      </w:r>
    </w:p>
    <w:p w14:paraId="3C780B2A" w14:textId="77777777" w:rsidR="002F03F5" w:rsidRDefault="008F23FF">
      <w:pPr>
        <w:pStyle w:val="TableFooter"/>
        <w:keepNext/>
        <w:rPr>
          <w:iCs/>
        </w:rPr>
      </w:pPr>
      <w:r>
        <w:rPr>
          <w:iCs/>
          <w:vertAlign w:val="superscript"/>
        </w:rPr>
        <w:t>b</w:t>
      </w:r>
      <w:r>
        <w:rPr>
          <w:iCs/>
        </w:rPr>
        <w:t xml:space="preserve"> Proportion with progressive and symptomatic disease in </w:t>
      </w:r>
      <w:proofErr w:type="spellStart"/>
      <w:r>
        <w:rPr>
          <w:iCs/>
        </w:rPr>
        <w:t>Kreissl</w:t>
      </w:r>
      <w:proofErr w:type="spellEnd"/>
      <w:r>
        <w:rPr>
          <w:iCs/>
        </w:rPr>
        <w:t xml:space="preserve"> 2020 </w:t>
      </w:r>
    </w:p>
    <w:p w14:paraId="3C780B2C" w14:textId="705EFE92" w:rsidR="002F03F5" w:rsidRPr="002A0545" w:rsidRDefault="008F23FF" w:rsidP="002A0545">
      <w:pPr>
        <w:pStyle w:val="TableFooter"/>
        <w:spacing w:after="240"/>
        <w:rPr>
          <w:iCs/>
        </w:rPr>
      </w:pPr>
      <w:r>
        <w:rPr>
          <w:iCs/>
          <w:vertAlign w:val="superscript"/>
        </w:rPr>
        <w:t xml:space="preserve">c </w:t>
      </w:r>
      <w:proofErr w:type="gramStart"/>
      <w:r>
        <w:rPr>
          <w:iCs/>
        </w:rPr>
        <w:t>The</w:t>
      </w:r>
      <w:proofErr w:type="gramEnd"/>
      <w:r>
        <w:rPr>
          <w:iCs/>
        </w:rPr>
        <w:t xml:space="preserve"> proportion of patients with unresectable MTC was not apparent in the submission or the literature </w:t>
      </w:r>
    </w:p>
    <w:p w14:paraId="3C780B2D" w14:textId="28D3167C" w:rsidR="002F03F5" w:rsidRPr="002A0545" w:rsidRDefault="008F23FF" w:rsidP="002A0545">
      <w:pPr>
        <w:pStyle w:val="MSACESParagraph"/>
        <w:jc w:val="left"/>
        <w:rPr>
          <w:rFonts w:ascii="Franklin Gothic Book" w:hAnsi="Franklin Gothic Book"/>
          <w:i/>
          <w:iCs/>
          <w:sz w:val="22"/>
        </w:rPr>
      </w:pPr>
      <w:r w:rsidRPr="002A0545">
        <w:rPr>
          <w:rFonts w:ascii="Franklin Gothic Book" w:hAnsi="Franklin Gothic Book"/>
          <w:sz w:val="22"/>
        </w:rPr>
        <w:t>Estimates by the commentary indicated the NNT for testing at stage III/IV MTC (Option 1) was 2.15 and for testing at diagnosis (Option 2) was 1.43, both notably lower than the submission’s estimate of 2.92.</w:t>
      </w:r>
      <w:r w:rsidRPr="002A0545">
        <w:rPr>
          <w:rFonts w:ascii="Franklin Gothic Book" w:hAnsi="Franklin Gothic Book"/>
          <w:i/>
          <w:iCs/>
          <w:sz w:val="22"/>
        </w:rPr>
        <w:t xml:space="preserve"> </w:t>
      </w:r>
      <w:r w:rsidRPr="002A0545">
        <w:rPr>
          <w:rFonts w:ascii="Franklin Gothic Book" w:hAnsi="Franklin Gothic Book"/>
          <w:sz w:val="22"/>
        </w:rPr>
        <w:t>The NNT estimated by the commentary as per the testing population from LIBRETTO-531 was 3.87, but this may be overestimated since the proportion of patients with unresectable MTC was not apparent in the literature.</w:t>
      </w:r>
    </w:p>
    <w:p w14:paraId="3C780B2E" w14:textId="7CEBA275" w:rsidR="002F03F5" w:rsidRPr="002A0545" w:rsidRDefault="008F23FF" w:rsidP="002A0545">
      <w:pPr>
        <w:pStyle w:val="3-BodyText"/>
        <w:numPr>
          <w:ilvl w:val="0"/>
          <w:numId w:val="0"/>
        </w:numPr>
        <w:jc w:val="left"/>
        <w:rPr>
          <w:rFonts w:ascii="Franklin Gothic Book" w:hAnsi="Franklin Gothic Book" w:cstheme="minorHAnsi"/>
          <w:sz w:val="22"/>
          <w:lang w:eastAsia="en-US"/>
        </w:rPr>
      </w:pPr>
      <w:r w:rsidRPr="002A0545">
        <w:rPr>
          <w:rFonts w:ascii="Franklin Gothic Book" w:hAnsi="Franklin Gothic Book" w:cstheme="minorHAnsi"/>
          <w:sz w:val="22"/>
          <w:lang w:eastAsia="en-US"/>
        </w:rPr>
        <w:t>The commentary noted that in LIBRETTO-531 the concordance of the LLTs was evaluated against the Oncomine Dx Target Test (</w:t>
      </w:r>
      <w:proofErr w:type="spellStart"/>
      <w:r w:rsidRPr="002A0545">
        <w:rPr>
          <w:rFonts w:ascii="Franklin Gothic Book" w:hAnsi="Franklin Gothic Book" w:cstheme="minorHAnsi"/>
          <w:sz w:val="22"/>
          <w:lang w:eastAsia="en-US"/>
        </w:rPr>
        <w:t>ODxTT</w:t>
      </w:r>
      <w:proofErr w:type="spellEnd"/>
      <w:r w:rsidRPr="002A0545">
        <w:rPr>
          <w:rFonts w:ascii="Franklin Gothic Book" w:hAnsi="Franklin Gothic Book" w:cstheme="minorHAnsi"/>
          <w:sz w:val="22"/>
          <w:lang w:eastAsia="en-US"/>
        </w:rPr>
        <w:t xml:space="preserve">). LLTs was not defined but was presumably the NGS assay used in the trial. Based on samples from 254 patients that were submitted for testing, positive </w:t>
      </w:r>
      <w:proofErr w:type="spellStart"/>
      <w:r w:rsidRPr="002A0545">
        <w:rPr>
          <w:rFonts w:ascii="Franklin Gothic Book" w:hAnsi="Franklin Gothic Book" w:cstheme="minorHAnsi"/>
          <w:sz w:val="22"/>
          <w:lang w:eastAsia="en-US"/>
        </w:rPr>
        <w:t>ODxTT</w:t>
      </w:r>
      <w:proofErr w:type="spellEnd"/>
      <w:r w:rsidRPr="002A0545">
        <w:rPr>
          <w:rFonts w:ascii="Franklin Gothic Book" w:hAnsi="Franklin Gothic Book" w:cstheme="minorHAnsi"/>
          <w:sz w:val="22"/>
          <w:lang w:eastAsia="en-US"/>
        </w:rPr>
        <w:t xml:space="preserve"> results were obtained for 199 of 207 evaluable samples, resulting in a 96.1 percent positive agreement in </w:t>
      </w:r>
      <w:r w:rsidR="00B14353" w:rsidRPr="00B14353">
        <w:rPr>
          <w:rFonts w:ascii="Franklin Gothic Book" w:hAnsi="Franklin Gothic Book" w:cstheme="minorHAnsi"/>
          <w:i/>
          <w:iCs/>
          <w:sz w:val="22"/>
          <w:lang w:eastAsia="en-US"/>
        </w:rPr>
        <w:t>RET</w:t>
      </w:r>
      <w:r w:rsidRPr="002A0545">
        <w:rPr>
          <w:rFonts w:ascii="Franklin Gothic Book" w:hAnsi="Franklin Gothic Book" w:cstheme="minorHAnsi"/>
          <w:sz w:val="22"/>
          <w:lang w:eastAsia="en-US"/>
        </w:rPr>
        <w:t xml:space="preserve"> variant status between LLT and </w:t>
      </w:r>
      <w:proofErr w:type="spellStart"/>
      <w:r w:rsidRPr="002A0545">
        <w:rPr>
          <w:rFonts w:ascii="Franklin Gothic Book" w:hAnsi="Franklin Gothic Book" w:cstheme="minorHAnsi"/>
          <w:sz w:val="22"/>
          <w:lang w:eastAsia="en-US"/>
        </w:rPr>
        <w:t>ODxTT</w:t>
      </w:r>
      <w:proofErr w:type="spellEnd"/>
      <w:r w:rsidRPr="002A0545">
        <w:rPr>
          <w:rFonts w:ascii="Franklin Gothic Book" w:hAnsi="Franklin Gothic Book" w:cstheme="minorHAnsi"/>
          <w:sz w:val="22"/>
          <w:lang w:eastAsia="en-US"/>
        </w:rPr>
        <w:t xml:space="preserve"> results. Negative percent agreement was not reported. As noted in Section 3 of the MSAC Executive Summary, it was not clear what test, either single gene test or gene panel, would be used in Australian clinical practice. </w:t>
      </w:r>
    </w:p>
    <w:p w14:paraId="3C780B2F" w14:textId="77777777" w:rsidR="002F03F5" w:rsidRPr="002A0545" w:rsidRDefault="008F23FF" w:rsidP="002A0545">
      <w:pPr>
        <w:pStyle w:val="Heading4"/>
        <w:rPr>
          <w:rFonts w:ascii="Franklin Gothic Book" w:hAnsi="Franklin Gothic Book"/>
          <w:sz w:val="22"/>
          <w:szCs w:val="22"/>
        </w:rPr>
      </w:pPr>
      <w:r w:rsidRPr="002A0545">
        <w:rPr>
          <w:rFonts w:ascii="Franklin Gothic Book" w:hAnsi="Franklin Gothic Book"/>
          <w:sz w:val="22"/>
          <w:szCs w:val="22"/>
        </w:rPr>
        <w:t>Prognostic evidence</w:t>
      </w:r>
    </w:p>
    <w:p w14:paraId="3C780B30" w14:textId="51AB337F"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submission presented evidence from Elisei 2008 who evaluated the prognostic impact of somatic</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 xml:space="preserve">variants in 100 patients with sporadic MTC who underwent thyroid surgery. Prior </w:t>
      </w:r>
      <w:r w:rsidRPr="002A0545">
        <w:rPr>
          <w:rFonts w:ascii="Franklin Gothic Book" w:hAnsi="Franklin Gothic Book"/>
          <w:sz w:val="22"/>
        </w:rPr>
        <w:lastRenderedPageBreak/>
        <w:t>therapies were not reported in this study, although given this study was conducted prior to the approval of systemic therapies such as cabozantinib and vandetanib, it might be reasonable to expect prior therapy use was low.</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variants were identified in 43/100 (43%) patients (M918T was the most common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[34/43; 79%]] the remainder were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wildtype [57/100; 57%]).The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group had a higher proportion of stage III/IV disease (68% [30/43] vs 33% [19/57], respectively) and distant metastases (30% [13/43] vs 23% [13/57], respectively) compared to the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wildtype. The presence of</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variants was significantly associated with larger tumour size, lymph node involvement, distant metastases, and advanced TNM stage at diagnosis. Patients with</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MTC had higher rates of persistent disease and lower survival than those who were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wildtype. Patients with</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variant(s) demonstrated significantly lower OS compared to those with</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(log rank p=0.006), with approximately 75% survival at 10 years compared to nearly 100% in the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wildtype patients. </w:t>
      </w:r>
    </w:p>
    <w:p w14:paraId="3C780B31" w14:textId="2A975BB2"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commentary noted similar observations were made in Ciampi 2019 who reported a significant correlation between the presence of</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alterations and advanced stage of disease, higher tumour category, and the presence of both lymph node and distant metastases. More deaths occurred in patients with a</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variant compared to patients with a </w:t>
      </w:r>
      <w:r w:rsidRPr="002A0545">
        <w:rPr>
          <w:rFonts w:ascii="Franklin Gothic Book" w:hAnsi="Franklin Gothic Book"/>
          <w:i/>
          <w:iCs/>
          <w:sz w:val="22"/>
        </w:rPr>
        <w:t>RAS</w:t>
      </w:r>
      <w:r w:rsidRPr="002A0545">
        <w:rPr>
          <w:rFonts w:ascii="Franklin Gothic Book" w:hAnsi="Franklin Gothic Book"/>
          <w:sz w:val="22"/>
        </w:rPr>
        <w:t xml:space="preserve"> variant (~14% vs 0%, respectively, over median follow up of 65 months).</w:t>
      </w:r>
      <w:r w:rsidRPr="002A0545">
        <w:rPr>
          <w:rStyle w:val="FootnoteReference"/>
          <w:rFonts w:ascii="Franklin Gothic Book" w:hAnsi="Franklin Gothic Book"/>
          <w:sz w:val="22"/>
        </w:rPr>
        <w:footnoteReference w:id="28"/>
      </w:r>
      <w:r w:rsidRPr="002A0545">
        <w:rPr>
          <w:rFonts w:ascii="Franklin Gothic Book" w:hAnsi="Franklin Gothic Book"/>
          <w:sz w:val="22"/>
        </w:rPr>
        <w:t xml:space="preserve"> Prior therapies were also not reported in this study. In comparison, the commentary noted Shirali 2024 did not report a difference in survival between patients with</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M918T</w:t>
      </w:r>
      <w:r w:rsidRPr="002A0545">
        <w:rPr>
          <w:rFonts w:ascii="Franklin Gothic Book" w:hAnsi="Franklin Gothic Book"/>
          <w:sz w:val="22"/>
        </w:rPr>
        <w:t>,</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other, and</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wildtype. The </w:t>
      </w:r>
      <w:proofErr w:type="gramStart"/>
      <w:r w:rsidRPr="002A0545">
        <w:rPr>
          <w:rFonts w:ascii="Franklin Gothic Book" w:hAnsi="Franklin Gothic Book"/>
          <w:sz w:val="22"/>
        </w:rPr>
        <w:t>5 year</w:t>
      </w:r>
      <w:proofErr w:type="gramEnd"/>
      <w:r w:rsidRPr="002A0545">
        <w:rPr>
          <w:rFonts w:ascii="Franklin Gothic Book" w:hAnsi="Franklin Gothic Book"/>
          <w:sz w:val="22"/>
        </w:rPr>
        <w:t xml:space="preserve"> disease specific survival and OS rates were 85.3% and 83.8% for</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i/>
          <w:iCs/>
          <w:sz w:val="22"/>
        </w:rPr>
        <w:t>M918T</w:t>
      </w:r>
      <w:r w:rsidRPr="002A0545">
        <w:rPr>
          <w:rFonts w:ascii="Franklin Gothic Book" w:hAnsi="Franklin Gothic Book"/>
          <w:sz w:val="22"/>
        </w:rPr>
        <w:t>, 89.2% and 89.2% for</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other, and 85.5% and 85.5% for</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This was potentially attributed to the relatively high rates of systemic therapies used in the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groups (78/122 [63.9%]) including selective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inhibitors (51/122 [41.8%]) and non-selective MKIs (47/122 [38.5%]), reflecting the more contemporary treatment landscape in Shirali 2024 as compared to Elisei 2008. </w:t>
      </w:r>
    </w:p>
    <w:p w14:paraId="3C780B32" w14:textId="70658B3D"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commentary considered the evidence suggests that, among patients with MTC, those with a</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were correlated with more advanced disease at diagnosis and with more distant metastases. The commentary also considered the evidence suggesting that</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was associated with lower OS may also be related to the fact that</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variants were correlated with more advanced disease at diagnosis rather than poorer prognosis from baseline, and there may be insufficient evidence to suggest that patients with</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variants may have worse prognosis than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With selective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inhibitors and MKIs available in the current treatment landscape, the commentary considered any potential differences in survival between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proofErr w:type="gramStart"/>
      <w:r w:rsidRPr="002A0545">
        <w:rPr>
          <w:rFonts w:ascii="Franklin Gothic Book" w:hAnsi="Franklin Gothic Book"/>
          <w:sz w:val="22"/>
        </w:rPr>
        <w:t>variants</w:t>
      </w:r>
      <w:proofErr w:type="gramEnd"/>
      <w:r w:rsidRPr="002A0545">
        <w:rPr>
          <w:rFonts w:ascii="Franklin Gothic Book" w:hAnsi="Franklin Gothic Book"/>
          <w:sz w:val="22"/>
        </w:rPr>
        <w:t xml:space="preserve"> and its complement may be less apparent than in the past based on Shirali 2024.</w:t>
      </w:r>
    </w:p>
    <w:p w14:paraId="3C780B33" w14:textId="77777777" w:rsidR="002F03F5" w:rsidRPr="002A0545" w:rsidRDefault="008F23FF" w:rsidP="002A0545">
      <w:pPr>
        <w:pStyle w:val="Heading4"/>
        <w:rPr>
          <w:rFonts w:ascii="Franklin Gothic Book" w:hAnsi="Franklin Gothic Book"/>
          <w:sz w:val="22"/>
          <w:szCs w:val="22"/>
        </w:rPr>
      </w:pPr>
      <w:r w:rsidRPr="002A0545">
        <w:rPr>
          <w:rFonts w:ascii="Franklin Gothic Book" w:hAnsi="Franklin Gothic Book"/>
          <w:sz w:val="22"/>
          <w:szCs w:val="22"/>
        </w:rPr>
        <w:t xml:space="preserve">Predictive evidence </w:t>
      </w:r>
    </w:p>
    <w:p w14:paraId="3C780B34" w14:textId="421089A1"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An overview of the PFS and OS results from LIBRETTO-531 and EXAM and the base case ITC of selpercatinib vs placebo in the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population are presented i</w:t>
      </w:r>
      <w:r w:rsidRPr="00B04D41">
        <w:rPr>
          <w:rFonts w:ascii="Franklin Gothic Book" w:hAnsi="Franklin Gothic Book"/>
          <w:sz w:val="22"/>
        </w:rPr>
        <w:t xml:space="preserve">n </w:t>
      </w:r>
      <w:r w:rsidR="00B04D41" w:rsidRPr="00B04D41">
        <w:rPr>
          <w:rFonts w:ascii="Franklin Gothic Book" w:hAnsi="Franklin Gothic Book"/>
          <w:sz w:val="22"/>
        </w:rPr>
        <w:fldChar w:fldCharType="begin"/>
      </w:r>
      <w:r w:rsidR="00B04D41" w:rsidRPr="00B04D41">
        <w:rPr>
          <w:rFonts w:ascii="Franklin Gothic Book" w:hAnsi="Franklin Gothic Book"/>
          <w:sz w:val="22"/>
        </w:rPr>
        <w:instrText xml:space="preserve"> REF _Ref226642815 \h  \* MERGEFORMAT </w:instrText>
      </w:r>
      <w:r w:rsidR="00B04D41" w:rsidRPr="00B04D41">
        <w:rPr>
          <w:rFonts w:ascii="Franklin Gothic Book" w:hAnsi="Franklin Gothic Book"/>
          <w:sz w:val="22"/>
        </w:rPr>
      </w:r>
      <w:r w:rsidR="00B04D41" w:rsidRPr="00B04D41">
        <w:rPr>
          <w:rFonts w:ascii="Franklin Gothic Book" w:hAnsi="Franklin Gothic Book"/>
          <w:sz w:val="22"/>
        </w:rPr>
        <w:fldChar w:fldCharType="separate"/>
      </w:r>
      <w:r w:rsidR="005B2039" w:rsidRPr="00687588">
        <w:rPr>
          <w:rFonts w:ascii="Franklin Gothic Book" w:hAnsi="Franklin Gothic Book"/>
          <w:sz w:val="22"/>
        </w:rPr>
        <w:t xml:space="preserve">Table </w:t>
      </w:r>
      <w:r w:rsidR="005B2039" w:rsidRPr="00687588">
        <w:rPr>
          <w:rFonts w:ascii="Franklin Gothic Book" w:hAnsi="Franklin Gothic Book"/>
          <w:noProof/>
          <w:sz w:val="22"/>
        </w:rPr>
        <w:t>8</w:t>
      </w:r>
      <w:r w:rsidR="00B04D41" w:rsidRPr="00B04D41">
        <w:rPr>
          <w:rFonts w:ascii="Franklin Gothic Book" w:hAnsi="Franklin Gothic Book"/>
          <w:sz w:val="22"/>
        </w:rPr>
        <w:fldChar w:fldCharType="end"/>
      </w:r>
      <w:r w:rsidR="00B04D41">
        <w:rPr>
          <w:rFonts w:ascii="Franklin Gothic Book" w:hAnsi="Franklin Gothic Book"/>
          <w:sz w:val="22"/>
        </w:rPr>
        <w:t>.</w:t>
      </w:r>
    </w:p>
    <w:p w14:paraId="3C780B35" w14:textId="788443EE" w:rsidR="002F03F5" w:rsidRDefault="00B04D41" w:rsidP="00B04D41">
      <w:pPr>
        <w:pStyle w:val="Caption"/>
      </w:pPr>
      <w:bookmarkStart w:id="36" w:name="_Ref226642815"/>
      <w:r>
        <w:lastRenderedPageBreak/>
        <w:t xml:space="preserve">Table </w:t>
      </w:r>
      <w:r>
        <w:fldChar w:fldCharType="begin"/>
      </w:r>
      <w:r>
        <w:instrText>SEQ Table \* ARABIC</w:instrText>
      </w:r>
      <w:r>
        <w:fldChar w:fldCharType="separate"/>
      </w:r>
      <w:r w:rsidR="005B2039">
        <w:rPr>
          <w:noProof/>
        </w:rPr>
        <w:t>8</w:t>
      </w:r>
      <w:r>
        <w:fldChar w:fldCharType="end"/>
      </w:r>
      <w:bookmarkEnd w:id="36"/>
      <w:r>
        <w:t xml:space="preserve"> </w:t>
      </w:r>
      <w:r w:rsidR="008F23FF">
        <w:t>Overview of PFS and OS in LIBRETTO-531 and EXAM and the base case ITC</w:t>
      </w:r>
    </w:p>
    <w:tbl>
      <w:tblPr>
        <w:tblStyle w:val="ASDTable1"/>
        <w:tblW w:w="5000" w:type="pct"/>
        <w:tblLayout w:type="fixed"/>
        <w:tblLook w:val="04A0" w:firstRow="1" w:lastRow="0" w:firstColumn="1" w:lastColumn="0" w:noHBand="0" w:noVBand="1"/>
      </w:tblPr>
      <w:tblGrid>
        <w:gridCol w:w="2155"/>
        <w:gridCol w:w="990"/>
        <w:gridCol w:w="1800"/>
        <w:gridCol w:w="990"/>
        <w:gridCol w:w="1581"/>
        <w:gridCol w:w="1500"/>
      </w:tblGrid>
      <w:tr w:rsidR="002F03F5" w14:paraId="3C780B3B" w14:textId="77777777" w:rsidTr="00FC7CAF">
        <w:trPr>
          <w:trHeight w:val="188"/>
        </w:trPr>
        <w:tc>
          <w:tcPr>
            <w:tcW w:w="2157" w:type="dxa"/>
            <w:vMerge w:val="restart"/>
          </w:tcPr>
          <w:p w14:paraId="3C780B36" w14:textId="77777777" w:rsidR="002F03F5" w:rsidRDefault="002F03F5">
            <w:pPr>
              <w:pStyle w:val="TableRowHeader"/>
              <w:keepNext/>
              <w:jc w:val="left"/>
              <w:rPr>
                <w:rFonts w:eastAsia="Times New Roman" w:cs="Times New Roman"/>
              </w:rPr>
            </w:pPr>
          </w:p>
        </w:tc>
        <w:tc>
          <w:tcPr>
            <w:tcW w:w="2793" w:type="dxa"/>
            <w:gridSpan w:val="2"/>
            <w:vAlign w:val="bottom"/>
          </w:tcPr>
          <w:p w14:paraId="3C780B37" w14:textId="77777777" w:rsidR="002F03F5" w:rsidRDefault="008F23FF">
            <w:pPr>
              <w:pStyle w:val="TableRowHeader"/>
              <w:keepNext/>
              <w:rPr>
                <w:rFonts w:eastAsia="Times New Roman" w:cs="Times New Roman"/>
              </w:rPr>
            </w:pPr>
            <w:r>
              <w:rPr>
                <w:rFonts w:eastAsia="Times New Roman" w:cs="Times New Roman"/>
              </w:rPr>
              <w:t>Intervention</w:t>
            </w:r>
          </w:p>
        </w:tc>
        <w:tc>
          <w:tcPr>
            <w:tcW w:w="2574" w:type="dxa"/>
            <w:gridSpan w:val="2"/>
            <w:vAlign w:val="bottom"/>
          </w:tcPr>
          <w:p w14:paraId="3C780B38" w14:textId="77777777" w:rsidR="002F03F5" w:rsidRDefault="008F23FF">
            <w:pPr>
              <w:pStyle w:val="TableRowHeader"/>
              <w:keepNext/>
              <w:rPr>
                <w:rFonts w:eastAsia="Times New Roman" w:cs="Times New Roman"/>
              </w:rPr>
            </w:pPr>
            <w:r>
              <w:rPr>
                <w:rFonts w:eastAsia="Times New Roman" w:cs="Times New Roman"/>
              </w:rPr>
              <w:t>Comparator</w:t>
            </w:r>
          </w:p>
        </w:tc>
        <w:tc>
          <w:tcPr>
            <w:tcW w:w="1502" w:type="dxa"/>
            <w:vMerge w:val="restart"/>
            <w:vAlign w:val="bottom"/>
          </w:tcPr>
          <w:p w14:paraId="3C780B39" w14:textId="77777777" w:rsidR="002F03F5" w:rsidRDefault="008F23FF">
            <w:pPr>
              <w:pStyle w:val="TableRowHeader"/>
              <w:keepNext/>
              <w:rPr>
                <w:rFonts w:eastAsia="Times New Roman" w:cs="Times New Roman"/>
              </w:rPr>
            </w:pPr>
            <w:r>
              <w:rPr>
                <w:rFonts w:eastAsia="Times New Roman" w:cs="Times New Roman"/>
              </w:rPr>
              <w:t xml:space="preserve">HR (95% CI); </w:t>
            </w:r>
          </w:p>
          <w:p w14:paraId="3C780B3A" w14:textId="77777777" w:rsidR="002F03F5" w:rsidRDefault="008F23FF">
            <w:pPr>
              <w:pStyle w:val="TableRowHeader"/>
              <w:keepNext/>
              <w:rPr>
                <w:rFonts w:eastAsia="Times New Roman" w:cs="Times New Roman"/>
              </w:rPr>
            </w:pPr>
            <w:r>
              <w:rPr>
                <w:rFonts w:eastAsia="Times New Roman" w:cs="Times New Roman"/>
              </w:rPr>
              <w:t xml:space="preserve">p </w:t>
            </w:r>
            <w:proofErr w:type="spellStart"/>
            <w:r>
              <w:rPr>
                <w:rFonts w:eastAsia="Times New Roman" w:cs="Times New Roman"/>
              </w:rPr>
              <w:t>value</w:t>
            </w:r>
            <w:r>
              <w:rPr>
                <w:rFonts w:eastAsia="Times New Roman" w:cs="Times New Roman"/>
                <w:vertAlign w:val="superscript"/>
              </w:rPr>
              <w:t>b</w:t>
            </w:r>
            <w:proofErr w:type="spellEnd"/>
          </w:p>
        </w:tc>
      </w:tr>
      <w:tr w:rsidR="002F03F5" w14:paraId="3C780B42" w14:textId="77777777" w:rsidTr="00FC7CAF">
        <w:trPr>
          <w:trHeight w:val="20"/>
        </w:trPr>
        <w:tc>
          <w:tcPr>
            <w:tcW w:w="2157" w:type="dxa"/>
            <w:vMerge/>
          </w:tcPr>
          <w:p w14:paraId="3C780B3C" w14:textId="77777777" w:rsidR="002F03F5" w:rsidRDefault="002F03F5">
            <w:pPr>
              <w:pStyle w:val="TableRowHeader"/>
              <w:keepNext/>
              <w:jc w:val="left"/>
              <w:rPr>
                <w:rFonts w:eastAsia="Times New Roman" w:cs="Times New Roman"/>
              </w:rPr>
            </w:pPr>
          </w:p>
        </w:tc>
        <w:tc>
          <w:tcPr>
            <w:tcW w:w="991" w:type="dxa"/>
            <w:tcBorders>
              <w:right w:val="nil"/>
            </w:tcBorders>
            <w:vAlign w:val="bottom"/>
          </w:tcPr>
          <w:p w14:paraId="3C780B3D" w14:textId="77777777" w:rsidR="002F03F5" w:rsidRDefault="008F23FF">
            <w:pPr>
              <w:pStyle w:val="TableRowHeader"/>
              <w:keepNext/>
              <w:rPr>
                <w:rFonts w:eastAsia="Times New Roman" w:cs="Times New Roman"/>
              </w:rPr>
            </w:pPr>
            <w:r>
              <w:rPr>
                <w:rFonts w:eastAsia="Times New Roman" w:cs="Times New Roman"/>
              </w:rPr>
              <w:t xml:space="preserve">Events n/N </w:t>
            </w:r>
          </w:p>
        </w:tc>
        <w:tc>
          <w:tcPr>
            <w:tcW w:w="1802" w:type="dxa"/>
            <w:vAlign w:val="bottom"/>
          </w:tcPr>
          <w:p w14:paraId="3C780B3E" w14:textId="77777777" w:rsidR="002F03F5" w:rsidRDefault="008F23FF">
            <w:pPr>
              <w:pStyle w:val="TableRowHeader"/>
              <w:keepNext/>
              <w:rPr>
                <w:rFonts w:eastAsia="Times New Roman" w:cs="Times New Roman"/>
              </w:rPr>
            </w:pPr>
            <w:r>
              <w:rPr>
                <w:rFonts w:eastAsia="Times New Roman" w:cs="Times New Roman"/>
              </w:rPr>
              <w:t xml:space="preserve">Median, months (95% </w:t>
            </w:r>
            <w:proofErr w:type="gramStart"/>
            <w:r>
              <w:rPr>
                <w:rFonts w:eastAsia="Times New Roman" w:cs="Times New Roman"/>
              </w:rPr>
              <w:t>CI)a</w:t>
            </w:r>
            <w:proofErr w:type="gramEnd"/>
          </w:p>
        </w:tc>
        <w:tc>
          <w:tcPr>
            <w:tcW w:w="991" w:type="dxa"/>
            <w:tcBorders>
              <w:left w:val="nil"/>
              <w:right w:val="nil"/>
            </w:tcBorders>
            <w:vAlign w:val="bottom"/>
          </w:tcPr>
          <w:p w14:paraId="3C780B3F" w14:textId="77777777" w:rsidR="002F03F5" w:rsidRDefault="008F23FF">
            <w:pPr>
              <w:pStyle w:val="TableRowHeader"/>
              <w:keepNext/>
              <w:rPr>
                <w:rFonts w:eastAsia="Times New Roman" w:cs="Times New Roman"/>
              </w:rPr>
            </w:pPr>
            <w:r>
              <w:rPr>
                <w:rFonts w:eastAsia="Times New Roman" w:cs="Times New Roman"/>
              </w:rPr>
              <w:t xml:space="preserve">Events n/N </w:t>
            </w:r>
          </w:p>
        </w:tc>
        <w:tc>
          <w:tcPr>
            <w:tcW w:w="1583" w:type="dxa"/>
            <w:vAlign w:val="bottom"/>
          </w:tcPr>
          <w:p w14:paraId="3C780B40" w14:textId="77777777" w:rsidR="002F03F5" w:rsidRDefault="008F23FF">
            <w:pPr>
              <w:pStyle w:val="TableRowHeader"/>
              <w:keepNext/>
              <w:rPr>
                <w:rFonts w:eastAsia="Times New Roman" w:cs="Times New Roman"/>
              </w:rPr>
            </w:pPr>
            <w:r>
              <w:rPr>
                <w:rFonts w:eastAsia="Times New Roman" w:cs="Times New Roman"/>
              </w:rPr>
              <w:t xml:space="preserve">Median, months (95% </w:t>
            </w:r>
            <w:proofErr w:type="gramStart"/>
            <w:r>
              <w:rPr>
                <w:rFonts w:eastAsia="Times New Roman" w:cs="Times New Roman"/>
              </w:rPr>
              <w:t>CI)a</w:t>
            </w:r>
            <w:proofErr w:type="gramEnd"/>
          </w:p>
        </w:tc>
        <w:tc>
          <w:tcPr>
            <w:tcW w:w="1502" w:type="dxa"/>
            <w:vMerge/>
            <w:vAlign w:val="center"/>
          </w:tcPr>
          <w:p w14:paraId="3C780B41" w14:textId="77777777" w:rsidR="002F03F5" w:rsidRDefault="002F03F5">
            <w:pPr>
              <w:pStyle w:val="TableText"/>
              <w:keepNext/>
              <w:jc w:val="center"/>
              <w:rPr>
                <w:rFonts w:eastAsia="Times New Roman" w:cs="Times New Roman"/>
              </w:rPr>
            </w:pPr>
          </w:p>
        </w:tc>
      </w:tr>
      <w:tr w:rsidR="002F03F5" w14:paraId="3C780B44" w14:textId="77777777" w:rsidTr="00FC7CAF">
        <w:trPr>
          <w:trHeight w:val="20"/>
        </w:trPr>
        <w:tc>
          <w:tcPr>
            <w:tcW w:w="9026" w:type="dxa"/>
            <w:gridSpan w:val="6"/>
          </w:tcPr>
          <w:p w14:paraId="3C780B43" w14:textId="275F32EE" w:rsidR="002F03F5" w:rsidRDefault="008F23FF">
            <w:pPr>
              <w:pStyle w:val="TableText"/>
              <w:keepNext/>
              <w:rPr>
                <w:b/>
                <w:vertAlign w:val="superscript"/>
              </w:rPr>
            </w:pPr>
            <w:r>
              <w:rPr>
                <w:rFonts w:eastAsia="Times New Roman" w:cs="Times New Roman"/>
                <w:b/>
              </w:rPr>
              <w:t xml:space="preserve">PFS: LIBRETTO-531 selpercatinib vs cabozantinib or vandetanib </w:t>
            </w:r>
          </w:p>
        </w:tc>
      </w:tr>
      <w:tr w:rsidR="002F03F5" w14:paraId="3C780B4B" w14:textId="77777777" w:rsidTr="00FC7CAF">
        <w:trPr>
          <w:trHeight w:val="20"/>
        </w:trPr>
        <w:tc>
          <w:tcPr>
            <w:tcW w:w="2157" w:type="dxa"/>
            <w:shd w:val="clear" w:color="auto" w:fill="E7E6E6" w:themeFill="background2"/>
          </w:tcPr>
          <w:p w14:paraId="3C780B45" w14:textId="0A319C2C" w:rsidR="002F03F5" w:rsidRDefault="008F23FF">
            <w:pPr>
              <w:pStyle w:val="TableText"/>
              <w:keepNext/>
              <w:rPr>
                <w:bCs/>
              </w:rPr>
            </w:pPr>
            <w:r>
              <w:rPr>
                <w:rFonts w:eastAsia="Times New Roman" w:cs="Times New Roman"/>
                <w:bCs/>
              </w:rPr>
              <w:t>ITT (</w:t>
            </w:r>
            <w:r>
              <w:rPr>
                <w:rFonts w:eastAsia="Times New Roman" w:cs="Times New Roman"/>
                <w:bCs/>
                <w:i/>
                <w:iCs/>
              </w:rPr>
              <w:t>RET</w:t>
            </w:r>
            <w:r>
              <w:rPr>
                <w:rFonts w:eastAsia="Times New Roman" w:cs="Times New Roman"/>
                <w:bCs/>
              </w:rPr>
              <w:t xml:space="preserve"> variant)</w:t>
            </w:r>
          </w:p>
        </w:tc>
        <w:tc>
          <w:tcPr>
            <w:tcW w:w="991" w:type="dxa"/>
            <w:shd w:val="clear" w:color="auto" w:fill="E7E6E6" w:themeFill="background2"/>
          </w:tcPr>
          <w:p w14:paraId="3C780B46" w14:textId="77777777" w:rsidR="002F03F5" w:rsidRDefault="008F23FF">
            <w:pPr>
              <w:pStyle w:val="TableNumber"/>
              <w:keepNext/>
              <w:rPr>
                <w:rFonts w:eastAsia="Times New Roman" w:cs="Times New Roman"/>
              </w:rPr>
            </w:pPr>
            <w:r>
              <w:rPr>
                <w:rFonts w:eastAsia="Times New Roman" w:cs="Times New Roman"/>
              </w:rPr>
              <w:t xml:space="preserve">34/193 </w:t>
            </w:r>
          </w:p>
        </w:tc>
        <w:tc>
          <w:tcPr>
            <w:tcW w:w="1802" w:type="dxa"/>
            <w:shd w:val="clear" w:color="auto" w:fill="E7E6E6" w:themeFill="background2"/>
          </w:tcPr>
          <w:p w14:paraId="3C780B47" w14:textId="77777777" w:rsidR="002F03F5" w:rsidRDefault="008F23FF">
            <w:pPr>
              <w:pStyle w:val="TableText"/>
              <w:keepNext/>
              <w:rPr>
                <w:rFonts w:eastAsia="Times New Roman" w:cs="Times New Roman"/>
              </w:rPr>
            </w:pPr>
            <w:r>
              <w:rPr>
                <w:rFonts w:eastAsia="Times New Roman" w:cs="Times New Roman"/>
              </w:rPr>
              <w:t>Not reached (35.8, NE)</w:t>
            </w:r>
          </w:p>
        </w:tc>
        <w:tc>
          <w:tcPr>
            <w:tcW w:w="991" w:type="dxa"/>
            <w:shd w:val="clear" w:color="auto" w:fill="E7E6E6" w:themeFill="background2"/>
          </w:tcPr>
          <w:p w14:paraId="3C780B48" w14:textId="77777777" w:rsidR="002F03F5" w:rsidRDefault="008F23FF">
            <w:pPr>
              <w:pStyle w:val="TableNumber"/>
              <w:keepNext/>
              <w:rPr>
                <w:rFonts w:eastAsia="Times New Roman" w:cs="Times New Roman"/>
              </w:rPr>
            </w:pPr>
            <w:r>
              <w:rPr>
                <w:rFonts w:eastAsia="Times New Roman" w:cs="Times New Roman"/>
              </w:rPr>
              <w:t>47/98</w:t>
            </w:r>
          </w:p>
        </w:tc>
        <w:tc>
          <w:tcPr>
            <w:tcW w:w="1583" w:type="dxa"/>
            <w:shd w:val="clear" w:color="auto" w:fill="E7E6E6" w:themeFill="background2"/>
          </w:tcPr>
          <w:p w14:paraId="3C780B49" w14:textId="77777777" w:rsidR="002F03F5" w:rsidRDefault="008F23FF">
            <w:pPr>
              <w:pStyle w:val="TableNumber"/>
              <w:keepNext/>
              <w:rPr>
                <w:rFonts w:eastAsia="Times New Roman" w:cs="Times New Roman"/>
              </w:rPr>
            </w:pPr>
            <w:r>
              <w:rPr>
                <w:rFonts w:eastAsia="Times New Roman" w:cs="Times New Roman"/>
              </w:rPr>
              <w:t>13.9 (12.2, 19.5)</w:t>
            </w:r>
          </w:p>
        </w:tc>
        <w:tc>
          <w:tcPr>
            <w:tcW w:w="1502" w:type="dxa"/>
            <w:shd w:val="clear" w:color="auto" w:fill="E7E6E6" w:themeFill="background2"/>
          </w:tcPr>
          <w:p w14:paraId="3C780B4A" w14:textId="77777777" w:rsidR="002F03F5" w:rsidRDefault="008F23FF">
            <w:pPr>
              <w:pStyle w:val="TableNumber"/>
              <w:keepNext/>
              <w:rPr>
                <w:rFonts w:eastAsia="Times New Roman" w:cs="Times New Roman"/>
              </w:rPr>
            </w:pPr>
            <w:r>
              <w:rPr>
                <w:rFonts w:eastAsia="Times New Roman" w:cs="Times New Roman"/>
                <w:b/>
                <w:bCs/>
              </w:rPr>
              <w:t>0.202 (0.128, 0.320); &lt;0.0001</w:t>
            </w:r>
          </w:p>
        </w:tc>
      </w:tr>
      <w:tr w:rsidR="002F03F5" w14:paraId="3C780B4D" w14:textId="77777777" w:rsidTr="00FC7CAF">
        <w:trPr>
          <w:trHeight w:val="20"/>
        </w:trPr>
        <w:tc>
          <w:tcPr>
            <w:tcW w:w="9026" w:type="dxa"/>
            <w:gridSpan w:val="6"/>
          </w:tcPr>
          <w:p w14:paraId="3C780B4C" w14:textId="77777777" w:rsidR="002F03F5" w:rsidRDefault="008F23FF">
            <w:pPr>
              <w:pStyle w:val="TableText"/>
              <w:keepNext/>
              <w:rPr>
                <w:b/>
                <w:vertAlign w:val="superscript"/>
              </w:rPr>
            </w:pPr>
            <w:r>
              <w:rPr>
                <w:rFonts w:eastAsia="Times New Roman" w:cs="Times New Roman"/>
                <w:b/>
              </w:rPr>
              <w:t xml:space="preserve">PFS: EXAM cabozantinib vs placebo </w:t>
            </w:r>
          </w:p>
        </w:tc>
      </w:tr>
      <w:tr w:rsidR="002F03F5" w14:paraId="3C780B54" w14:textId="77777777" w:rsidTr="00FC7CAF">
        <w:trPr>
          <w:trHeight w:val="20"/>
        </w:trPr>
        <w:tc>
          <w:tcPr>
            <w:tcW w:w="2157" w:type="dxa"/>
          </w:tcPr>
          <w:p w14:paraId="3C780B4E" w14:textId="3DF531DC" w:rsidR="002F03F5" w:rsidRDefault="008F23FF">
            <w:pPr>
              <w:pStyle w:val="TableText"/>
              <w:keepNext/>
              <w:rPr>
                <w:bCs/>
              </w:rPr>
            </w:pPr>
            <w:r>
              <w:rPr>
                <w:rFonts w:eastAsia="Times New Roman" w:cs="Times New Roman"/>
                <w:bCs/>
              </w:rPr>
              <w:t>ITT (any</w:t>
            </w:r>
            <w:r>
              <w:rPr>
                <w:rFonts w:eastAsia="Times New Roman" w:cs="Times New Roman"/>
                <w:i/>
              </w:rPr>
              <w:t xml:space="preserve"> </w:t>
            </w:r>
            <w:r>
              <w:rPr>
                <w:rFonts w:eastAsia="Times New Roman" w:cs="Times New Roman"/>
                <w:bCs/>
                <w:i/>
                <w:iCs/>
              </w:rPr>
              <w:t>RET</w:t>
            </w:r>
            <w:r>
              <w:rPr>
                <w:rFonts w:eastAsia="Times New Roman" w:cs="Times New Roman"/>
                <w:i/>
              </w:rPr>
              <w:t xml:space="preserve"> </w:t>
            </w:r>
            <w:r>
              <w:rPr>
                <w:rFonts w:eastAsia="Times New Roman" w:cs="Times New Roman"/>
                <w:bCs/>
              </w:rPr>
              <w:t>status)</w:t>
            </w:r>
          </w:p>
        </w:tc>
        <w:tc>
          <w:tcPr>
            <w:tcW w:w="991" w:type="dxa"/>
          </w:tcPr>
          <w:p w14:paraId="3C780B4F" w14:textId="77777777" w:rsidR="002F03F5" w:rsidRDefault="008F23FF">
            <w:pPr>
              <w:pStyle w:val="TableNumber"/>
              <w:keepNext/>
              <w:rPr>
                <w:rFonts w:eastAsia="Times New Roman" w:cs="Times New Roman"/>
              </w:rPr>
            </w:pPr>
            <w:r>
              <w:rPr>
                <w:rFonts w:eastAsia="Times New Roman" w:cs="Times New Roman"/>
              </w:rPr>
              <w:t>79/219</w:t>
            </w:r>
          </w:p>
        </w:tc>
        <w:tc>
          <w:tcPr>
            <w:tcW w:w="1802" w:type="dxa"/>
          </w:tcPr>
          <w:p w14:paraId="3C780B50" w14:textId="77777777" w:rsidR="002F03F5" w:rsidRDefault="008F23FF">
            <w:pPr>
              <w:pStyle w:val="TableNumber"/>
              <w:keepNext/>
              <w:rPr>
                <w:rFonts w:eastAsia="Times New Roman" w:cs="Times New Roman"/>
              </w:rPr>
            </w:pPr>
            <w:r>
              <w:rPr>
                <w:rFonts w:eastAsia="Times New Roman" w:cs="Times New Roman"/>
              </w:rPr>
              <w:t>11.2 (NR, NR)</w:t>
            </w:r>
          </w:p>
        </w:tc>
        <w:tc>
          <w:tcPr>
            <w:tcW w:w="991" w:type="dxa"/>
          </w:tcPr>
          <w:p w14:paraId="3C780B51" w14:textId="77777777" w:rsidR="002F03F5" w:rsidRDefault="008F23FF">
            <w:pPr>
              <w:pStyle w:val="TableNumber"/>
              <w:keepNext/>
              <w:rPr>
                <w:rFonts w:eastAsia="Times New Roman" w:cs="Times New Roman"/>
              </w:rPr>
            </w:pPr>
            <w:r>
              <w:rPr>
                <w:rFonts w:eastAsia="Times New Roman" w:cs="Times New Roman"/>
              </w:rPr>
              <w:t>60/111</w:t>
            </w:r>
          </w:p>
        </w:tc>
        <w:tc>
          <w:tcPr>
            <w:tcW w:w="1583" w:type="dxa"/>
          </w:tcPr>
          <w:p w14:paraId="3C780B52" w14:textId="77777777" w:rsidR="002F03F5" w:rsidRDefault="008F23FF">
            <w:pPr>
              <w:pStyle w:val="TableNumber"/>
              <w:keepNext/>
              <w:rPr>
                <w:rFonts w:eastAsia="Times New Roman" w:cs="Times New Roman"/>
              </w:rPr>
            </w:pPr>
            <w:r>
              <w:rPr>
                <w:rFonts w:eastAsia="Times New Roman" w:cs="Times New Roman"/>
              </w:rPr>
              <w:t>4.0 (NR, NR)</w:t>
            </w:r>
          </w:p>
        </w:tc>
        <w:tc>
          <w:tcPr>
            <w:tcW w:w="1502" w:type="dxa"/>
          </w:tcPr>
          <w:p w14:paraId="3C780B53" w14:textId="77777777" w:rsidR="002F03F5" w:rsidRDefault="008F23FF">
            <w:pPr>
              <w:pStyle w:val="TableNumber"/>
              <w:keepNext/>
              <w:rPr>
                <w:b/>
                <w:bCs/>
              </w:rPr>
            </w:pPr>
            <w:r>
              <w:rPr>
                <w:rFonts w:eastAsia="Times New Roman" w:cs="Times New Roman"/>
                <w:b/>
                <w:bCs/>
              </w:rPr>
              <w:t>0.28 (0.19, 0.40); &lt;0.0001</w:t>
            </w:r>
          </w:p>
        </w:tc>
      </w:tr>
      <w:tr w:rsidR="002F03F5" w14:paraId="3C780B5B" w14:textId="77777777" w:rsidTr="00FC7CAF">
        <w:trPr>
          <w:trHeight w:val="20"/>
        </w:trPr>
        <w:tc>
          <w:tcPr>
            <w:tcW w:w="2157" w:type="dxa"/>
            <w:shd w:val="clear" w:color="auto" w:fill="E7E6E6" w:themeFill="background2"/>
          </w:tcPr>
          <w:p w14:paraId="3C780B55" w14:textId="0286928D" w:rsidR="002F03F5" w:rsidRDefault="008F23FF">
            <w:pPr>
              <w:pStyle w:val="TableText"/>
              <w:keepNext/>
              <w:ind w:left="144"/>
              <w:rPr>
                <w:vertAlign w:val="superscript"/>
              </w:rPr>
            </w:pPr>
            <w:r>
              <w:rPr>
                <w:rFonts w:eastAsia="Times New Roman" w:cs="Times New Roman"/>
                <w:i/>
                <w:iCs/>
              </w:rPr>
              <w:t>RET</w:t>
            </w:r>
            <w:r>
              <w:rPr>
                <w:rFonts w:eastAsia="Times New Roman" w:cs="Times New Roman"/>
              </w:rPr>
              <w:t xml:space="preserve"> variant</w:t>
            </w:r>
          </w:p>
        </w:tc>
        <w:tc>
          <w:tcPr>
            <w:tcW w:w="991" w:type="dxa"/>
            <w:shd w:val="clear" w:color="auto" w:fill="E7E6E6" w:themeFill="background2"/>
          </w:tcPr>
          <w:p w14:paraId="3C780B56" w14:textId="77777777" w:rsidR="002F03F5" w:rsidRDefault="008F23FF">
            <w:pPr>
              <w:pStyle w:val="TableNumber"/>
              <w:keepNext/>
              <w:rPr>
                <w:i/>
                <w:iCs/>
              </w:rPr>
            </w:pPr>
            <w:r>
              <w:rPr>
                <w:rFonts w:eastAsia="Times New Roman" w:cs="Times New Roman"/>
              </w:rPr>
              <w:t>NR/107</w:t>
            </w:r>
          </w:p>
        </w:tc>
        <w:tc>
          <w:tcPr>
            <w:tcW w:w="1802" w:type="dxa"/>
            <w:shd w:val="clear" w:color="auto" w:fill="E7E6E6" w:themeFill="background2"/>
          </w:tcPr>
          <w:p w14:paraId="3C780B57" w14:textId="77777777" w:rsidR="002F03F5" w:rsidRDefault="008F23FF">
            <w:pPr>
              <w:pStyle w:val="TableNumber"/>
              <w:keepNext/>
              <w:rPr>
                <w:rFonts w:eastAsia="Times New Roman" w:cs="Times New Roman"/>
              </w:rPr>
            </w:pPr>
            <w:r>
              <w:rPr>
                <w:rFonts w:eastAsia="Times New Roman" w:cs="Times New Roman"/>
                <w:i/>
                <w:iCs/>
              </w:rPr>
              <w:t>13.8 (NE, NE)</w:t>
            </w:r>
          </w:p>
        </w:tc>
        <w:tc>
          <w:tcPr>
            <w:tcW w:w="991" w:type="dxa"/>
            <w:shd w:val="clear" w:color="auto" w:fill="E7E6E6" w:themeFill="background2"/>
          </w:tcPr>
          <w:p w14:paraId="3C780B58" w14:textId="77777777" w:rsidR="002F03F5" w:rsidRDefault="008F23FF">
            <w:pPr>
              <w:pStyle w:val="TableNumber"/>
              <w:keepNext/>
              <w:rPr>
                <w:i/>
                <w:iCs/>
              </w:rPr>
            </w:pPr>
            <w:r>
              <w:rPr>
                <w:rFonts w:eastAsia="Times New Roman" w:cs="Times New Roman"/>
              </w:rPr>
              <w:t>NR/62</w:t>
            </w:r>
          </w:p>
        </w:tc>
        <w:tc>
          <w:tcPr>
            <w:tcW w:w="1583" w:type="dxa"/>
            <w:shd w:val="clear" w:color="auto" w:fill="E7E6E6" w:themeFill="background2"/>
          </w:tcPr>
          <w:p w14:paraId="3C780B59" w14:textId="77777777" w:rsidR="002F03F5" w:rsidRDefault="008F23FF">
            <w:pPr>
              <w:pStyle w:val="TableNumber"/>
              <w:keepNext/>
              <w:rPr>
                <w:rFonts w:eastAsia="Times New Roman" w:cs="Times New Roman"/>
              </w:rPr>
            </w:pPr>
            <w:r>
              <w:rPr>
                <w:rFonts w:eastAsia="Times New Roman" w:cs="Times New Roman"/>
                <w:i/>
                <w:iCs/>
              </w:rPr>
              <w:t>4.6 (NE, NE)</w:t>
            </w:r>
          </w:p>
        </w:tc>
        <w:tc>
          <w:tcPr>
            <w:tcW w:w="1502" w:type="dxa"/>
            <w:shd w:val="clear" w:color="auto" w:fill="E7E6E6" w:themeFill="background2"/>
          </w:tcPr>
          <w:p w14:paraId="3C780B5A" w14:textId="77777777" w:rsidR="002F03F5" w:rsidRDefault="008F23FF">
            <w:pPr>
              <w:pStyle w:val="TableNumber"/>
              <w:keepNext/>
              <w:rPr>
                <w:rFonts w:eastAsia="Times New Roman" w:cs="Times New Roman"/>
              </w:rPr>
            </w:pPr>
            <w:r>
              <w:rPr>
                <w:rFonts w:eastAsia="Times New Roman" w:cs="Times New Roman"/>
              </w:rPr>
              <w:t>0.23 (0.14, 0.38); &lt;0.0001</w:t>
            </w:r>
          </w:p>
        </w:tc>
      </w:tr>
      <w:tr w:rsidR="002F03F5" w14:paraId="3C780B62" w14:textId="77777777" w:rsidTr="00FC7CAF">
        <w:trPr>
          <w:trHeight w:val="20"/>
        </w:trPr>
        <w:tc>
          <w:tcPr>
            <w:tcW w:w="2157" w:type="dxa"/>
          </w:tcPr>
          <w:p w14:paraId="3C780B5C" w14:textId="7FB0E597" w:rsidR="002F03F5" w:rsidRDefault="008F23FF">
            <w:pPr>
              <w:pStyle w:val="TableText"/>
              <w:keepNext/>
              <w:ind w:left="144"/>
              <w:rPr>
                <w:rFonts w:eastAsia="Times New Roman" w:cs="Times New Roman"/>
              </w:rPr>
            </w:pPr>
            <w:r>
              <w:rPr>
                <w:rFonts w:eastAsia="Times New Roman" w:cs="Times New Roman"/>
                <w:i/>
                <w:iCs/>
              </w:rPr>
              <w:t>RET</w:t>
            </w:r>
            <w:r>
              <w:rPr>
                <w:rFonts w:eastAsia="Times New Roman" w:cs="Times New Roman"/>
              </w:rPr>
              <w:t xml:space="preserve"> wildtype</w:t>
            </w:r>
          </w:p>
        </w:tc>
        <w:tc>
          <w:tcPr>
            <w:tcW w:w="991" w:type="dxa"/>
          </w:tcPr>
          <w:p w14:paraId="3C780B5D" w14:textId="77777777" w:rsidR="002F03F5" w:rsidRDefault="008F23FF">
            <w:pPr>
              <w:pStyle w:val="TableNumber"/>
              <w:keepNext/>
              <w:rPr>
                <w:rFonts w:eastAsia="Times New Roman" w:cs="Times New Roman"/>
              </w:rPr>
            </w:pPr>
            <w:r>
              <w:rPr>
                <w:rFonts w:eastAsia="Times New Roman" w:cs="Times New Roman"/>
              </w:rPr>
              <w:t>NR/35</w:t>
            </w:r>
          </w:p>
        </w:tc>
        <w:tc>
          <w:tcPr>
            <w:tcW w:w="1802" w:type="dxa"/>
          </w:tcPr>
          <w:p w14:paraId="3C780B5E" w14:textId="77777777" w:rsidR="002F03F5" w:rsidRDefault="008F23FF">
            <w:pPr>
              <w:pStyle w:val="TableNumber"/>
              <w:keepNext/>
              <w:rPr>
                <w:rFonts w:eastAsia="Times New Roman" w:cs="Times New Roman"/>
              </w:rPr>
            </w:pPr>
            <w:r>
              <w:rPr>
                <w:rFonts w:eastAsia="Times New Roman" w:cs="Times New Roman"/>
                <w:i/>
                <w:iCs/>
              </w:rPr>
              <w:t>5.8 (NE, NE)</w:t>
            </w:r>
          </w:p>
        </w:tc>
        <w:tc>
          <w:tcPr>
            <w:tcW w:w="991" w:type="dxa"/>
          </w:tcPr>
          <w:p w14:paraId="3C780B5F" w14:textId="77777777" w:rsidR="002F03F5" w:rsidRDefault="008F23FF">
            <w:pPr>
              <w:pStyle w:val="TableNumber"/>
              <w:keepNext/>
              <w:rPr>
                <w:rFonts w:eastAsia="Times New Roman" w:cs="Times New Roman"/>
              </w:rPr>
            </w:pPr>
            <w:r>
              <w:rPr>
                <w:rFonts w:eastAsia="Times New Roman" w:cs="Times New Roman"/>
              </w:rPr>
              <w:t>NR/11</w:t>
            </w:r>
          </w:p>
        </w:tc>
        <w:tc>
          <w:tcPr>
            <w:tcW w:w="1583" w:type="dxa"/>
          </w:tcPr>
          <w:p w14:paraId="3C780B60" w14:textId="77777777" w:rsidR="002F03F5" w:rsidRDefault="008F23FF">
            <w:pPr>
              <w:pStyle w:val="TableNumber"/>
              <w:keepNext/>
              <w:rPr>
                <w:rFonts w:eastAsia="Times New Roman" w:cs="Times New Roman"/>
              </w:rPr>
            </w:pPr>
            <w:r>
              <w:rPr>
                <w:rFonts w:eastAsia="Times New Roman" w:cs="Times New Roman"/>
                <w:i/>
                <w:iCs/>
              </w:rPr>
              <w:t>5.3 (NE, NE)</w:t>
            </w:r>
          </w:p>
        </w:tc>
        <w:tc>
          <w:tcPr>
            <w:tcW w:w="1502" w:type="dxa"/>
          </w:tcPr>
          <w:p w14:paraId="3C780B61" w14:textId="77777777" w:rsidR="002F03F5" w:rsidRDefault="008F23FF">
            <w:pPr>
              <w:pStyle w:val="TableNumber"/>
              <w:keepNext/>
              <w:rPr>
                <w:vertAlign w:val="superscript"/>
              </w:rPr>
            </w:pPr>
            <w:r>
              <w:rPr>
                <w:rFonts w:eastAsia="Times New Roman" w:cs="Times New Roman"/>
              </w:rPr>
              <w:t>0.53 (0.19, 1.50); 0.2142</w:t>
            </w:r>
            <w:r>
              <w:rPr>
                <w:rFonts w:eastAsia="Times New Roman" w:cs="Times New Roman"/>
                <w:vertAlign w:val="superscript"/>
              </w:rPr>
              <w:t>c</w:t>
            </w:r>
          </w:p>
        </w:tc>
      </w:tr>
      <w:tr w:rsidR="002F03F5" w14:paraId="3C780B69" w14:textId="77777777" w:rsidTr="00FC7CAF">
        <w:trPr>
          <w:trHeight w:val="20"/>
        </w:trPr>
        <w:tc>
          <w:tcPr>
            <w:tcW w:w="2157" w:type="dxa"/>
          </w:tcPr>
          <w:p w14:paraId="3C780B63" w14:textId="4064BECE" w:rsidR="002F03F5" w:rsidRDefault="008F23FF">
            <w:pPr>
              <w:pStyle w:val="TableText"/>
              <w:keepNext/>
              <w:ind w:left="144"/>
              <w:rPr>
                <w:rFonts w:eastAsia="Times New Roman" w:cs="Times New Roman"/>
              </w:rPr>
            </w:pPr>
            <w:r>
              <w:rPr>
                <w:rFonts w:eastAsia="Times New Roman" w:cs="Times New Roman"/>
                <w:i/>
                <w:iCs/>
              </w:rPr>
              <w:t>RET</w:t>
            </w:r>
            <w:r>
              <w:rPr>
                <w:rFonts w:eastAsia="Times New Roman" w:cs="Times New Roman"/>
              </w:rPr>
              <w:t xml:space="preserve"> </w:t>
            </w:r>
            <w:proofErr w:type="spellStart"/>
            <w:r>
              <w:rPr>
                <w:rFonts w:eastAsia="Times New Roman" w:cs="Times New Roman"/>
              </w:rPr>
              <w:t>unknown</w:t>
            </w:r>
            <w:r>
              <w:rPr>
                <w:rFonts w:eastAsia="Times New Roman" w:cs="Times New Roman"/>
                <w:vertAlign w:val="superscript"/>
              </w:rPr>
              <w:t>d</w:t>
            </w:r>
            <w:proofErr w:type="spellEnd"/>
          </w:p>
        </w:tc>
        <w:tc>
          <w:tcPr>
            <w:tcW w:w="991" w:type="dxa"/>
          </w:tcPr>
          <w:p w14:paraId="3C780B64" w14:textId="77777777" w:rsidR="002F03F5" w:rsidRDefault="008F23FF">
            <w:pPr>
              <w:pStyle w:val="TableNumber"/>
              <w:keepNext/>
              <w:rPr>
                <w:i/>
                <w:iCs/>
              </w:rPr>
            </w:pPr>
            <w:r>
              <w:rPr>
                <w:rFonts w:eastAsia="Times New Roman" w:cs="Times New Roman"/>
              </w:rPr>
              <w:t xml:space="preserve">NR/77 </w:t>
            </w:r>
          </w:p>
        </w:tc>
        <w:tc>
          <w:tcPr>
            <w:tcW w:w="1802" w:type="dxa"/>
          </w:tcPr>
          <w:p w14:paraId="3C780B65" w14:textId="77777777" w:rsidR="002F03F5" w:rsidRDefault="008F23FF">
            <w:pPr>
              <w:pStyle w:val="TableNumber"/>
              <w:keepNext/>
              <w:rPr>
                <w:rFonts w:eastAsia="Times New Roman" w:cs="Times New Roman"/>
              </w:rPr>
            </w:pPr>
            <w:r>
              <w:rPr>
                <w:rFonts w:eastAsia="Times New Roman" w:cs="Times New Roman"/>
                <w:i/>
                <w:iCs/>
              </w:rPr>
              <w:t>11 (NE, NE)</w:t>
            </w:r>
          </w:p>
        </w:tc>
        <w:tc>
          <w:tcPr>
            <w:tcW w:w="991" w:type="dxa"/>
          </w:tcPr>
          <w:p w14:paraId="3C780B66" w14:textId="77777777" w:rsidR="002F03F5" w:rsidRDefault="008F23FF">
            <w:pPr>
              <w:pStyle w:val="TableNumber"/>
              <w:keepNext/>
              <w:rPr>
                <w:rFonts w:eastAsia="Times New Roman" w:cs="Times New Roman"/>
              </w:rPr>
            </w:pPr>
            <w:r>
              <w:rPr>
                <w:rFonts w:eastAsia="Times New Roman" w:cs="Times New Roman"/>
              </w:rPr>
              <w:t xml:space="preserve">NR/38 </w:t>
            </w:r>
          </w:p>
        </w:tc>
        <w:tc>
          <w:tcPr>
            <w:tcW w:w="1583" w:type="dxa"/>
          </w:tcPr>
          <w:p w14:paraId="3C780B67" w14:textId="77777777" w:rsidR="002F03F5" w:rsidRDefault="008F23FF">
            <w:pPr>
              <w:pStyle w:val="TableNumber"/>
              <w:keepNext/>
              <w:rPr>
                <w:rFonts w:eastAsia="Times New Roman" w:cs="Times New Roman"/>
              </w:rPr>
            </w:pPr>
            <w:r>
              <w:rPr>
                <w:rFonts w:eastAsia="Times New Roman" w:cs="Times New Roman"/>
                <w:i/>
                <w:iCs/>
              </w:rPr>
              <w:t>3 (NE, NE)</w:t>
            </w:r>
          </w:p>
        </w:tc>
        <w:tc>
          <w:tcPr>
            <w:tcW w:w="1502" w:type="dxa"/>
          </w:tcPr>
          <w:p w14:paraId="3C780B68" w14:textId="77777777" w:rsidR="002F03F5" w:rsidRDefault="008F23FF">
            <w:pPr>
              <w:pStyle w:val="TableNumber"/>
              <w:keepNext/>
              <w:rPr>
                <w:rFonts w:eastAsia="Times New Roman" w:cs="Times New Roman"/>
              </w:rPr>
            </w:pPr>
            <w:r>
              <w:rPr>
                <w:rFonts w:eastAsia="Times New Roman" w:cs="Times New Roman"/>
              </w:rPr>
              <w:t>0.30 (0.16, 0.57); 0.0001</w:t>
            </w:r>
          </w:p>
        </w:tc>
      </w:tr>
      <w:tr w:rsidR="002F03F5" w14:paraId="3C780B6B" w14:textId="77777777" w:rsidTr="00FC7CAF">
        <w:trPr>
          <w:trHeight w:val="20"/>
        </w:trPr>
        <w:tc>
          <w:tcPr>
            <w:tcW w:w="9026" w:type="dxa"/>
            <w:gridSpan w:val="6"/>
          </w:tcPr>
          <w:p w14:paraId="3C780B6A" w14:textId="73F8B36F" w:rsidR="002F03F5" w:rsidRDefault="008F23FF">
            <w:pPr>
              <w:pStyle w:val="TableText"/>
              <w:keepNext/>
              <w:rPr>
                <w:b/>
                <w:vertAlign w:val="superscript"/>
              </w:rPr>
            </w:pPr>
            <w:r>
              <w:rPr>
                <w:rFonts w:eastAsia="Times New Roman" w:cs="Times New Roman"/>
                <w:b/>
              </w:rPr>
              <w:t xml:space="preserve">OS: LIBRETTO-531 selpercatinib vs cabozantinib/vandetanib </w:t>
            </w:r>
          </w:p>
        </w:tc>
      </w:tr>
      <w:tr w:rsidR="002F03F5" w14:paraId="3C780B72" w14:textId="77777777" w:rsidTr="00FC7CAF">
        <w:trPr>
          <w:trHeight w:val="20"/>
        </w:trPr>
        <w:tc>
          <w:tcPr>
            <w:tcW w:w="2157" w:type="dxa"/>
            <w:shd w:val="clear" w:color="auto" w:fill="E7E6E6" w:themeFill="background2"/>
          </w:tcPr>
          <w:p w14:paraId="3C780B6C" w14:textId="270897EC" w:rsidR="002F03F5" w:rsidRDefault="008F23FF">
            <w:pPr>
              <w:pStyle w:val="TableText"/>
              <w:keepNext/>
              <w:rPr>
                <w:bCs/>
              </w:rPr>
            </w:pPr>
            <w:r>
              <w:rPr>
                <w:rFonts w:eastAsia="Times New Roman" w:cs="Times New Roman"/>
                <w:bCs/>
              </w:rPr>
              <w:t>ITT (</w:t>
            </w:r>
            <w:r>
              <w:rPr>
                <w:rFonts w:eastAsia="Times New Roman" w:cs="Times New Roman"/>
                <w:bCs/>
                <w:i/>
                <w:iCs/>
              </w:rPr>
              <w:t>RET</w:t>
            </w:r>
            <w:r>
              <w:rPr>
                <w:rFonts w:eastAsia="Times New Roman" w:cs="Times New Roman"/>
                <w:bCs/>
              </w:rPr>
              <w:t xml:space="preserve"> variant)</w:t>
            </w:r>
          </w:p>
        </w:tc>
        <w:tc>
          <w:tcPr>
            <w:tcW w:w="991" w:type="dxa"/>
            <w:shd w:val="clear" w:color="auto" w:fill="E7E6E6" w:themeFill="background2"/>
          </w:tcPr>
          <w:p w14:paraId="3C780B6D" w14:textId="77777777" w:rsidR="002F03F5" w:rsidRDefault="008F23FF">
            <w:pPr>
              <w:pStyle w:val="TableNumber"/>
              <w:keepNext/>
              <w:rPr>
                <w:rFonts w:eastAsia="Times New Roman" w:cs="Times New Roman"/>
              </w:rPr>
            </w:pPr>
            <w:r>
              <w:rPr>
                <w:rFonts w:eastAsia="Times New Roman" w:cs="Times New Roman"/>
              </w:rPr>
              <w:t>10/193</w:t>
            </w:r>
          </w:p>
        </w:tc>
        <w:tc>
          <w:tcPr>
            <w:tcW w:w="1802" w:type="dxa"/>
            <w:shd w:val="clear" w:color="auto" w:fill="E7E6E6" w:themeFill="background2"/>
          </w:tcPr>
          <w:p w14:paraId="3C780B6E" w14:textId="77777777" w:rsidR="002F03F5" w:rsidRDefault="008F23FF">
            <w:pPr>
              <w:pStyle w:val="TableText"/>
              <w:keepNext/>
              <w:rPr>
                <w:rFonts w:eastAsia="Times New Roman" w:cs="Times New Roman"/>
              </w:rPr>
            </w:pPr>
            <w:r>
              <w:rPr>
                <w:rFonts w:eastAsia="Times New Roman" w:cs="Times New Roman"/>
              </w:rPr>
              <w:t>Not reached</w:t>
            </w:r>
          </w:p>
        </w:tc>
        <w:tc>
          <w:tcPr>
            <w:tcW w:w="991" w:type="dxa"/>
            <w:shd w:val="clear" w:color="auto" w:fill="E7E6E6" w:themeFill="background2"/>
          </w:tcPr>
          <w:p w14:paraId="3C780B6F" w14:textId="77777777" w:rsidR="002F03F5" w:rsidRDefault="008F23FF">
            <w:pPr>
              <w:pStyle w:val="TableNumber"/>
              <w:keepNext/>
              <w:rPr>
                <w:rFonts w:eastAsia="Times New Roman" w:cs="Times New Roman"/>
              </w:rPr>
            </w:pPr>
            <w:r>
              <w:rPr>
                <w:rFonts w:eastAsia="Times New Roman" w:cs="Times New Roman"/>
              </w:rPr>
              <w:t>16/98</w:t>
            </w:r>
          </w:p>
        </w:tc>
        <w:tc>
          <w:tcPr>
            <w:tcW w:w="1583" w:type="dxa"/>
            <w:shd w:val="clear" w:color="auto" w:fill="E7E6E6" w:themeFill="background2"/>
          </w:tcPr>
          <w:p w14:paraId="3C780B70" w14:textId="77777777" w:rsidR="002F03F5" w:rsidRDefault="008F23FF">
            <w:pPr>
              <w:pStyle w:val="TableText"/>
              <w:keepNext/>
              <w:rPr>
                <w:rFonts w:eastAsia="Times New Roman" w:cs="Times New Roman"/>
              </w:rPr>
            </w:pPr>
            <w:r>
              <w:rPr>
                <w:rFonts w:eastAsia="Times New Roman" w:cs="Times New Roman"/>
              </w:rPr>
              <w:t>Not reached</w:t>
            </w:r>
          </w:p>
        </w:tc>
        <w:tc>
          <w:tcPr>
            <w:tcW w:w="1502" w:type="dxa"/>
            <w:shd w:val="clear" w:color="auto" w:fill="E7E6E6" w:themeFill="background2"/>
          </w:tcPr>
          <w:p w14:paraId="3C780B71" w14:textId="77777777" w:rsidR="002F03F5" w:rsidRDefault="008F23FF">
            <w:pPr>
              <w:pStyle w:val="TableNumber"/>
              <w:keepNext/>
              <w:rPr>
                <w:rFonts w:eastAsia="Times New Roman" w:cs="Times New Roman"/>
              </w:rPr>
            </w:pPr>
            <w:r>
              <w:rPr>
                <w:rFonts w:eastAsia="Times New Roman" w:cs="Times New Roman"/>
              </w:rPr>
              <w:t>0.275 (0.124, 0.608); 0.0007</w:t>
            </w:r>
          </w:p>
        </w:tc>
      </w:tr>
      <w:tr w:rsidR="002F03F5" w14:paraId="3C780B74" w14:textId="77777777" w:rsidTr="00FC7CAF">
        <w:trPr>
          <w:trHeight w:val="20"/>
        </w:trPr>
        <w:tc>
          <w:tcPr>
            <w:tcW w:w="9026" w:type="dxa"/>
            <w:gridSpan w:val="6"/>
          </w:tcPr>
          <w:p w14:paraId="3C780B73" w14:textId="77777777" w:rsidR="002F03F5" w:rsidRDefault="008F23FF">
            <w:pPr>
              <w:pStyle w:val="TableText"/>
              <w:keepNext/>
              <w:rPr>
                <w:b/>
                <w:vertAlign w:val="superscript"/>
              </w:rPr>
            </w:pPr>
            <w:r>
              <w:rPr>
                <w:rFonts w:eastAsia="Times New Roman" w:cs="Times New Roman"/>
                <w:b/>
              </w:rPr>
              <w:t>OS: EXAM cabozantinib vs placebo</w:t>
            </w:r>
          </w:p>
        </w:tc>
      </w:tr>
      <w:tr w:rsidR="002F03F5" w14:paraId="3C780B7B" w14:textId="77777777" w:rsidTr="00FC7CAF">
        <w:trPr>
          <w:trHeight w:val="20"/>
        </w:trPr>
        <w:tc>
          <w:tcPr>
            <w:tcW w:w="2157" w:type="dxa"/>
          </w:tcPr>
          <w:p w14:paraId="3C780B75" w14:textId="0FB8F01C" w:rsidR="002F03F5" w:rsidRDefault="008F23FF">
            <w:pPr>
              <w:pStyle w:val="TableText"/>
              <w:keepNext/>
              <w:rPr>
                <w:bCs/>
              </w:rPr>
            </w:pPr>
            <w:r>
              <w:rPr>
                <w:rFonts w:eastAsia="Times New Roman" w:cs="Times New Roman"/>
                <w:bCs/>
              </w:rPr>
              <w:t>ITT (any</w:t>
            </w:r>
            <w:r>
              <w:rPr>
                <w:rFonts w:eastAsia="Times New Roman" w:cs="Times New Roman"/>
                <w:i/>
              </w:rPr>
              <w:t xml:space="preserve"> </w:t>
            </w:r>
            <w:r>
              <w:rPr>
                <w:rFonts w:eastAsia="Times New Roman" w:cs="Times New Roman"/>
                <w:bCs/>
                <w:i/>
                <w:iCs/>
              </w:rPr>
              <w:t>RET</w:t>
            </w:r>
            <w:r>
              <w:rPr>
                <w:rFonts w:eastAsia="Times New Roman" w:cs="Times New Roman"/>
                <w:i/>
              </w:rPr>
              <w:t xml:space="preserve"> </w:t>
            </w:r>
            <w:r>
              <w:rPr>
                <w:rFonts w:eastAsia="Times New Roman" w:cs="Times New Roman"/>
                <w:bCs/>
              </w:rPr>
              <w:t>status)</w:t>
            </w:r>
          </w:p>
        </w:tc>
        <w:tc>
          <w:tcPr>
            <w:tcW w:w="991" w:type="dxa"/>
            <w:vAlign w:val="center"/>
          </w:tcPr>
          <w:p w14:paraId="3C780B76" w14:textId="77777777" w:rsidR="002F03F5" w:rsidRDefault="008F23FF">
            <w:pPr>
              <w:pStyle w:val="TableNumber"/>
              <w:rPr>
                <w:rFonts w:eastAsia="Times New Roman" w:cs="Times New Roman"/>
              </w:rPr>
            </w:pPr>
            <w:r>
              <w:rPr>
                <w:rFonts w:eastAsia="Times New Roman" w:cs="Times New Roman"/>
              </w:rPr>
              <w:t>141/219</w:t>
            </w:r>
          </w:p>
        </w:tc>
        <w:tc>
          <w:tcPr>
            <w:tcW w:w="1802" w:type="dxa"/>
            <w:vAlign w:val="center"/>
          </w:tcPr>
          <w:p w14:paraId="3C780B77" w14:textId="77777777" w:rsidR="002F03F5" w:rsidRDefault="008F23FF">
            <w:pPr>
              <w:pStyle w:val="TableNumber"/>
              <w:rPr>
                <w:rFonts w:eastAsia="Times New Roman" w:cs="Times New Roman"/>
              </w:rPr>
            </w:pPr>
            <w:r>
              <w:rPr>
                <w:rFonts w:eastAsia="Times New Roman" w:cs="Times New Roman"/>
              </w:rPr>
              <w:t>26.6 (NR, NR)</w:t>
            </w:r>
          </w:p>
        </w:tc>
        <w:tc>
          <w:tcPr>
            <w:tcW w:w="991" w:type="dxa"/>
            <w:vAlign w:val="center"/>
          </w:tcPr>
          <w:p w14:paraId="3C780B78" w14:textId="77777777" w:rsidR="002F03F5" w:rsidRDefault="008F23FF">
            <w:pPr>
              <w:pStyle w:val="TableNumber"/>
              <w:rPr>
                <w:rFonts w:eastAsia="Times New Roman" w:cs="Times New Roman"/>
              </w:rPr>
            </w:pPr>
            <w:r>
              <w:rPr>
                <w:rFonts w:eastAsia="Times New Roman" w:cs="Times New Roman"/>
              </w:rPr>
              <w:t>71/111</w:t>
            </w:r>
          </w:p>
        </w:tc>
        <w:tc>
          <w:tcPr>
            <w:tcW w:w="1583" w:type="dxa"/>
            <w:vAlign w:val="center"/>
          </w:tcPr>
          <w:p w14:paraId="3C780B79" w14:textId="77777777" w:rsidR="002F03F5" w:rsidRDefault="008F23FF">
            <w:pPr>
              <w:pStyle w:val="TableNumber"/>
              <w:rPr>
                <w:rFonts w:eastAsia="Times New Roman" w:cs="Times New Roman"/>
              </w:rPr>
            </w:pPr>
            <w:r>
              <w:rPr>
                <w:rFonts w:eastAsia="Times New Roman" w:cs="Times New Roman"/>
              </w:rPr>
              <w:t>21.1 (NR, NR)</w:t>
            </w:r>
          </w:p>
        </w:tc>
        <w:tc>
          <w:tcPr>
            <w:tcW w:w="1502" w:type="dxa"/>
            <w:vAlign w:val="center"/>
          </w:tcPr>
          <w:p w14:paraId="3C780B7A" w14:textId="77777777" w:rsidR="002F03F5" w:rsidRDefault="008F23FF">
            <w:pPr>
              <w:pStyle w:val="TableNumber"/>
              <w:rPr>
                <w:rFonts w:eastAsia="Times New Roman" w:cs="Times New Roman"/>
              </w:rPr>
            </w:pPr>
            <w:r>
              <w:rPr>
                <w:rFonts w:eastAsia="Times New Roman" w:cs="Times New Roman"/>
              </w:rPr>
              <w:t>0.85 (0.64, 1.12); 0.24</w:t>
            </w:r>
          </w:p>
        </w:tc>
      </w:tr>
      <w:tr w:rsidR="002F03F5" w14:paraId="3C780B82" w14:textId="77777777" w:rsidTr="00FC7CAF">
        <w:trPr>
          <w:trHeight w:val="20"/>
        </w:trPr>
        <w:tc>
          <w:tcPr>
            <w:tcW w:w="2157" w:type="dxa"/>
            <w:shd w:val="clear" w:color="auto" w:fill="E7E6E6" w:themeFill="background2"/>
          </w:tcPr>
          <w:p w14:paraId="3C780B7C" w14:textId="44E01E90" w:rsidR="002F03F5" w:rsidRDefault="008F23FF">
            <w:pPr>
              <w:pStyle w:val="TableText"/>
              <w:keepNext/>
              <w:ind w:left="144"/>
              <w:rPr>
                <w:vertAlign w:val="superscript"/>
              </w:rPr>
            </w:pPr>
            <w:r>
              <w:rPr>
                <w:rFonts w:eastAsia="Times New Roman" w:cs="Times New Roman"/>
                <w:i/>
                <w:iCs/>
              </w:rPr>
              <w:t>RET</w:t>
            </w:r>
            <w:r>
              <w:rPr>
                <w:rFonts w:eastAsia="Times New Roman" w:cs="Times New Roman"/>
              </w:rPr>
              <w:t xml:space="preserve"> </w:t>
            </w:r>
            <w:r>
              <w:rPr>
                <w:rFonts w:eastAsia="Times New Roman" w:cs="Times New Roman"/>
                <w:bCs/>
              </w:rPr>
              <w:t>variant</w:t>
            </w:r>
          </w:p>
        </w:tc>
        <w:tc>
          <w:tcPr>
            <w:tcW w:w="991" w:type="dxa"/>
            <w:shd w:val="clear" w:color="auto" w:fill="E7E6E6" w:themeFill="background2"/>
            <w:vAlign w:val="center"/>
          </w:tcPr>
          <w:p w14:paraId="3C780B7D" w14:textId="77777777" w:rsidR="002F03F5" w:rsidRDefault="008F23FF">
            <w:pPr>
              <w:pStyle w:val="TableNumber"/>
              <w:keepNext/>
              <w:rPr>
                <w:i/>
                <w:iCs/>
              </w:rPr>
            </w:pPr>
            <w:r>
              <w:rPr>
                <w:rFonts w:eastAsia="Times New Roman" w:cs="Times New Roman"/>
              </w:rPr>
              <w:t>NR/107</w:t>
            </w:r>
          </w:p>
        </w:tc>
        <w:tc>
          <w:tcPr>
            <w:tcW w:w="1802" w:type="dxa"/>
            <w:shd w:val="clear" w:color="auto" w:fill="E7E6E6" w:themeFill="background2"/>
            <w:vAlign w:val="center"/>
          </w:tcPr>
          <w:p w14:paraId="3C780B7E" w14:textId="77777777" w:rsidR="002F03F5" w:rsidRDefault="008F23FF">
            <w:pPr>
              <w:pStyle w:val="TableText"/>
              <w:rPr>
                <w:rFonts w:eastAsia="Times New Roman" w:cs="Times New Roman"/>
              </w:rPr>
            </w:pPr>
            <w:r>
              <w:rPr>
                <w:rFonts w:eastAsia="Times New Roman" w:cs="Times New Roman"/>
              </w:rPr>
              <w:t>NR (NR, NR)</w:t>
            </w:r>
          </w:p>
        </w:tc>
        <w:tc>
          <w:tcPr>
            <w:tcW w:w="991" w:type="dxa"/>
            <w:shd w:val="clear" w:color="auto" w:fill="E7E6E6" w:themeFill="background2"/>
            <w:vAlign w:val="center"/>
          </w:tcPr>
          <w:p w14:paraId="3C780B7F" w14:textId="77777777" w:rsidR="002F03F5" w:rsidRDefault="008F23FF">
            <w:pPr>
              <w:pStyle w:val="TableNumber"/>
              <w:keepNext/>
              <w:rPr>
                <w:i/>
                <w:iCs/>
              </w:rPr>
            </w:pPr>
            <w:r>
              <w:rPr>
                <w:rFonts w:eastAsia="Times New Roman" w:cs="Times New Roman"/>
              </w:rPr>
              <w:t>NR/62</w:t>
            </w:r>
          </w:p>
        </w:tc>
        <w:tc>
          <w:tcPr>
            <w:tcW w:w="1583" w:type="dxa"/>
            <w:shd w:val="clear" w:color="auto" w:fill="E7E6E6" w:themeFill="background2"/>
            <w:vAlign w:val="center"/>
          </w:tcPr>
          <w:p w14:paraId="3C780B80" w14:textId="77777777" w:rsidR="002F03F5" w:rsidRDefault="008F23FF">
            <w:pPr>
              <w:pStyle w:val="TableNumber"/>
              <w:keepNext/>
              <w:rPr>
                <w:rFonts w:eastAsia="Times New Roman" w:cs="Times New Roman"/>
              </w:rPr>
            </w:pPr>
            <w:r>
              <w:rPr>
                <w:rFonts w:eastAsia="Times New Roman" w:cs="Times New Roman"/>
              </w:rPr>
              <w:t>NR (NR, NR)</w:t>
            </w:r>
          </w:p>
        </w:tc>
        <w:tc>
          <w:tcPr>
            <w:tcW w:w="1502" w:type="dxa"/>
            <w:shd w:val="clear" w:color="auto" w:fill="E7E6E6" w:themeFill="background2"/>
            <w:vAlign w:val="center"/>
          </w:tcPr>
          <w:p w14:paraId="3C780B81" w14:textId="77777777" w:rsidR="002F03F5" w:rsidRDefault="008F23FF">
            <w:pPr>
              <w:pStyle w:val="TableNumber"/>
              <w:rPr>
                <w:rFonts w:eastAsia="Times New Roman" w:cs="Times New Roman"/>
              </w:rPr>
            </w:pPr>
            <w:r>
              <w:rPr>
                <w:rFonts w:eastAsia="Times New Roman" w:cs="Times New Roman"/>
              </w:rPr>
              <w:t xml:space="preserve">0.79 (0.54, 1.17); NR </w:t>
            </w:r>
          </w:p>
        </w:tc>
      </w:tr>
      <w:tr w:rsidR="002F03F5" w14:paraId="3C780B89" w14:textId="77777777" w:rsidTr="00FC7CAF">
        <w:trPr>
          <w:cantSplit/>
          <w:trHeight w:val="20"/>
        </w:trPr>
        <w:tc>
          <w:tcPr>
            <w:tcW w:w="2157" w:type="dxa"/>
          </w:tcPr>
          <w:p w14:paraId="3C780B83" w14:textId="65016396" w:rsidR="002F03F5" w:rsidRDefault="008F23FF">
            <w:pPr>
              <w:pStyle w:val="TableText"/>
              <w:keepNext/>
              <w:ind w:left="144"/>
              <w:rPr>
                <w:rFonts w:eastAsia="Times New Roman" w:cs="Times New Roman"/>
              </w:rPr>
            </w:pPr>
            <w:r>
              <w:rPr>
                <w:rFonts w:eastAsia="Times New Roman" w:cs="Times New Roman"/>
                <w:i/>
                <w:iCs/>
              </w:rPr>
              <w:t>RET</w:t>
            </w:r>
            <w:r>
              <w:rPr>
                <w:rFonts w:eastAsia="Times New Roman" w:cs="Times New Roman"/>
              </w:rPr>
              <w:t xml:space="preserve"> wildtype</w:t>
            </w:r>
          </w:p>
        </w:tc>
        <w:tc>
          <w:tcPr>
            <w:tcW w:w="991" w:type="dxa"/>
            <w:vAlign w:val="center"/>
          </w:tcPr>
          <w:p w14:paraId="3C780B84" w14:textId="77777777" w:rsidR="002F03F5" w:rsidRDefault="008F23FF">
            <w:pPr>
              <w:pStyle w:val="TableNumber"/>
              <w:keepNext/>
              <w:rPr>
                <w:rFonts w:eastAsia="Times New Roman" w:cs="Times New Roman"/>
              </w:rPr>
            </w:pPr>
            <w:r>
              <w:rPr>
                <w:rFonts w:eastAsia="Times New Roman" w:cs="Times New Roman"/>
              </w:rPr>
              <w:t>NR/35</w:t>
            </w:r>
          </w:p>
        </w:tc>
        <w:tc>
          <w:tcPr>
            <w:tcW w:w="1802" w:type="dxa"/>
            <w:vAlign w:val="center"/>
          </w:tcPr>
          <w:p w14:paraId="3C780B85" w14:textId="77777777" w:rsidR="002F03F5" w:rsidRDefault="008F23FF">
            <w:pPr>
              <w:pStyle w:val="TableText"/>
              <w:rPr>
                <w:rFonts w:eastAsia="Times New Roman" w:cs="Times New Roman"/>
              </w:rPr>
            </w:pPr>
            <w:r>
              <w:rPr>
                <w:rFonts w:eastAsia="Times New Roman" w:cs="Times New Roman"/>
              </w:rPr>
              <w:t>NR (NR, NR)</w:t>
            </w:r>
          </w:p>
        </w:tc>
        <w:tc>
          <w:tcPr>
            <w:tcW w:w="991" w:type="dxa"/>
            <w:vAlign w:val="center"/>
          </w:tcPr>
          <w:p w14:paraId="3C780B86" w14:textId="77777777" w:rsidR="002F03F5" w:rsidRDefault="008F23FF">
            <w:pPr>
              <w:pStyle w:val="TableNumber"/>
              <w:keepNext/>
              <w:rPr>
                <w:rFonts w:eastAsia="Times New Roman" w:cs="Times New Roman"/>
              </w:rPr>
            </w:pPr>
            <w:r>
              <w:rPr>
                <w:rFonts w:eastAsia="Times New Roman" w:cs="Times New Roman"/>
              </w:rPr>
              <w:t>NR/11</w:t>
            </w:r>
          </w:p>
        </w:tc>
        <w:tc>
          <w:tcPr>
            <w:tcW w:w="1583" w:type="dxa"/>
            <w:vAlign w:val="center"/>
          </w:tcPr>
          <w:p w14:paraId="3C780B87" w14:textId="77777777" w:rsidR="002F03F5" w:rsidRDefault="008F23FF">
            <w:pPr>
              <w:pStyle w:val="TableNumber"/>
              <w:keepNext/>
              <w:rPr>
                <w:rFonts w:eastAsia="Times New Roman" w:cs="Times New Roman"/>
              </w:rPr>
            </w:pPr>
            <w:r>
              <w:rPr>
                <w:rFonts w:eastAsia="Times New Roman" w:cs="Times New Roman"/>
              </w:rPr>
              <w:t>NR (NR, NR)</w:t>
            </w:r>
          </w:p>
        </w:tc>
        <w:tc>
          <w:tcPr>
            <w:tcW w:w="1502" w:type="dxa"/>
            <w:vAlign w:val="center"/>
          </w:tcPr>
          <w:p w14:paraId="3C780B88" w14:textId="77777777" w:rsidR="002F03F5" w:rsidRDefault="008F23FF">
            <w:pPr>
              <w:pStyle w:val="TableNumber"/>
              <w:rPr>
                <w:rFonts w:eastAsia="Times New Roman" w:cs="Times New Roman"/>
              </w:rPr>
            </w:pPr>
            <w:r>
              <w:rPr>
                <w:rFonts w:eastAsia="Times New Roman" w:cs="Times New Roman"/>
              </w:rPr>
              <w:t>0.68 (0.33, 1.38); NR</w:t>
            </w:r>
          </w:p>
        </w:tc>
      </w:tr>
      <w:tr w:rsidR="002F03F5" w14:paraId="3C780B90" w14:textId="77777777" w:rsidTr="00FC7CAF">
        <w:trPr>
          <w:trHeight w:val="20"/>
        </w:trPr>
        <w:tc>
          <w:tcPr>
            <w:tcW w:w="2157" w:type="dxa"/>
          </w:tcPr>
          <w:p w14:paraId="3C780B8A" w14:textId="01565334" w:rsidR="002F03F5" w:rsidRDefault="008F23FF">
            <w:pPr>
              <w:pStyle w:val="TableText"/>
              <w:keepNext/>
              <w:ind w:left="144"/>
              <w:rPr>
                <w:vertAlign w:val="superscript"/>
              </w:rPr>
            </w:pPr>
            <w:r>
              <w:rPr>
                <w:rFonts w:eastAsia="Times New Roman" w:cs="Times New Roman"/>
                <w:i/>
                <w:iCs/>
              </w:rPr>
              <w:t>RET</w:t>
            </w:r>
            <w:r>
              <w:rPr>
                <w:rFonts w:eastAsia="Times New Roman" w:cs="Times New Roman"/>
              </w:rPr>
              <w:t xml:space="preserve"> </w:t>
            </w:r>
            <w:proofErr w:type="spellStart"/>
            <w:r>
              <w:rPr>
                <w:rFonts w:eastAsia="Times New Roman" w:cs="Times New Roman"/>
              </w:rPr>
              <w:t>unknown</w:t>
            </w:r>
            <w:r>
              <w:rPr>
                <w:rFonts w:eastAsia="Times New Roman" w:cs="Times New Roman"/>
                <w:vertAlign w:val="superscript"/>
              </w:rPr>
              <w:t>d</w:t>
            </w:r>
            <w:proofErr w:type="spellEnd"/>
          </w:p>
        </w:tc>
        <w:tc>
          <w:tcPr>
            <w:tcW w:w="991" w:type="dxa"/>
            <w:vAlign w:val="center"/>
          </w:tcPr>
          <w:p w14:paraId="3C780B8B" w14:textId="77777777" w:rsidR="002F03F5" w:rsidRDefault="008F23FF">
            <w:pPr>
              <w:pStyle w:val="TableNumber"/>
              <w:keepNext/>
              <w:rPr>
                <w:rFonts w:eastAsia="Times New Roman" w:cs="Times New Roman"/>
              </w:rPr>
            </w:pPr>
            <w:r>
              <w:rPr>
                <w:rFonts w:eastAsia="Times New Roman" w:cs="Times New Roman"/>
              </w:rPr>
              <w:t xml:space="preserve">NR/77 </w:t>
            </w:r>
          </w:p>
        </w:tc>
        <w:tc>
          <w:tcPr>
            <w:tcW w:w="1802" w:type="dxa"/>
            <w:vAlign w:val="center"/>
          </w:tcPr>
          <w:p w14:paraId="3C780B8C" w14:textId="77777777" w:rsidR="002F03F5" w:rsidRDefault="008F23FF">
            <w:pPr>
              <w:pStyle w:val="TableText"/>
              <w:rPr>
                <w:rFonts w:eastAsia="Times New Roman" w:cs="Times New Roman"/>
              </w:rPr>
            </w:pPr>
            <w:r>
              <w:rPr>
                <w:rFonts w:eastAsia="Times New Roman" w:cs="Times New Roman"/>
              </w:rPr>
              <w:t>NR (NR, NR)</w:t>
            </w:r>
          </w:p>
        </w:tc>
        <w:tc>
          <w:tcPr>
            <w:tcW w:w="991" w:type="dxa"/>
            <w:vAlign w:val="center"/>
          </w:tcPr>
          <w:p w14:paraId="3C780B8D" w14:textId="77777777" w:rsidR="002F03F5" w:rsidRDefault="008F23FF">
            <w:pPr>
              <w:pStyle w:val="TableNumber"/>
              <w:keepNext/>
              <w:rPr>
                <w:rFonts w:eastAsia="Times New Roman" w:cs="Times New Roman"/>
              </w:rPr>
            </w:pPr>
            <w:r>
              <w:rPr>
                <w:rFonts w:eastAsia="Times New Roman" w:cs="Times New Roman"/>
              </w:rPr>
              <w:t xml:space="preserve">NR/38 </w:t>
            </w:r>
          </w:p>
        </w:tc>
        <w:tc>
          <w:tcPr>
            <w:tcW w:w="1583" w:type="dxa"/>
            <w:vAlign w:val="center"/>
          </w:tcPr>
          <w:p w14:paraId="3C780B8E" w14:textId="77777777" w:rsidR="002F03F5" w:rsidRDefault="008F23FF">
            <w:pPr>
              <w:pStyle w:val="TableNumber"/>
              <w:keepNext/>
              <w:rPr>
                <w:rFonts w:eastAsia="Times New Roman" w:cs="Times New Roman"/>
              </w:rPr>
            </w:pPr>
            <w:r>
              <w:rPr>
                <w:rFonts w:eastAsia="Times New Roman" w:cs="Times New Roman"/>
              </w:rPr>
              <w:t>NR (NR, NR)</w:t>
            </w:r>
          </w:p>
        </w:tc>
        <w:tc>
          <w:tcPr>
            <w:tcW w:w="1502" w:type="dxa"/>
            <w:vAlign w:val="center"/>
          </w:tcPr>
          <w:p w14:paraId="3C780B8F" w14:textId="77777777" w:rsidR="002F03F5" w:rsidRDefault="008F23FF">
            <w:pPr>
              <w:pStyle w:val="TableNumber"/>
              <w:rPr>
                <w:rFonts w:eastAsia="Times New Roman" w:cs="Times New Roman"/>
              </w:rPr>
            </w:pPr>
            <w:r>
              <w:rPr>
                <w:rFonts w:eastAsia="Times New Roman" w:cs="Times New Roman"/>
              </w:rPr>
              <w:t>0.91 (0.56, 1.48); NR</w:t>
            </w:r>
          </w:p>
        </w:tc>
      </w:tr>
      <w:tr w:rsidR="002F03F5" w14:paraId="3C780B92" w14:textId="77777777" w:rsidTr="00FC7CAF">
        <w:trPr>
          <w:trHeight w:val="20"/>
        </w:trPr>
        <w:tc>
          <w:tcPr>
            <w:tcW w:w="9026" w:type="dxa"/>
            <w:gridSpan w:val="6"/>
          </w:tcPr>
          <w:p w14:paraId="3C780B91" w14:textId="35130D04" w:rsidR="002F03F5" w:rsidRDefault="008F23FF">
            <w:pPr>
              <w:pStyle w:val="TableText"/>
              <w:keepNext/>
              <w:rPr>
                <w:rFonts w:eastAsia="Times New Roman" w:cs="Times New Roman"/>
              </w:rPr>
            </w:pPr>
            <w:r>
              <w:rPr>
                <w:rFonts w:eastAsia="Times New Roman" w:cs="Times New Roman"/>
                <w:b/>
                <w:bCs/>
              </w:rPr>
              <w:t>Base case Bucher ITC: selpercatinib LIBRETTO-531 (ITT [</w:t>
            </w:r>
            <w:r>
              <w:rPr>
                <w:rFonts w:eastAsia="Times New Roman" w:cs="Times New Roman"/>
                <w:b/>
                <w:bCs/>
                <w:i/>
                <w:iCs/>
              </w:rPr>
              <w:t xml:space="preserve">RET </w:t>
            </w:r>
            <w:r>
              <w:rPr>
                <w:rFonts w:eastAsia="Times New Roman" w:cs="Times New Roman"/>
                <w:b/>
                <w:bCs/>
              </w:rPr>
              <w:t>variant]) vs placebo EXAM (</w:t>
            </w:r>
            <w:r>
              <w:rPr>
                <w:rFonts w:eastAsia="Times New Roman" w:cs="Times New Roman"/>
                <w:b/>
                <w:bCs/>
                <w:i/>
                <w:iCs/>
              </w:rPr>
              <w:t xml:space="preserve">RET </w:t>
            </w:r>
            <w:r>
              <w:rPr>
                <w:rFonts w:eastAsia="Times New Roman" w:cs="Times New Roman"/>
                <w:b/>
                <w:bCs/>
              </w:rPr>
              <w:t>variant subgroup)</w:t>
            </w:r>
          </w:p>
        </w:tc>
      </w:tr>
      <w:tr w:rsidR="002F03F5" w14:paraId="3C780B95" w14:textId="77777777" w:rsidTr="00FC7CAF">
        <w:trPr>
          <w:trHeight w:val="20"/>
        </w:trPr>
        <w:tc>
          <w:tcPr>
            <w:tcW w:w="7524" w:type="dxa"/>
            <w:gridSpan w:val="5"/>
          </w:tcPr>
          <w:p w14:paraId="3C780B93" w14:textId="77777777" w:rsidR="002F03F5" w:rsidRDefault="008F23FF">
            <w:pPr>
              <w:pStyle w:val="TableText"/>
              <w:keepNext/>
              <w:rPr>
                <w:bCs/>
              </w:rPr>
            </w:pPr>
            <w:r>
              <w:rPr>
                <w:rFonts w:eastAsia="Times New Roman" w:cs="Times New Roman"/>
                <w:bCs/>
              </w:rPr>
              <w:t>Bucher ITC PFS HR</w:t>
            </w:r>
          </w:p>
        </w:tc>
        <w:tc>
          <w:tcPr>
            <w:tcW w:w="1502" w:type="dxa"/>
            <w:vAlign w:val="center"/>
          </w:tcPr>
          <w:p w14:paraId="3C780B94" w14:textId="77777777" w:rsidR="002F03F5" w:rsidRDefault="008F23FF">
            <w:pPr>
              <w:pStyle w:val="TableNumber"/>
              <w:keepNext/>
              <w:rPr>
                <w:rFonts w:eastAsia="Times New Roman" w:cs="Times New Roman"/>
              </w:rPr>
            </w:pPr>
            <w:r>
              <w:rPr>
                <w:rFonts w:eastAsia="Times New Roman" w:cs="Times New Roman"/>
              </w:rPr>
              <w:t>0.05 (0.02, 0.09)</w:t>
            </w:r>
          </w:p>
        </w:tc>
      </w:tr>
      <w:tr w:rsidR="002F03F5" w14:paraId="3C780B98" w14:textId="77777777" w:rsidTr="00FC7CAF">
        <w:trPr>
          <w:trHeight w:val="20"/>
        </w:trPr>
        <w:tc>
          <w:tcPr>
            <w:tcW w:w="7524" w:type="dxa"/>
            <w:gridSpan w:val="5"/>
          </w:tcPr>
          <w:p w14:paraId="3C780B96" w14:textId="77777777" w:rsidR="002F03F5" w:rsidRDefault="008F23FF">
            <w:pPr>
              <w:pStyle w:val="TableText"/>
              <w:keepNext/>
              <w:rPr>
                <w:bCs/>
              </w:rPr>
            </w:pPr>
            <w:r>
              <w:rPr>
                <w:rFonts w:eastAsia="Times New Roman" w:cs="Times New Roman"/>
                <w:bCs/>
              </w:rPr>
              <w:t>Bucher ITC OS HR</w:t>
            </w:r>
          </w:p>
        </w:tc>
        <w:tc>
          <w:tcPr>
            <w:tcW w:w="1502" w:type="dxa"/>
            <w:vAlign w:val="center"/>
          </w:tcPr>
          <w:p w14:paraId="3C780B97" w14:textId="77777777" w:rsidR="002F03F5" w:rsidRDefault="008F23FF">
            <w:pPr>
              <w:pStyle w:val="TableNumber"/>
              <w:keepNext/>
              <w:rPr>
                <w:rFonts w:eastAsia="Times New Roman" w:cs="Times New Roman"/>
              </w:rPr>
            </w:pPr>
            <w:r>
              <w:rPr>
                <w:rFonts w:eastAsia="Times New Roman" w:cs="Times New Roman"/>
              </w:rPr>
              <w:t>0.22 (0.09, 0.53)</w:t>
            </w:r>
          </w:p>
        </w:tc>
      </w:tr>
    </w:tbl>
    <w:p w14:paraId="3C780B99" w14:textId="5C5ED924" w:rsidR="002F03F5" w:rsidRDefault="008F23FF">
      <w:pPr>
        <w:pStyle w:val="TableFooter"/>
        <w:keepNext/>
      </w:pPr>
      <w:r>
        <w:t>Source: Table 2-18, p85 of the submission (LIBRETTO-531); Table 14.2.2.1.2 Attachment 2.5 LIBRETTO-531 data tables May 2024; Table 1, Scherman 2016 (EXAM); Figure 1A and 2 pp4 5, Schlumberger 2017 (EXAM); Table 2 34, p105 of the submission (ITC)</w:t>
      </w:r>
    </w:p>
    <w:p w14:paraId="3C780B9A" w14:textId="77777777" w:rsidR="002F03F5" w:rsidRDefault="008F23FF">
      <w:pPr>
        <w:pStyle w:val="TableFooter"/>
        <w:keepNext/>
      </w:pPr>
      <w:r>
        <w:rPr>
          <w:rFonts w:eastAsia="Calibri"/>
        </w:rPr>
        <w:t xml:space="preserve">BICR = blinded independent central review; CI = confidence interval; HR = hazard ratio; </w:t>
      </w:r>
      <w:r>
        <w:t xml:space="preserve">ITC = indirect treatment comparison; </w:t>
      </w:r>
      <w:r>
        <w:rPr>
          <w:rFonts w:eastAsia="Calibri"/>
        </w:rPr>
        <w:t xml:space="preserve">ITT = intention to treat; n/N = number of events; </w:t>
      </w:r>
      <w:r>
        <w:t xml:space="preserve">NE = not evaluable; NR = not reported; OS = overall survival; PFS = progression free survival </w:t>
      </w:r>
    </w:p>
    <w:p w14:paraId="3C780B9B" w14:textId="77777777" w:rsidR="002F03F5" w:rsidRDefault="008F23FF">
      <w:pPr>
        <w:pStyle w:val="TableFooter"/>
        <w:keepNext/>
      </w:pPr>
      <w:proofErr w:type="spellStart"/>
      <w:proofErr w:type="gramStart"/>
      <w:r>
        <w:rPr>
          <w:vertAlign w:val="superscript"/>
        </w:rPr>
        <w:t>a</w:t>
      </w:r>
      <w:proofErr w:type="spellEnd"/>
      <w:proofErr w:type="gramEnd"/>
      <w:r>
        <w:t xml:space="preserve"> EXAM reported median PFS in weeks (as per Table 1, Sherman 2016), thus for comparability with the other trials, these values were converted to months by dividing by 4.345</w:t>
      </w:r>
    </w:p>
    <w:p w14:paraId="3C780B9C" w14:textId="3DBD32CA" w:rsidR="002F03F5" w:rsidRDefault="008F23FF">
      <w:pPr>
        <w:pStyle w:val="TableFooter"/>
        <w:keepNext/>
      </w:pPr>
      <w:r>
        <w:rPr>
          <w:vertAlign w:val="superscript"/>
        </w:rPr>
        <w:t>b</w:t>
      </w:r>
      <w:r>
        <w:t xml:space="preserve"> LIBRETTO-531 and EXAM reported stratified HRs based on the respective randomisation strata. </w:t>
      </w:r>
    </w:p>
    <w:p w14:paraId="3C780B9D" w14:textId="77777777" w:rsidR="002F03F5" w:rsidRDefault="008F23FF">
      <w:pPr>
        <w:pStyle w:val="TableFooter"/>
        <w:keepNext/>
      </w:pPr>
      <w:r>
        <w:rPr>
          <w:vertAlign w:val="superscript"/>
        </w:rPr>
        <w:t xml:space="preserve">c </w:t>
      </w:r>
      <w:r>
        <w:t>Hazard ratio not proportional</w:t>
      </w:r>
    </w:p>
    <w:p w14:paraId="3C780B9E" w14:textId="77777777" w:rsidR="002F03F5" w:rsidRDefault="008F23FF">
      <w:pPr>
        <w:pStyle w:val="TableFooter"/>
        <w:keepNext/>
      </w:pPr>
      <w:r>
        <w:rPr>
          <w:vertAlign w:val="superscript"/>
        </w:rPr>
        <w:t>d</w:t>
      </w:r>
      <w:r>
        <w:t xml:space="preserve"> In EXAM most patients in the unknown category either had no tumour sample available at the time of analysis or had a tumour DNA sample that failed PCR amplification.</w:t>
      </w:r>
    </w:p>
    <w:p w14:paraId="3C780B9F" w14:textId="77777777" w:rsidR="002F03F5" w:rsidRDefault="008F23FF">
      <w:pPr>
        <w:pStyle w:val="TableFooter"/>
        <w:keepNext/>
        <w:rPr>
          <w:u w:val="single"/>
        </w:rPr>
      </w:pPr>
      <w:r>
        <w:rPr>
          <w:u w:val="single"/>
        </w:rPr>
        <w:t>Notes:</w:t>
      </w:r>
    </w:p>
    <w:p w14:paraId="3C780BA0" w14:textId="1E523AC3" w:rsidR="002F03F5" w:rsidRDefault="008F23FF">
      <w:pPr>
        <w:pStyle w:val="TableFooter"/>
        <w:keepNext/>
      </w:pPr>
      <w:r>
        <w:rPr>
          <w:b/>
          <w:bCs/>
        </w:rPr>
        <w:t xml:space="preserve">Bold </w:t>
      </w:r>
      <w:r>
        <w:t xml:space="preserve">text indicates statistically significant threshold met in LIBRETTO-531 or EXAM. Only applied to outcomes included in statistical analysis hierarchy. </w:t>
      </w:r>
    </w:p>
    <w:p w14:paraId="3C780BA1" w14:textId="77777777" w:rsidR="002F03F5" w:rsidRDefault="008F23FF">
      <w:pPr>
        <w:pStyle w:val="TableFooter"/>
        <w:keepNext/>
      </w:pPr>
      <w:r>
        <w:t>Grey shaded cells indicate patients that informed the indirect comparison.</w:t>
      </w:r>
    </w:p>
    <w:p w14:paraId="3C780BA2" w14:textId="53A51A56" w:rsidR="002F03F5" w:rsidRDefault="008F23FF">
      <w:pPr>
        <w:pStyle w:val="TableFooter"/>
        <w:keepNext/>
      </w:pPr>
      <w:r>
        <w:t xml:space="preserve">PFS in LIBRETTO-531 were according to the RECIST v1.1 and in EXAM was according to the </w:t>
      </w:r>
      <w:proofErr w:type="spellStart"/>
      <w:r>
        <w:t>mRECIST</w:t>
      </w:r>
      <w:proofErr w:type="spellEnd"/>
    </w:p>
    <w:p w14:paraId="3C780BA3" w14:textId="77777777" w:rsidR="002F03F5" w:rsidRDefault="008F23FF">
      <w:pPr>
        <w:pStyle w:val="TableFooter"/>
        <w:keepNext/>
      </w:pPr>
      <w:r>
        <w:t>Data cutoff dates and median follow up duration</w:t>
      </w:r>
    </w:p>
    <w:p w14:paraId="3C780BA4" w14:textId="7FF04ABA" w:rsidR="002F03F5" w:rsidRDefault="008F23FF" w:rsidP="00601076">
      <w:pPr>
        <w:pStyle w:val="TableFooter"/>
        <w:keepNext/>
        <w:numPr>
          <w:ilvl w:val="0"/>
          <w:numId w:val="5"/>
        </w:numPr>
        <w:ind w:left="284" w:hanging="284"/>
      </w:pPr>
      <w:r>
        <w:t>LIBRETTO-531 DCO March 2024, median follow up 17.4 22.1 months for PFS, median follow up 25 months for OS</w:t>
      </w:r>
    </w:p>
    <w:p w14:paraId="3C780BA5" w14:textId="77777777" w:rsidR="002F03F5" w:rsidRDefault="008F23FF" w:rsidP="00601076">
      <w:pPr>
        <w:pStyle w:val="TableFooter"/>
        <w:keepNext/>
        <w:numPr>
          <w:ilvl w:val="0"/>
          <w:numId w:val="5"/>
        </w:numPr>
        <w:ind w:left="284" w:hanging="284"/>
      </w:pPr>
      <w:r>
        <w:t>EXAM DCO June 2011, median follow up of 13.9 months for PFS, minimum 42 months follow up for OS</w:t>
      </w:r>
    </w:p>
    <w:p w14:paraId="3C780BA7" w14:textId="3602123E" w:rsidR="002F03F5" w:rsidRDefault="008F23FF" w:rsidP="002A0545">
      <w:pPr>
        <w:pStyle w:val="TableFooter"/>
        <w:keepNext/>
        <w:spacing w:after="240"/>
      </w:pPr>
      <w:r>
        <w:t>The inverse HR of the comparator trial (EXAM) was used to calculate the ITC of selpercatinib vs placebo</w:t>
      </w:r>
    </w:p>
    <w:p w14:paraId="3C780BA8" w14:textId="41551D0E" w:rsidR="002F03F5" w:rsidRPr="002A0545" w:rsidRDefault="008F23FF" w:rsidP="002D259E">
      <w:pPr>
        <w:pStyle w:val="MSACESParagraph"/>
        <w:jc w:val="left"/>
        <w:rPr>
          <w:rFonts w:ascii="Franklin Gothic Book" w:hAnsi="Franklin Gothic Book"/>
          <w:i/>
          <w:iCs/>
          <w:sz w:val="22"/>
        </w:rPr>
      </w:pPr>
      <w:r w:rsidRPr="002A0545">
        <w:rPr>
          <w:rFonts w:ascii="Franklin Gothic Book" w:hAnsi="Franklin Gothic Book"/>
          <w:sz w:val="22"/>
        </w:rPr>
        <w:t>The commentary noted that in LIBRETTO-531, selpercatinib demonstrated a significant PFS benefit over cabozantinib or vandetanib in the ITT (</w:t>
      </w:r>
      <w:r w:rsidRPr="002A0545">
        <w:rPr>
          <w:rFonts w:ascii="Franklin Gothic Book" w:hAnsi="Franklin Gothic Book"/>
          <w:i/>
          <w:iCs/>
          <w:sz w:val="22"/>
        </w:rPr>
        <w:t>RET</w:t>
      </w:r>
      <w:r w:rsidRPr="002A0545">
        <w:rPr>
          <w:rFonts w:ascii="Franklin Gothic Book" w:hAnsi="Franklin Gothic Book"/>
          <w:sz w:val="22"/>
        </w:rPr>
        <w:t xml:space="preserve"> variant) population (HR = 0.202, 95% CI 0.128, 0.320, p&lt;0.0001); and in EXAM, cabozantinib demonstrated a significant PFS benefit over placebo in the ITT population (HR = 0.28, 95% CI 0.19, 0.40, p&lt;0.0001) with a consistent trend observed in the</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subgroup (HR = 0.23, 95% CI 0.14, 0.38).</w:t>
      </w:r>
      <w:r w:rsidRPr="002A0545">
        <w:rPr>
          <w:rFonts w:ascii="Franklin Gothic Book" w:hAnsi="Franklin Gothic Book"/>
          <w:i/>
          <w:iCs/>
          <w:sz w:val="22"/>
        </w:rPr>
        <w:t xml:space="preserve"> </w:t>
      </w:r>
      <w:r w:rsidRPr="002A0545">
        <w:rPr>
          <w:rFonts w:ascii="Franklin Gothic Book" w:hAnsi="Franklin Gothic Book"/>
          <w:sz w:val="22"/>
        </w:rPr>
        <w:t>The commentary noted LIBRETTO-531 was not powered to detect a statistically significant difference in OS (HR = 0.275, 95% CI 0.124, 0.608) and no significant OS difference was observed in EXAM (ITT HR = 0.85, 95% CI 0.64, 1.12;</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subgroup: HR = 0.79, 95% CI 0.54, 1.17) but there was a trend in favour of the intervention arms.</w:t>
      </w:r>
      <w:r w:rsidRPr="002A0545">
        <w:rPr>
          <w:rFonts w:ascii="Franklin Gothic Book" w:hAnsi="Franklin Gothic Book"/>
          <w:i/>
          <w:iCs/>
          <w:sz w:val="22"/>
        </w:rPr>
        <w:t xml:space="preserve"> </w:t>
      </w:r>
      <w:r w:rsidRPr="002A0545">
        <w:rPr>
          <w:rFonts w:ascii="Franklin Gothic Book" w:hAnsi="Franklin Gothic Book"/>
          <w:sz w:val="22"/>
        </w:rPr>
        <w:t xml:space="preserve">In the Bucher ITC using cabozantinib or vandetanib as </w:t>
      </w:r>
      <w:r w:rsidRPr="002A0545">
        <w:rPr>
          <w:rFonts w:ascii="Franklin Gothic Book" w:hAnsi="Franklin Gothic Book"/>
          <w:sz w:val="22"/>
        </w:rPr>
        <w:lastRenderedPageBreak/>
        <w:t>the common reference, selpercatinib demonstrated improved PFS (HR = 0.05, 95% CI 0.02, 0.09) and OS (HR = 0.22, 95% CI 0.09, 0.53) compared to BSC.</w:t>
      </w:r>
      <w:r w:rsidRPr="002A0545">
        <w:rPr>
          <w:rFonts w:ascii="Franklin Gothic Book" w:hAnsi="Franklin Gothic Book"/>
          <w:i/>
          <w:iCs/>
          <w:sz w:val="22"/>
        </w:rPr>
        <w:t xml:space="preserve"> </w:t>
      </w:r>
    </w:p>
    <w:p w14:paraId="3C780BA9" w14:textId="6E212575"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The commentary noted that predictive evidence presented for selpercatinib pertained to only patients with a confirmed</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The commentary also noted there was no evidence presented in the submission (nor apparent during the evaluation) of selpercatinib efficacy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patients to conclude that</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was a treatment effect modifier. Therefore, the commentary considered the codependency claim was not supported by the LIB</w:t>
      </w:r>
      <w:r w:rsidR="00B14353" w:rsidRPr="00B14353">
        <w:rPr>
          <w:rFonts w:ascii="Franklin Gothic Book" w:hAnsi="Franklin Gothic Book"/>
          <w:i/>
          <w:iCs/>
          <w:sz w:val="22"/>
        </w:rPr>
        <w:t>RET</w:t>
      </w:r>
      <w:r w:rsidRPr="002A0545">
        <w:rPr>
          <w:rFonts w:ascii="Franklin Gothic Book" w:hAnsi="Franklin Gothic Book"/>
          <w:sz w:val="22"/>
        </w:rPr>
        <w:t xml:space="preserve">TO-531 trial. </w:t>
      </w:r>
    </w:p>
    <w:p w14:paraId="3C780BAA" w14:textId="08A6DA17"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However, the submission considered the high selectivity of selpercatinib for</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receptors was biologically plausible and potentially supported codependency. The commentary noted that claims of codependency based on biological plausibility have previously been considered by MSAC, such as in MSAC applications 1669 and 1617. For application 1669 on </w:t>
      </w:r>
      <w:r w:rsidRPr="002A0545">
        <w:rPr>
          <w:rFonts w:ascii="Franklin Gothic Book" w:hAnsi="Franklin Gothic Book"/>
          <w:i/>
          <w:iCs/>
          <w:sz w:val="22"/>
        </w:rPr>
        <w:t>KRAS G12C</w:t>
      </w:r>
      <w:r w:rsidRPr="002A0545">
        <w:rPr>
          <w:rFonts w:ascii="Franklin Gothic Book" w:hAnsi="Franklin Gothic Book"/>
          <w:sz w:val="22"/>
        </w:rPr>
        <w:t xml:space="preserve"> variant testing for determining eligibility for </w:t>
      </w:r>
      <w:proofErr w:type="spellStart"/>
      <w:r w:rsidRPr="002A0545">
        <w:rPr>
          <w:rFonts w:ascii="Franklin Gothic Book" w:hAnsi="Franklin Gothic Book"/>
          <w:sz w:val="22"/>
        </w:rPr>
        <w:t>sotorasib</w:t>
      </w:r>
      <w:proofErr w:type="spellEnd"/>
      <w:r w:rsidRPr="002A0545">
        <w:rPr>
          <w:rFonts w:ascii="Franklin Gothic Book" w:hAnsi="Franklin Gothic Book"/>
          <w:sz w:val="22"/>
        </w:rPr>
        <w:t xml:space="preserve"> in locally advanced or metastatic NSCLC, MSAC considered that the claim of codependency based on biological plausibility  “…was acceptable as </w:t>
      </w:r>
      <w:proofErr w:type="spellStart"/>
      <w:r w:rsidRPr="002A0545">
        <w:rPr>
          <w:rFonts w:ascii="Franklin Gothic Book" w:hAnsi="Franklin Gothic Book"/>
          <w:sz w:val="22"/>
        </w:rPr>
        <w:t>sotorasib</w:t>
      </w:r>
      <w:proofErr w:type="spellEnd"/>
      <w:r w:rsidRPr="002A0545">
        <w:rPr>
          <w:rFonts w:ascii="Franklin Gothic Book" w:hAnsi="Franklin Gothic Book"/>
          <w:sz w:val="22"/>
        </w:rPr>
        <w:t xml:space="preserve"> is a first in class medicine targeting the </w:t>
      </w:r>
      <w:r w:rsidRPr="002A0545">
        <w:rPr>
          <w:rFonts w:ascii="Franklin Gothic Book" w:hAnsi="Franklin Gothic Book"/>
          <w:i/>
          <w:iCs/>
          <w:sz w:val="22"/>
        </w:rPr>
        <w:t>KRAS G12C</w:t>
      </w:r>
      <w:r w:rsidRPr="002A0545">
        <w:rPr>
          <w:rFonts w:ascii="Franklin Gothic Book" w:hAnsi="Franklin Gothic Book"/>
          <w:sz w:val="22"/>
        </w:rPr>
        <w:t xml:space="preserve"> variant, and thus designing a trial that treated people without the pathogenic variant would have been difficult to justify ethically” (p3 and 19, MSAC Application 1669 PSD April 2022).</w:t>
      </w:r>
      <w:r w:rsidRPr="002A0545">
        <w:rPr>
          <w:rStyle w:val="FootnoteReference"/>
          <w:rFonts w:ascii="Franklin Gothic Book" w:hAnsi="Franklin Gothic Book"/>
          <w:sz w:val="22"/>
        </w:rPr>
        <w:footnoteReference w:id="29"/>
      </w:r>
      <w:r w:rsidRPr="002A0545">
        <w:rPr>
          <w:rFonts w:ascii="Franklin Gothic Book" w:hAnsi="Franklin Gothic Book"/>
          <w:sz w:val="22"/>
        </w:rPr>
        <w:t xml:space="preserve"> MSAC deferred its decision for Application 1669. For application 1617 on </w:t>
      </w:r>
      <w:r w:rsidRPr="002A0545">
        <w:rPr>
          <w:rFonts w:ascii="Franklin Gothic Book" w:hAnsi="Franklin Gothic Book"/>
          <w:i/>
          <w:iCs/>
          <w:sz w:val="22"/>
        </w:rPr>
        <w:t>BRAF V600</w:t>
      </w:r>
      <w:r w:rsidRPr="002A0545">
        <w:rPr>
          <w:rFonts w:ascii="Franklin Gothic Book" w:hAnsi="Franklin Gothic Book"/>
          <w:sz w:val="22"/>
        </w:rPr>
        <w:t xml:space="preserve"> testing to determine eligibility for </w:t>
      </w:r>
      <w:proofErr w:type="spellStart"/>
      <w:r w:rsidRPr="002A0545">
        <w:rPr>
          <w:rFonts w:ascii="Franklin Gothic Book" w:hAnsi="Franklin Gothic Book"/>
          <w:sz w:val="22"/>
        </w:rPr>
        <w:t>encorafenib</w:t>
      </w:r>
      <w:proofErr w:type="spellEnd"/>
      <w:r w:rsidRPr="002A0545">
        <w:rPr>
          <w:rFonts w:ascii="Franklin Gothic Book" w:hAnsi="Franklin Gothic Book"/>
          <w:sz w:val="22"/>
        </w:rPr>
        <w:t xml:space="preserve"> in patients with metastatic colorectal cancer, MSAC noted that the “trial only enrolled patients with the </w:t>
      </w:r>
      <w:r w:rsidRPr="002A0545">
        <w:rPr>
          <w:rFonts w:ascii="Franklin Gothic Book" w:hAnsi="Franklin Gothic Book"/>
          <w:i/>
          <w:iCs/>
          <w:sz w:val="22"/>
        </w:rPr>
        <w:t>V600E</w:t>
      </w:r>
      <w:r w:rsidRPr="002A0545">
        <w:rPr>
          <w:rFonts w:ascii="Franklin Gothic Book" w:hAnsi="Franklin Gothic Book"/>
          <w:sz w:val="22"/>
        </w:rPr>
        <w:t xml:space="preserve"> variant, and so could not assess the effect for patients who are </w:t>
      </w:r>
      <w:r w:rsidRPr="002A0545">
        <w:rPr>
          <w:rFonts w:ascii="Franklin Gothic Book" w:hAnsi="Franklin Gothic Book"/>
          <w:i/>
          <w:iCs/>
          <w:sz w:val="22"/>
        </w:rPr>
        <w:t>V600</w:t>
      </w:r>
      <w:r w:rsidRPr="002A0545">
        <w:rPr>
          <w:rFonts w:ascii="Franklin Gothic Book" w:hAnsi="Franklin Gothic Book"/>
          <w:sz w:val="22"/>
        </w:rPr>
        <w:t xml:space="preserve"> negative or had another </w:t>
      </w:r>
      <w:r w:rsidRPr="002A0545">
        <w:rPr>
          <w:rFonts w:ascii="Franklin Gothic Book" w:hAnsi="Franklin Gothic Book"/>
          <w:i/>
          <w:iCs/>
          <w:sz w:val="22"/>
        </w:rPr>
        <w:t>V600</w:t>
      </w:r>
      <w:r w:rsidRPr="002A0545">
        <w:rPr>
          <w:rFonts w:ascii="Franklin Gothic Book" w:hAnsi="Franklin Gothic Book"/>
          <w:sz w:val="22"/>
        </w:rPr>
        <w:t xml:space="preserve"> variant. Therefore, MSAC considered that the rationale for codependency was based on biological plausibility and on preclinical studies, which have not shown that </w:t>
      </w:r>
      <w:proofErr w:type="spellStart"/>
      <w:r w:rsidRPr="002A0545">
        <w:rPr>
          <w:rFonts w:ascii="Franklin Gothic Book" w:hAnsi="Franklin Gothic Book"/>
          <w:sz w:val="22"/>
        </w:rPr>
        <w:t>encorafenib</w:t>
      </w:r>
      <w:proofErr w:type="spellEnd"/>
      <w:r w:rsidRPr="002A0545">
        <w:rPr>
          <w:rFonts w:ascii="Franklin Gothic Book" w:hAnsi="Franklin Gothic Book"/>
          <w:sz w:val="22"/>
        </w:rPr>
        <w:t xml:space="preserve"> is effective against </w:t>
      </w:r>
      <w:r w:rsidRPr="002A0545">
        <w:rPr>
          <w:rFonts w:ascii="Franklin Gothic Book" w:hAnsi="Franklin Gothic Book"/>
          <w:i/>
          <w:iCs/>
          <w:sz w:val="22"/>
        </w:rPr>
        <w:t>BRAF V600</w:t>
      </w:r>
      <w:r w:rsidRPr="002A0545">
        <w:rPr>
          <w:rFonts w:ascii="Franklin Gothic Book" w:hAnsi="Franklin Gothic Book"/>
          <w:sz w:val="22"/>
        </w:rPr>
        <w:t xml:space="preserve"> wildtype tumours” (p3, MSAC Application 1617 PSD April 2021).</w:t>
      </w:r>
      <w:r w:rsidRPr="002A0545">
        <w:rPr>
          <w:rStyle w:val="FootnoteReference"/>
          <w:rFonts w:ascii="Franklin Gothic Book" w:hAnsi="Franklin Gothic Book"/>
          <w:sz w:val="22"/>
        </w:rPr>
        <w:footnoteReference w:id="30"/>
      </w:r>
      <w:r w:rsidRPr="002A0545">
        <w:rPr>
          <w:rFonts w:ascii="Franklin Gothic Book" w:hAnsi="Franklin Gothic Book"/>
          <w:sz w:val="22"/>
        </w:rPr>
        <w:t xml:space="preserve"> MSAC supported application 1617.</w:t>
      </w:r>
    </w:p>
    <w:p w14:paraId="3C780BAB" w14:textId="77777777" w:rsidR="002F03F5" w:rsidRPr="002A0545" w:rsidRDefault="008F23FF">
      <w:pPr>
        <w:pStyle w:val="Heading4"/>
        <w:rPr>
          <w:rFonts w:ascii="Franklin Gothic Book" w:hAnsi="Franklin Gothic Book"/>
          <w:sz w:val="22"/>
          <w:szCs w:val="22"/>
        </w:rPr>
      </w:pPr>
      <w:r w:rsidRPr="002A0545">
        <w:rPr>
          <w:rFonts w:ascii="Franklin Gothic Book" w:hAnsi="Franklin Gothic Book"/>
          <w:sz w:val="22"/>
          <w:szCs w:val="22"/>
        </w:rPr>
        <w:t>Change in management in practice</w:t>
      </w:r>
    </w:p>
    <w:p w14:paraId="3C780BAC" w14:textId="04095D15"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The submission did not provide formal evidence to support a change in clinical management, and instead a descriptive summary of the change in clinical management following</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was presented based on local and international clinical management guidelines (Gild 2023, Filetti 2022, Haddad 2022) as well as the LIBRETTO-531 trial.</w:t>
      </w:r>
      <w:r w:rsidRPr="002A0545">
        <w:rPr>
          <w:rStyle w:val="FootnoteReference"/>
          <w:rFonts w:ascii="Franklin Gothic Book" w:hAnsi="Franklin Gothic Book"/>
          <w:sz w:val="22"/>
        </w:rPr>
        <w:footnoteReference w:id="31"/>
      </w:r>
      <w:r w:rsidRPr="002A0545">
        <w:rPr>
          <w:rStyle w:val="FootnoteCharacters"/>
          <w:rFonts w:ascii="Franklin Gothic Book" w:hAnsi="Franklin Gothic Book"/>
          <w:sz w:val="22"/>
        </w:rPr>
        <w:t xml:space="preserve">, </w:t>
      </w:r>
      <w:r w:rsidRPr="002A0545">
        <w:rPr>
          <w:rStyle w:val="FootnoteReference"/>
          <w:rFonts w:ascii="Franklin Gothic Book" w:hAnsi="Franklin Gothic Book"/>
          <w:sz w:val="22"/>
        </w:rPr>
        <w:footnoteReference w:id="32"/>
      </w:r>
      <w:r w:rsidRPr="002A0545">
        <w:rPr>
          <w:rFonts w:ascii="Franklin Gothic Book" w:hAnsi="Franklin Gothic Book"/>
          <w:sz w:val="22"/>
          <w:vertAlign w:val="superscript"/>
        </w:rPr>
        <w:t xml:space="preserve"> </w:t>
      </w:r>
    </w:p>
    <w:p w14:paraId="3C780BAD" w14:textId="7B3F16E3"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The submission did not expect that if somatic</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were to be publicly funded that the pattern of testing would change, as the submission assumed that the test is already routinely performed in clinical practice. This claim was considered questionable by the commentary given that PASC noted the patients currently receiving somatic</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was likely low given limited access to selpercatinib in practice. Furthermore, if MBS funding of somatic testing was supported, the commentary considered it possible that the number of MBS funded germline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tests (MBS 73339 and 73340) may also increase due to increases in cascade testing (i.e. a patient with a positive test result from somatic testing may be interested in subsequent germline testing).</w:t>
      </w:r>
      <w:r w:rsidRPr="002A0545">
        <w:rPr>
          <w:rFonts w:ascii="Franklin Gothic Book" w:hAnsi="Franklin Gothic Book"/>
          <w:i/>
          <w:iCs/>
          <w:sz w:val="22"/>
        </w:rPr>
        <w:t xml:space="preserve"> </w:t>
      </w:r>
    </w:p>
    <w:p w14:paraId="3C780BAE" w14:textId="788566AF"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 xml:space="preserve">The commentary also considered there may be potential test safety concerns from rebiopsy in the circumstance of insufficient tumour tissue samples, or in the prevalent patient cohort whose archived tumour samples are no longer viable or available, but the frequency of occurrence is unclear. Additionally, given the uncertainty of test accuracy evidence, the commentary </w:t>
      </w:r>
      <w:r w:rsidRPr="002A0545">
        <w:rPr>
          <w:rFonts w:ascii="Franklin Gothic Book" w:hAnsi="Franklin Gothic Book"/>
          <w:sz w:val="22"/>
        </w:rPr>
        <w:lastRenderedPageBreak/>
        <w:t>considered there remained the possibility of implications from false positive results (unknown efficacy and increase risk of AEs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and false negative results (foregone treatment benefit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but that these might be mitigated in practice where testing is conducted at NATA accredited laboratories.</w:t>
      </w:r>
    </w:p>
    <w:p w14:paraId="3C780BAF" w14:textId="01C610CD"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The submission stated that “patients with advanced, metastatic, or progressive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MTC will be eligible for selpercatinib, including patients with residual, recurrent, or metastatic disease following surgery, irrespective of prior systemic therapy”. The commentary considered this was not consistent with the requested PBS restriction. The commentary noted that as</w:t>
      </w:r>
      <w:r w:rsidRPr="002A0545">
        <w:rPr>
          <w:rFonts w:ascii="Franklin Gothic Book" w:hAnsi="Franklin Gothic Book"/>
          <w:i/>
          <w:iCs/>
          <w:sz w:val="22"/>
        </w:rPr>
        <w:t xml:space="preserve"> </w:t>
      </w:r>
      <w:r w:rsidRPr="002A0545">
        <w:rPr>
          <w:rFonts w:ascii="Franklin Gothic Book" w:hAnsi="Franklin Gothic Book"/>
          <w:sz w:val="22"/>
        </w:rPr>
        <w:t>the proposed PBS restriction stands, all patients with</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locally advanced or metastatic MTC would be treated with selpercatinib irrespective of eligibility for surgery, progressive disease status, and prior therapies. The commentary noted clinical management guidelines recommended systemic therapies in patients with recurrent or persistent MTC that is unresectable (which was not specified by the submission), and this was similar in LIBRETTO-531. For alignment with clinical management guidelines and LIBRETTO-531, the commentary considered treatment with selpercatinib should be limited to patients with locally advanced or metastatic MTC who test positive for a</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variant and whose disease was progressive and unresectable. </w:t>
      </w:r>
    </w:p>
    <w:p w14:paraId="3C780BB0" w14:textId="6D62BC39"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 xml:space="preserve">The submission considered most patients would receive selpercatinib as a first line therapy. It also proposed use in patients who have had prior kinase inhibitor therapies; however, the commentary noted the requested restriction made no indication as to whether a patient must have progressed on this therapy to be eligible for selpercatinib. In LIBRETTO-001, pretreated patients were those who had progressed on or were intolerant to first line therapy and efficacy was potentially supported, albeit the commentary acknowledges this was a phase I/II study that did not investigate comparative efficacy. </w:t>
      </w:r>
    </w:p>
    <w:p w14:paraId="3C780BB1" w14:textId="267F3249"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For patients who are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they will most likely receive BSC which involves palliative care and symptomatic management of MTC since in Australia there is limited access to non-selective MKIs such as cabozantinib (not TGA approved) and vandetanib (not PBS listed).</w:t>
      </w:r>
    </w:p>
    <w:p w14:paraId="3C780BB2" w14:textId="24C64D90" w:rsidR="002F03F5" w:rsidRPr="002A0545" w:rsidRDefault="008F23FF" w:rsidP="002D259E">
      <w:pPr>
        <w:pStyle w:val="MSACESParagraph"/>
        <w:jc w:val="left"/>
        <w:rPr>
          <w:rFonts w:ascii="Franklin Gothic Book" w:hAnsi="Franklin Gothic Book"/>
          <w:i/>
          <w:iCs/>
          <w:sz w:val="22"/>
        </w:rPr>
      </w:pPr>
      <w:r w:rsidRPr="002A0545">
        <w:rPr>
          <w:rFonts w:ascii="Franklin Gothic Book" w:hAnsi="Franklin Gothic Book"/>
          <w:sz w:val="22"/>
        </w:rPr>
        <w:t>The submission noted that given the high selectivity of selpercatinib to</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kinase receptor, the biological rationale for selecting treatment in</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patients was not justified</w:t>
      </w:r>
      <w:r w:rsidRPr="002A0545">
        <w:rPr>
          <w:rFonts w:ascii="Franklin Gothic Book" w:hAnsi="Franklin Gothic Book"/>
          <w:i/>
          <w:iCs/>
          <w:sz w:val="22"/>
        </w:rPr>
        <w:t xml:space="preserve">. </w:t>
      </w:r>
      <w:r w:rsidRPr="002A0545">
        <w:rPr>
          <w:rFonts w:ascii="Franklin Gothic Book" w:hAnsi="Franklin Gothic Book"/>
          <w:sz w:val="22"/>
        </w:rPr>
        <w:t xml:space="preserve">The commentary reiterates the biological rationale was plausible; however, there is </w:t>
      </w:r>
      <w:proofErr w:type="gramStart"/>
      <w:r w:rsidRPr="002A0545">
        <w:rPr>
          <w:rFonts w:ascii="Franklin Gothic Book" w:hAnsi="Franklin Gothic Book"/>
          <w:sz w:val="22"/>
        </w:rPr>
        <w:t>as yet</w:t>
      </w:r>
      <w:proofErr w:type="gramEnd"/>
      <w:r w:rsidRPr="002A0545">
        <w:rPr>
          <w:rFonts w:ascii="Franklin Gothic Book" w:hAnsi="Franklin Gothic Book"/>
          <w:sz w:val="22"/>
        </w:rPr>
        <w:t xml:space="preserve"> no evidence to inform efficacy in patients who are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 xml:space="preserve">wildtype, and the claim of codependency should be considered incompletely supported. </w:t>
      </w:r>
    </w:p>
    <w:p w14:paraId="3C780BB3" w14:textId="669A5AC9" w:rsidR="002F03F5" w:rsidRPr="002A0545" w:rsidRDefault="008F23FF" w:rsidP="002D259E">
      <w:pPr>
        <w:pStyle w:val="MSACESParagraph"/>
        <w:jc w:val="left"/>
        <w:rPr>
          <w:rFonts w:ascii="Franklin Gothic Book" w:hAnsi="Franklin Gothic Book"/>
          <w:sz w:val="22"/>
        </w:rPr>
      </w:pPr>
      <w:r w:rsidRPr="002A0545">
        <w:rPr>
          <w:rFonts w:ascii="Franklin Gothic Book" w:hAnsi="Franklin Gothic Book"/>
          <w:sz w:val="22"/>
        </w:rPr>
        <w:t>Generally, the commentary considered the change in clinical management following</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and subsequent treatment with selpercatinib as presented by the submission was inconsistent with the requested PBS restriction, clinical management guidelines, and LIBRETTO-531. The commentary reiterates that aligning the population eligible for treatment to locally advanced or metastatic MTC patients with progressive and unresectable disease would be supported in the clinical management guidelines and LIBRETTO-531. However, the commentary maintains there was no clear evidence to support the exclusion of</w:t>
      </w:r>
      <w:r w:rsidRPr="002A0545">
        <w:rPr>
          <w:rFonts w:ascii="Franklin Gothic Book" w:hAnsi="Franklin Gothic Book"/>
          <w:i/>
          <w:sz w:val="22"/>
        </w:rPr>
        <w:t xml:space="preserve"> </w:t>
      </w:r>
      <w:r w:rsidRPr="002A0545">
        <w:rPr>
          <w:rFonts w:ascii="Franklin Gothic Book" w:hAnsi="Franklin Gothic Book"/>
          <w:i/>
          <w:iCs/>
          <w:sz w:val="22"/>
        </w:rPr>
        <w:t xml:space="preserve">RET </w:t>
      </w:r>
      <w:r w:rsidRPr="002A0545">
        <w:rPr>
          <w:rFonts w:ascii="Franklin Gothic Book" w:hAnsi="Franklin Gothic Book"/>
          <w:sz w:val="22"/>
        </w:rPr>
        <w:t>wildtype patients from treatment, noting the nominated comparator was BSC and these patients have no other PBS listed treatment options available.</w:t>
      </w:r>
    </w:p>
    <w:p w14:paraId="3C780BB4" w14:textId="77777777" w:rsidR="002F03F5" w:rsidRPr="002A0545" w:rsidRDefault="008F23FF" w:rsidP="00601076">
      <w:pPr>
        <w:pStyle w:val="MSACHeading1"/>
        <w:numPr>
          <w:ilvl w:val="0"/>
          <w:numId w:val="15"/>
        </w:numPr>
        <w:ind w:hanging="720"/>
        <w:rPr>
          <w:rFonts w:ascii="Franklin Gothic Medium" w:hAnsi="Franklin Gothic Medium"/>
          <w:b w:val="0"/>
          <w:bCs w:val="0"/>
          <w:sz w:val="32"/>
          <w:szCs w:val="32"/>
        </w:rPr>
      </w:pPr>
      <w:bookmarkStart w:id="37" w:name="_Toc219898311"/>
      <w:r w:rsidRPr="002A0545">
        <w:rPr>
          <w:rFonts w:ascii="Franklin Gothic Medium" w:hAnsi="Franklin Gothic Medium"/>
          <w:b w:val="0"/>
          <w:bCs w:val="0"/>
          <w:sz w:val="32"/>
          <w:szCs w:val="32"/>
        </w:rPr>
        <w:t>Economic evaluation</w:t>
      </w:r>
      <w:bookmarkEnd w:id="37"/>
    </w:p>
    <w:p w14:paraId="3C780BB5" w14:textId="4A99CA2E"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submission presented a modelled economic evaluation (cost utility analysis), based on an indirect comparison of selpercatinib and BSC in patients with advanced or metastatic MTC who have a confirmed</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w:t>
      </w:r>
    </w:p>
    <w:p w14:paraId="3C780BB6" w14:textId="3320F292" w:rsidR="002F03F5" w:rsidRPr="002A0545" w:rsidRDefault="002A4E8D" w:rsidP="002A0545">
      <w:pPr>
        <w:pStyle w:val="3-BodyText"/>
        <w:numPr>
          <w:ilvl w:val="0"/>
          <w:numId w:val="0"/>
        </w:numPr>
        <w:ind w:left="720" w:hanging="720"/>
        <w:jc w:val="left"/>
        <w:rPr>
          <w:rFonts w:ascii="Franklin Gothic Book" w:hAnsi="Franklin Gothic Book"/>
          <w:sz w:val="22"/>
        </w:rPr>
      </w:pPr>
      <w:r w:rsidRPr="002A4E8D">
        <w:rPr>
          <w:rFonts w:ascii="Franklin Gothic Book" w:hAnsi="Franklin Gothic Book"/>
          <w:sz w:val="22"/>
        </w:rPr>
        <w:fldChar w:fldCharType="begin"/>
      </w:r>
      <w:r w:rsidRPr="002A4E8D">
        <w:rPr>
          <w:rFonts w:ascii="Franklin Gothic Book" w:hAnsi="Franklin Gothic Book"/>
          <w:sz w:val="22"/>
        </w:rPr>
        <w:instrText xml:space="preserve"> REF _Ref226643514 \h  \* MERGEFORMAT </w:instrText>
      </w:r>
      <w:r w:rsidRPr="002A4E8D">
        <w:rPr>
          <w:rFonts w:ascii="Franklin Gothic Book" w:hAnsi="Franklin Gothic Book"/>
          <w:sz w:val="22"/>
        </w:rPr>
      </w:r>
      <w:r w:rsidRPr="002A4E8D">
        <w:rPr>
          <w:rFonts w:ascii="Franklin Gothic Book" w:hAnsi="Franklin Gothic Book"/>
          <w:sz w:val="22"/>
        </w:rPr>
        <w:fldChar w:fldCharType="separate"/>
      </w:r>
      <w:r w:rsidR="005B2039" w:rsidRPr="00687588">
        <w:rPr>
          <w:rFonts w:ascii="Franklin Gothic Book" w:hAnsi="Franklin Gothic Book"/>
          <w:sz w:val="22"/>
        </w:rPr>
        <w:t xml:space="preserve">Table </w:t>
      </w:r>
      <w:r w:rsidR="005B2039" w:rsidRPr="00687588">
        <w:rPr>
          <w:rFonts w:ascii="Franklin Gothic Book" w:hAnsi="Franklin Gothic Book"/>
          <w:noProof/>
          <w:sz w:val="22"/>
        </w:rPr>
        <w:t>9</w:t>
      </w:r>
      <w:r w:rsidRPr="002A4E8D">
        <w:rPr>
          <w:rFonts w:ascii="Franklin Gothic Book" w:hAnsi="Franklin Gothic Book"/>
          <w:sz w:val="22"/>
        </w:rPr>
        <w:fldChar w:fldCharType="end"/>
      </w:r>
      <w:r w:rsidRPr="002A4E8D">
        <w:rPr>
          <w:rFonts w:ascii="Franklin Gothic Book" w:hAnsi="Franklin Gothic Book"/>
          <w:sz w:val="22"/>
        </w:rPr>
        <w:t xml:space="preserve"> </w:t>
      </w:r>
      <w:r w:rsidR="008F23FF" w:rsidRPr="002A0545">
        <w:rPr>
          <w:rFonts w:ascii="Franklin Gothic Book" w:hAnsi="Franklin Gothic Book"/>
          <w:sz w:val="22"/>
        </w:rPr>
        <w:t xml:space="preserve">summarises the key component of the economic evaluation. </w:t>
      </w:r>
    </w:p>
    <w:p w14:paraId="3C780BB7" w14:textId="225220D5" w:rsidR="002F03F5" w:rsidRDefault="002A4E8D" w:rsidP="002A4E8D">
      <w:pPr>
        <w:pStyle w:val="Caption"/>
      </w:pPr>
      <w:bookmarkStart w:id="38" w:name="_Ref226643514"/>
      <w:r>
        <w:lastRenderedPageBreak/>
        <w:t xml:space="preserve">Table </w:t>
      </w:r>
      <w:r>
        <w:fldChar w:fldCharType="begin"/>
      </w:r>
      <w:r>
        <w:instrText>SEQ Table \* ARABIC</w:instrText>
      </w:r>
      <w:r>
        <w:fldChar w:fldCharType="separate"/>
      </w:r>
      <w:r w:rsidR="005B2039">
        <w:rPr>
          <w:noProof/>
        </w:rPr>
        <w:t>9</w:t>
      </w:r>
      <w:r>
        <w:fldChar w:fldCharType="end"/>
      </w:r>
      <w:bookmarkEnd w:id="38"/>
      <w:r>
        <w:t xml:space="preserve"> </w:t>
      </w:r>
      <w:r w:rsidR="008F23FF">
        <w:t>Key components of the economic evaluation</w:t>
      </w:r>
    </w:p>
    <w:tbl>
      <w:tblPr>
        <w:tblW w:w="5000" w:type="pct"/>
        <w:tblLayout w:type="fixed"/>
        <w:tblCellMar>
          <w:left w:w="5" w:type="dxa"/>
          <w:right w:w="5" w:type="dxa"/>
        </w:tblCellMar>
        <w:tblLook w:val="01E0" w:firstRow="1" w:lastRow="1" w:firstColumn="1" w:lastColumn="1" w:noHBand="0" w:noVBand="0"/>
      </w:tblPr>
      <w:tblGrid>
        <w:gridCol w:w="1158"/>
        <w:gridCol w:w="4056"/>
        <w:gridCol w:w="3802"/>
      </w:tblGrid>
      <w:tr w:rsidR="002F03F5" w14:paraId="3C780BBB" w14:textId="77777777" w:rsidTr="00FC7CAF">
        <w:trPr>
          <w:cantSplit/>
          <w:tblHeader/>
        </w:trPr>
        <w:tc>
          <w:tcPr>
            <w:tcW w:w="1159" w:type="dxa"/>
            <w:tcBorders>
              <w:top w:val="single" w:sz="4" w:space="0" w:color="000000"/>
              <w:left w:val="single" w:sz="4" w:space="0" w:color="000000"/>
              <w:bottom w:val="single" w:sz="4" w:space="0" w:color="000000"/>
              <w:right w:val="single" w:sz="4" w:space="0" w:color="000000"/>
            </w:tcBorders>
            <w:vAlign w:val="center"/>
          </w:tcPr>
          <w:p w14:paraId="3C780BB8" w14:textId="77777777" w:rsidR="002F03F5" w:rsidRDefault="008F23FF" w:rsidP="004A2CBB">
            <w:pPr>
              <w:pStyle w:val="TableRowHeader"/>
              <w:ind w:left="57" w:right="57"/>
            </w:pPr>
            <w:r>
              <w:t xml:space="preserve">Component </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B9" w14:textId="77777777" w:rsidR="002F03F5" w:rsidRDefault="008F23FF" w:rsidP="004A2CBB">
            <w:pPr>
              <w:pStyle w:val="TableRowHeader"/>
              <w:ind w:left="57" w:right="57"/>
            </w:pPr>
            <w:r>
              <w:t>Description</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BA" w14:textId="77777777" w:rsidR="002F03F5" w:rsidRDefault="008F23FF" w:rsidP="004A2CBB">
            <w:pPr>
              <w:pStyle w:val="TableRowHeader"/>
              <w:ind w:left="57" w:right="57"/>
            </w:pPr>
            <w:r>
              <w:t>Comments from commentary</w:t>
            </w:r>
          </w:p>
        </w:tc>
      </w:tr>
      <w:tr w:rsidR="002F03F5" w14:paraId="3C780BBF"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BC" w14:textId="77777777" w:rsidR="002F03F5" w:rsidRDefault="008F23FF" w:rsidP="004A2CBB">
            <w:pPr>
              <w:pStyle w:val="TableText"/>
              <w:ind w:left="57" w:right="57"/>
            </w:pPr>
            <w:r>
              <w:t>Comparison modelled</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BD" w14:textId="5E9866A7" w:rsidR="002F03F5" w:rsidRDefault="00B14353" w:rsidP="004A2CBB">
            <w:pPr>
              <w:pStyle w:val="TableText"/>
              <w:ind w:left="57" w:right="57"/>
            </w:pPr>
            <w:r w:rsidRPr="00B14353">
              <w:rPr>
                <w:i/>
                <w:iCs/>
              </w:rPr>
              <w:t>RET</w:t>
            </w:r>
            <w:r w:rsidR="008F23FF">
              <w:t xml:space="preserve"> variant testing and treatment with selpercatinib compared to no</w:t>
            </w:r>
            <w:r w:rsidR="008F23FF">
              <w:rPr>
                <w:i/>
              </w:rPr>
              <w:t xml:space="preserve"> </w:t>
            </w:r>
            <w:r w:rsidRPr="00B14353">
              <w:rPr>
                <w:i/>
                <w:iCs/>
              </w:rPr>
              <w:t>RET</w:t>
            </w:r>
            <w:r w:rsidR="008F23FF">
              <w:rPr>
                <w:i/>
                <w:iCs/>
              </w:rPr>
              <w:t xml:space="preserve"> </w:t>
            </w:r>
            <w:r w:rsidR="008F23FF">
              <w:t>variant testing and treatment with BSC in stage III/IV MTC patients with a</w:t>
            </w:r>
            <w:r w:rsidR="008F23FF">
              <w:rPr>
                <w:i/>
              </w:rPr>
              <w:t xml:space="preserve"> </w:t>
            </w:r>
            <w:r w:rsidRPr="00B14353">
              <w:rPr>
                <w:i/>
                <w:iCs/>
              </w:rPr>
              <w:t>RET</w:t>
            </w:r>
            <w:r w:rsidR="008F23FF">
              <w:rPr>
                <w:i/>
                <w:iCs/>
              </w:rPr>
              <w:t xml:space="preserve"> </w:t>
            </w:r>
            <w:r w:rsidR="008F23FF">
              <w:t>variant.</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BE" w14:textId="77777777" w:rsidR="002F03F5" w:rsidRDefault="008F23FF" w:rsidP="004A2CBB">
            <w:pPr>
              <w:pStyle w:val="TableText"/>
              <w:ind w:left="57" w:right="57"/>
            </w:pPr>
            <w:r>
              <w:t>This approach was presented in absence of test sensitivity/specificity parameters.</w:t>
            </w:r>
          </w:p>
        </w:tc>
      </w:tr>
      <w:tr w:rsidR="002F03F5" w14:paraId="3C780BC3"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C0" w14:textId="77777777" w:rsidR="002F03F5" w:rsidRDefault="008F23FF" w:rsidP="004A2CBB">
            <w:pPr>
              <w:pStyle w:val="TableText"/>
              <w:ind w:left="57" w:right="57"/>
            </w:pPr>
            <w:r>
              <w:t>Outcomes</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C1" w14:textId="77777777" w:rsidR="002F03F5" w:rsidRDefault="008F23FF" w:rsidP="004A2CBB">
            <w:pPr>
              <w:pStyle w:val="TableText"/>
              <w:ind w:left="57" w:right="57"/>
            </w:pPr>
            <w:r>
              <w:t>LYG, QALYs gained</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C2" w14:textId="77777777" w:rsidR="002F03F5" w:rsidRDefault="008F23FF" w:rsidP="004A2CBB">
            <w:pPr>
              <w:pStyle w:val="TableText"/>
              <w:ind w:left="57" w:right="57"/>
            </w:pPr>
            <w:r>
              <w:t>Reasonable.</w:t>
            </w:r>
          </w:p>
        </w:tc>
      </w:tr>
      <w:tr w:rsidR="002F03F5" w14:paraId="3C780BC7"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C4" w14:textId="77777777" w:rsidR="002F03F5" w:rsidRDefault="008F23FF" w:rsidP="004A2CBB">
            <w:pPr>
              <w:pStyle w:val="TableText"/>
              <w:ind w:left="57" w:right="57"/>
            </w:pPr>
            <w:r>
              <w:t>Time horizon</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C5" w14:textId="417F2F3E" w:rsidR="002F03F5" w:rsidRDefault="008F23FF" w:rsidP="004A2CBB">
            <w:pPr>
              <w:pStyle w:val="TableText"/>
              <w:ind w:left="57" w:right="57"/>
            </w:pPr>
            <w:r>
              <w:t>25 years vs trial period of 45 months in LIBRETTO-531.</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C6" w14:textId="77777777" w:rsidR="002F03F5" w:rsidRDefault="008F23FF" w:rsidP="004A2CBB">
            <w:pPr>
              <w:pStyle w:val="TableText"/>
              <w:ind w:left="57" w:right="57"/>
            </w:pPr>
            <w:r>
              <w:t>Potentially not applicable to the trial population of patients with unresectable and documented disease progression. Extrapolating from 45 months to 25 years was uncertain. The time horizon was not a key driver of the model.</w:t>
            </w:r>
          </w:p>
        </w:tc>
      </w:tr>
      <w:tr w:rsidR="002F03F5" w14:paraId="3C780BCB"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C8" w14:textId="77777777" w:rsidR="002F03F5" w:rsidRDefault="008F23FF" w:rsidP="004A2CBB">
            <w:pPr>
              <w:pStyle w:val="TableText"/>
              <w:ind w:left="57" w:right="57"/>
            </w:pPr>
            <w:r>
              <w:t>Methods used to generate results</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C9" w14:textId="77777777" w:rsidR="002F03F5" w:rsidRDefault="008F23FF" w:rsidP="004A2CBB">
            <w:pPr>
              <w:pStyle w:val="TableText"/>
              <w:ind w:left="57" w:right="57"/>
            </w:pPr>
            <w:r>
              <w:t xml:space="preserve">Partitioned survival model (PF, PD, and death) using Excel. </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CA" w14:textId="77777777" w:rsidR="002F03F5" w:rsidRDefault="008F23FF" w:rsidP="004A2CBB">
            <w:pPr>
              <w:pStyle w:val="TableText"/>
              <w:ind w:left="57" w:right="57"/>
            </w:pPr>
            <w:r>
              <w:t>Reasonable.</w:t>
            </w:r>
          </w:p>
        </w:tc>
      </w:tr>
      <w:tr w:rsidR="002F03F5" w14:paraId="3C780BCF"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CC" w14:textId="77777777" w:rsidR="002F03F5" w:rsidRDefault="008F23FF" w:rsidP="004A2CBB">
            <w:pPr>
              <w:pStyle w:val="TableText"/>
              <w:ind w:left="57" w:right="57"/>
            </w:pPr>
            <w:r>
              <w:t>Cycle length</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CD" w14:textId="77777777" w:rsidR="002F03F5" w:rsidRDefault="008F23FF" w:rsidP="004A2CBB">
            <w:pPr>
              <w:pStyle w:val="TableText"/>
              <w:ind w:left="57" w:right="57"/>
            </w:pPr>
            <w:r>
              <w:t>Weekly cycle length</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CE" w14:textId="77777777" w:rsidR="002F03F5" w:rsidRDefault="008F23FF" w:rsidP="004A2CBB">
            <w:pPr>
              <w:pStyle w:val="TableText"/>
              <w:ind w:left="57" w:right="57"/>
            </w:pPr>
            <w:r>
              <w:t>Disease progression, treatment discontinuation, and disease management costs were potentially overestimated relative to clinical practice where these events likely occurred at longer intervals.</w:t>
            </w:r>
          </w:p>
        </w:tc>
      </w:tr>
      <w:tr w:rsidR="002F03F5" w14:paraId="3C780BD3"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D0" w14:textId="77777777" w:rsidR="002F03F5" w:rsidRDefault="008F23FF" w:rsidP="004A2CBB">
            <w:pPr>
              <w:pStyle w:val="TableText"/>
              <w:ind w:left="57" w:right="57"/>
            </w:pPr>
            <w:r>
              <w:t>Test parameters</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D1" w14:textId="7B99F191" w:rsidR="002F03F5" w:rsidRDefault="008F23FF" w:rsidP="004A2CBB">
            <w:pPr>
              <w:pStyle w:val="TableText"/>
              <w:ind w:left="57" w:right="57"/>
            </w:pPr>
            <w:r>
              <w:t>No test accuracy parameters were included in the base case. A once off cost of $1,189 per</w:t>
            </w:r>
            <w:r>
              <w:rPr>
                <w:i/>
              </w:rPr>
              <w:t xml:space="preserve"> </w:t>
            </w:r>
            <w:r w:rsidR="00B14353" w:rsidRPr="00B14353">
              <w:rPr>
                <w:i/>
                <w:iCs/>
              </w:rPr>
              <w:t>RET</w:t>
            </w:r>
            <w:r>
              <w:rPr>
                <w:i/>
              </w:rPr>
              <w:t xml:space="preserve"> </w:t>
            </w:r>
            <w:r>
              <w:t>variant identified was applied in the selpercatinib arm based on the NNT (2.97) and proposed MBS fee ($400). NNT was estimated based on the proportion of MTC patients diagnosed or progressed to stage III/IV disease (85%), the proportion with progressive and symptomatic disease (57.22%) and the proportion of MTC with a</w:t>
            </w:r>
            <w:r>
              <w:rPr>
                <w:i/>
              </w:rPr>
              <w:t xml:space="preserve"> </w:t>
            </w:r>
            <w:r w:rsidR="00B14353" w:rsidRPr="00B14353">
              <w:rPr>
                <w:i/>
                <w:iCs/>
              </w:rPr>
              <w:t>RET</w:t>
            </w:r>
            <w:r>
              <w:rPr>
                <w:i/>
              </w:rPr>
              <w:t xml:space="preserve"> </w:t>
            </w:r>
            <w:r>
              <w:t>variant (70%).</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D2" w14:textId="1DDD6F63" w:rsidR="002F03F5" w:rsidRDefault="008F23FF" w:rsidP="004A2CBB">
            <w:pPr>
              <w:pStyle w:val="TableText"/>
              <w:ind w:left="57" w:right="57"/>
            </w:pPr>
            <w:r>
              <w:t>Based on the submission’s inputs an NNT of 2.92 was correctly calculated and the cost was $1,169 per</w:t>
            </w:r>
            <w:r>
              <w:rPr>
                <w:i/>
              </w:rPr>
              <w:t xml:space="preserve"> </w:t>
            </w:r>
            <w:r w:rsidR="00B14353" w:rsidRPr="00B14353">
              <w:rPr>
                <w:i/>
                <w:iCs/>
              </w:rPr>
              <w:t>RET</w:t>
            </w:r>
            <w:r>
              <w:rPr>
                <w:i/>
              </w:rPr>
              <w:t xml:space="preserve"> </w:t>
            </w:r>
            <w:r>
              <w:t>variant identified, although this had almost no impact on the ICER. For consistency with the test population (i.e., patients diagnosed with MTC irrespective of stage of disease or progression status), the NNT would be estimated from the proportion of MTC expected to have a</w:t>
            </w:r>
            <w:r>
              <w:rPr>
                <w:i/>
              </w:rPr>
              <w:t xml:space="preserve"> </w:t>
            </w:r>
            <w:r w:rsidR="00B14353" w:rsidRPr="00B14353">
              <w:rPr>
                <w:i/>
                <w:iCs/>
              </w:rPr>
              <w:t>RET</w:t>
            </w:r>
            <w:r>
              <w:rPr>
                <w:i/>
              </w:rPr>
              <w:t xml:space="preserve"> </w:t>
            </w:r>
            <w:r>
              <w:t xml:space="preserve">variant (i.e., 1/70% = 1.43). NNT was not a key driver in the model. </w:t>
            </w:r>
          </w:p>
        </w:tc>
      </w:tr>
      <w:tr w:rsidR="002F03F5" w14:paraId="3C780BD7"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D4" w14:textId="77777777" w:rsidR="002F03F5" w:rsidRDefault="008F23FF" w:rsidP="004A2CBB">
            <w:pPr>
              <w:pStyle w:val="TableText"/>
              <w:ind w:left="57" w:right="57"/>
            </w:pPr>
            <w:r>
              <w:t>Implications of false positive and false wildtype results</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D5" w14:textId="77777777" w:rsidR="002F03F5" w:rsidRDefault="008F23FF" w:rsidP="004A2CBB">
            <w:pPr>
              <w:pStyle w:val="TableText"/>
              <w:ind w:left="57" w:right="57"/>
            </w:pPr>
            <w:r>
              <w:t xml:space="preserve">Assumed 100% sensitivity and 100% specificity. </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D6" w14:textId="5306F025" w:rsidR="002F03F5" w:rsidRDefault="008F23FF" w:rsidP="004A2CBB">
            <w:pPr>
              <w:pStyle w:val="TableText"/>
              <w:ind w:left="57" w:right="57"/>
            </w:pPr>
            <w:r>
              <w:t>Test parameters were not considered in the model. The model was built to vary test sensitivity and specificity, but inferences were limited in absence of efficacy data of selpercatinib treatment in</w:t>
            </w:r>
            <w:r>
              <w:rPr>
                <w:i/>
              </w:rPr>
              <w:t xml:space="preserve"> </w:t>
            </w:r>
            <w:r w:rsidR="00B14353" w:rsidRPr="00B14353">
              <w:rPr>
                <w:i/>
                <w:iCs/>
              </w:rPr>
              <w:t>RET</w:t>
            </w:r>
            <w:r>
              <w:rPr>
                <w:i/>
              </w:rPr>
              <w:t xml:space="preserve"> </w:t>
            </w:r>
            <w:r>
              <w:t>wildtype patients.</w:t>
            </w:r>
          </w:p>
        </w:tc>
      </w:tr>
      <w:tr w:rsidR="002F03F5" w14:paraId="3C780BDB"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D8" w14:textId="77777777" w:rsidR="002F03F5" w:rsidRDefault="008F23FF" w:rsidP="004A2CBB">
            <w:pPr>
              <w:pStyle w:val="TableText"/>
              <w:ind w:left="57" w:right="57"/>
            </w:pPr>
            <w:r>
              <w:t xml:space="preserve">Allocation to health states </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D9" w14:textId="7D7F1F8D" w:rsidR="002F03F5" w:rsidRDefault="008F23FF" w:rsidP="004A2CBB">
            <w:pPr>
              <w:pStyle w:val="TableText"/>
              <w:ind w:left="57" w:right="57"/>
            </w:pPr>
            <w:r>
              <w:t>LIBRETTO-531 informed the transitions in the selpercatinib arm. A HR approach was adopted to inform the transitions in the BSC arm based on the ITC of LIBRETTO-531 (ITT;</w:t>
            </w:r>
            <w:r>
              <w:rPr>
                <w:i/>
              </w:rPr>
              <w:t xml:space="preserve"> </w:t>
            </w:r>
            <w:r>
              <w:rPr>
                <w:i/>
                <w:iCs/>
              </w:rPr>
              <w:t>RET</w:t>
            </w:r>
            <w:r>
              <w:rPr>
                <w:i/>
              </w:rPr>
              <w:t xml:space="preserve"> </w:t>
            </w:r>
            <w:r>
              <w:t>variant) and EXAM (</w:t>
            </w:r>
            <w:r>
              <w:rPr>
                <w:i/>
                <w:iCs/>
              </w:rPr>
              <w:t>RET</w:t>
            </w:r>
            <w:r>
              <w:t xml:space="preserve"> variant subgroup).</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DA" w14:textId="0AF61D1B" w:rsidR="002F03F5" w:rsidRDefault="008F23FF" w:rsidP="004A2CBB">
            <w:pPr>
              <w:pStyle w:val="TableText"/>
              <w:ind w:left="57" w:right="57"/>
            </w:pPr>
            <w:r>
              <w:t>The ITC OS HR was not appropriate as no significant OS difference was observed between cabozantinib and placebo in the EXAM trial. The OS HR from LIBRETTO-531 was more appropriate but was also associated with uncertainties. In addition, LIBRETTO-531 and the model population had reduced applicability to the requested population (implications noted in the row below).</w:t>
            </w:r>
          </w:p>
        </w:tc>
      </w:tr>
      <w:tr w:rsidR="002F03F5" w14:paraId="3C780BE3"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DC" w14:textId="77777777" w:rsidR="002F03F5" w:rsidRDefault="008F23FF" w:rsidP="004A2CBB">
            <w:pPr>
              <w:pStyle w:val="TableText"/>
              <w:ind w:left="57" w:right="57"/>
            </w:pPr>
            <w:r>
              <w:lastRenderedPageBreak/>
              <w:t>Extrapolation method</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DD" w14:textId="77777777" w:rsidR="002F03F5" w:rsidRDefault="008F23FF" w:rsidP="004A2CBB">
            <w:pPr>
              <w:pStyle w:val="TableText"/>
              <w:ind w:left="57" w:right="57"/>
            </w:pPr>
            <w:r>
              <w:t xml:space="preserve">No KM was used in the model. Parametric models were fitted to the selpercatinib arm to extrapolate PFS and OS based on visual fit, statistical fit, and clinical plausibility. OS extrapolation was selected based on an arbitrary decision that if survival at 25 years was &gt;32% the extrapolation was not clinically </w:t>
            </w:r>
            <w:proofErr w:type="spellStart"/>
            <w:proofErr w:type="gramStart"/>
            <w:r>
              <w:t>plausible.</w:t>
            </w:r>
            <w:r>
              <w:rPr>
                <w:vertAlign w:val="superscript"/>
              </w:rPr>
              <w:t>a</w:t>
            </w:r>
            <w:proofErr w:type="spellEnd"/>
            <w:proofErr w:type="gramEnd"/>
            <w:r>
              <w:t xml:space="preserve"> PFS was extrapolated using the Weibull function and OS was extrapolated using the Spline knot 3 function. </w:t>
            </w:r>
            <w:proofErr w:type="spellStart"/>
            <w:r>
              <w:t>ToT</w:t>
            </w:r>
            <w:proofErr w:type="spellEnd"/>
            <w:r>
              <w:t xml:space="preserve"> in the selpercatinib arm was assumed to equal PFS. BSC was modelled by applying the inverse of the PFS HR (0.05) and OS HR (0.22) derived from the ITC to the selpercatinib arm. No convergence was assumed.</w:t>
            </w:r>
          </w:p>
          <w:p w14:paraId="3C780BDE" w14:textId="77777777" w:rsidR="002F03F5" w:rsidRDefault="002F03F5" w:rsidP="004A2CBB">
            <w:pPr>
              <w:pStyle w:val="TableText"/>
              <w:ind w:left="57" w:right="57"/>
            </w:pPr>
          </w:p>
          <w:p w14:paraId="3C780BDF" w14:textId="77777777" w:rsidR="002F03F5" w:rsidRDefault="008F23FF" w:rsidP="004A2CBB">
            <w:pPr>
              <w:pStyle w:val="TableText"/>
              <w:ind w:left="57" w:right="57"/>
            </w:pPr>
            <w:r>
              <w:t xml:space="preserve">Based on a trial follow up period of 45 months and a </w:t>
            </w:r>
            <w:proofErr w:type="gramStart"/>
            <w:r>
              <w:t>25 year</w:t>
            </w:r>
            <w:proofErr w:type="gramEnd"/>
            <w:r>
              <w:t xml:space="preserve"> time horizon, the cost and benefits that occurred over the extrapolated period were:</w:t>
            </w:r>
          </w:p>
          <w:p w14:paraId="3C780BE0" w14:textId="77777777" w:rsidR="002F03F5" w:rsidRDefault="008F23FF" w:rsidP="004A2CBB">
            <w:pPr>
              <w:pStyle w:val="TableText"/>
              <w:ind w:left="57" w:right="57"/>
            </w:pPr>
            <w:r>
              <w:t>74%, 73%, and 43% of LYG, QALYs gained, and costs in the selpercatinib arm, respectively.</w:t>
            </w:r>
          </w:p>
          <w:p w14:paraId="3C780BE1" w14:textId="77777777" w:rsidR="002F03F5" w:rsidRDefault="008F23FF" w:rsidP="004A2CBB">
            <w:pPr>
              <w:pStyle w:val="TableText"/>
              <w:ind w:left="57" w:right="57"/>
            </w:pPr>
            <w:r>
              <w:t>43%, 43%, and 56% of LYG, QALYs gained and costs in the BSC arm, respectively.</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E2" w14:textId="77777777" w:rsidR="002F03F5" w:rsidRDefault="008F23FF" w:rsidP="004A2CBB">
            <w:pPr>
              <w:pStyle w:val="TableText"/>
              <w:ind w:left="57" w:right="57"/>
            </w:pPr>
            <w:r>
              <w:t xml:space="preserve">The trials represented patients who were expected to progress and die faster in comparison to the requested population. The incremental benefit of selpercatinib vs BSC was potentially overestimated relative to clinical practice. Consequently, the </w:t>
            </w:r>
            <w:proofErr w:type="spellStart"/>
            <w:r>
              <w:t>ToT</w:t>
            </w:r>
            <w:proofErr w:type="spellEnd"/>
            <w:r>
              <w:t xml:space="preserve"> with selpercatinib and therefore treatment costs were potentially underestimated. OS, </w:t>
            </w:r>
            <w:proofErr w:type="spellStart"/>
            <w:r>
              <w:t>ToT</w:t>
            </w:r>
            <w:proofErr w:type="spellEnd"/>
            <w:r>
              <w:t>, and PFS modelling were key drivers of the model.</w:t>
            </w:r>
          </w:p>
        </w:tc>
      </w:tr>
      <w:tr w:rsidR="002F03F5" w14:paraId="3C780BE7"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E4" w14:textId="77777777" w:rsidR="002F03F5" w:rsidRDefault="008F23FF" w:rsidP="004A2CBB">
            <w:pPr>
              <w:pStyle w:val="TableText"/>
              <w:ind w:left="57" w:right="57"/>
            </w:pPr>
            <w:r>
              <w:t>Health related quality of life</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E5" w14:textId="64B0C4F1" w:rsidR="002F03F5" w:rsidRDefault="008F23FF" w:rsidP="004A2CBB">
            <w:pPr>
              <w:pStyle w:val="TableText"/>
              <w:ind w:left="57" w:right="57"/>
            </w:pPr>
            <w:r>
              <w:t xml:space="preserve">Utility values were informed from LIBRETTO-531 EQ 5D 5L index score using Australian tariffs (Norman 2023). PF = 0.8839 and PD = 0.8672. </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E6" w14:textId="6C803D38" w:rsidR="002F03F5" w:rsidRDefault="008F23FF" w:rsidP="004A2CBB">
            <w:pPr>
              <w:pStyle w:val="TableText"/>
              <w:ind w:left="57" w:right="57"/>
            </w:pPr>
            <w:r>
              <w:t>PD utility (0.8672) was informed by 61/291 patients from LIBRETTO-531 and was potentially biased. Utilities were a moderate driver of the model.</w:t>
            </w:r>
          </w:p>
        </w:tc>
      </w:tr>
      <w:tr w:rsidR="002F03F5" w14:paraId="3C780BED" w14:textId="77777777" w:rsidTr="00FC7CAF">
        <w:trPr>
          <w:cantSplit/>
        </w:trPr>
        <w:tc>
          <w:tcPr>
            <w:tcW w:w="1159" w:type="dxa"/>
            <w:tcBorders>
              <w:top w:val="single" w:sz="4" w:space="0" w:color="000000"/>
              <w:left w:val="single" w:sz="4" w:space="0" w:color="000000"/>
              <w:bottom w:val="single" w:sz="4" w:space="0" w:color="000000"/>
              <w:right w:val="single" w:sz="4" w:space="0" w:color="000000"/>
            </w:tcBorders>
            <w:vAlign w:val="center"/>
          </w:tcPr>
          <w:p w14:paraId="3C780BE8" w14:textId="77777777" w:rsidR="002F03F5" w:rsidRDefault="008F23FF" w:rsidP="004A2CBB">
            <w:pPr>
              <w:pStyle w:val="TableText"/>
              <w:ind w:left="57" w:right="57"/>
            </w:pPr>
            <w:r>
              <w:t>Selpercatinib costs</w:t>
            </w:r>
          </w:p>
        </w:tc>
        <w:tc>
          <w:tcPr>
            <w:tcW w:w="4061" w:type="dxa"/>
            <w:tcBorders>
              <w:top w:val="single" w:sz="4" w:space="0" w:color="000000"/>
              <w:left w:val="single" w:sz="4" w:space="0" w:color="000000"/>
              <w:bottom w:val="single" w:sz="4" w:space="0" w:color="000000"/>
              <w:right w:val="single" w:sz="4" w:space="0" w:color="000000"/>
            </w:tcBorders>
            <w:vAlign w:val="center"/>
          </w:tcPr>
          <w:p w14:paraId="3C780BE9" w14:textId="77777777" w:rsidR="002F03F5" w:rsidRDefault="008F23FF" w:rsidP="004A2CBB">
            <w:pPr>
              <w:pStyle w:val="TableText"/>
              <w:ind w:left="57" w:right="57"/>
            </w:pPr>
            <w:r>
              <w:t>The submission assumed the following dose reductions for selpercatinib based on 141 patients:</w:t>
            </w:r>
          </w:p>
          <w:p w14:paraId="3C780BEA" w14:textId="77777777" w:rsidR="002F03F5" w:rsidRPr="00350989" w:rsidRDefault="008F23FF" w:rsidP="004A2CBB">
            <w:pPr>
              <w:pStyle w:val="TableText"/>
              <w:ind w:left="57" w:right="57"/>
            </w:pPr>
            <w:r w:rsidRPr="00350989">
              <w:t xml:space="preserve">Tx cycle 1 = 98.45% 160 mg BID, 0.52% 120 mg BID, and 1.04% 80 mg BID </w:t>
            </w:r>
          </w:p>
          <w:p w14:paraId="3C780BEB" w14:textId="2F7CDE58" w:rsidR="002F03F5" w:rsidRDefault="008F23FF" w:rsidP="004A2CBB">
            <w:pPr>
              <w:pStyle w:val="TableText"/>
              <w:ind w:left="57" w:right="57"/>
            </w:pPr>
            <w:r w:rsidRPr="00350989">
              <w:t>Tx cycle 2 onwards = 4% 160 mg BID, 49.33% 120 mg BID, 41.33% 80 mg BID, and 5.33% 40 mg BID</w:t>
            </w:r>
            <w:r w:rsidR="008A7568" w:rsidRPr="00350989">
              <w:t>*</w:t>
            </w:r>
          </w:p>
        </w:tc>
        <w:tc>
          <w:tcPr>
            <w:tcW w:w="3806" w:type="dxa"/>
            <w:tcBorders>
              <w:top w:val="single" w:sz="4" w:space="0" w:color="000000"/>
              <w:left w:val="single" w:sz="4" w:space="0" w:color="000000"/>
              <w:bottom w:val="single" w:sz="4" w:space="0" w:color="000000"/>
              <w:right w:val="single" w:sz="4" w:space="0" w:color="000000"/>
            </w:tcBorders>
            <w:vAlign w:val="center"/>
          </w:tcPr>
          <w:p w14:paraId="3C780BEC" w14:textId="0EB98E39" w:rsidR="002F03F5" w:rsidRDefault="008F23FF" w:rsidP="004A2CBB">
            <w:pPr>
              <w:pStyle w:val="TableText"/>
              <w:ind w:left="57" w:right="57"/>
            </w:pPr>
            <w:r>
              <w:t>Over 90% of patients had dose reductions after treatment cycle 2 in the model which was considerably greater than reported in LIBRETTO-531 (46%) and could not be independently verified. Dose re escalations were also not considered. Selpercatinib treatment costs were potentially underestimated, but this may be partially offset given the absence of dose omissions.</w:t>
            </w:r>
          </w:p>
        </w:tc>
      </w:tr>
    </w:tbl>
    <w:p w14:paraId="3C780BEE" w14:textId="77777777" w:rsidR="002F03F5" w:rsidRDefault="008F23FF">
      <w:pPr>
        <w:pStyle w:val="TableFooter"/>
      </w:pPr>
      <w:r>
        <w:t>Source: Sections 3.2 to 3.5 of the submission</w:t>
      </w:r>
    </w:p>
    <w:p w14:paraId="3C780BEF" w14:textId="77777777" w:rsidR="002F03F5" w:rsidRDefault="008F23FF">
      <w:pPr>
        <w:pStyle w:val="TableFooter"/>
      </w:pPr>
      <w:r>
        <w:t xml:space="preserve">BID = twice daily; BSC = best supportive care; EQ 5D 5L = </w:t>
      </w:r>
      <w:proofErr w:type="spellStart"/>
      <w:r>
        <w:t>EuroQoL</w:t>
      </w:r>
      <w:proofErr w:type="spellEnd"/>
      <w:r>
        <w:t xml:space="preserve"> 5 Dimension 5 level; HR = hazard ratio; ICER = incremental cost effectiveness ratio; ITT = intention to treat; KM = Kaplan-Meier; LYG = life year gained; MTC = medullary thyroid cancer; OS = overall survival; PD = progressed disease; PF = progression free; PFS = progression free survival; QALY = quality adjusted life year gained; </w:t>
      </w:r>
      <w:proofErr w:type="spellStart"/>
      <w:r>
        <w:t>ToT</w:t>
      </w:r>
      <w:proofErr w:type="spellEnd"/>
      <w:r>
        <w:t xml:space="preserve"> = time on treatment; Tx = treatment</w:t>
      </w:r>
    </w:p>
    <w:p w14:paraId="3C780BF0" w14:textId="77777777" w:rsidR="002F03F5" w:rsidRDefault="008F23FF">
      <w:pPr>
        <w:pStyle w:val="TableFooter"/>
      </w:pPr>
      <w:r>
        <w:rPr>
          <w:vertAlign w:val="superscript"/>
        </w:rPr>
        <w:t>a</w:t>
      </w:r>
      <w:r>
        <w:t xml:space="preserve"> 32% was half of the general population survival after 25 years in patients aged 54 years</w:t>
      </w:r>
    </w:p>
    <w:p w14:paraId="4B82FCBD" w14:textId="40BA238D" w:rsidR="008A7568" w:rsidRDefault="008A7568">
      <w:pPr>
        <w:pStyle w:val="TableFooter"/>
      </w:pPr>
      <w:r>
        <w:t xml:space="preserve">* </w:t>
      </w:r>
      <w:r w:rsidR="00FA4B22">
        <w:t xml:space="preserve">The </w:t>
      </w:r>
      <w:r w:rsidR="00B50517">
        <w:t xml:space="preserve">applicant’s </w:t>
      </w:r>
      <w:r w:rsidR="00FA4B22">
        <w:t xml:space="preserve">pre-subcommittee </w:t>
      </w:r>
      <w:r w:rsidR="00B50517">
        <w:t>response</w:t>
      </w:r>
      <w:r w:rsidR="008D6B1B">
        <w:t xml:space="preserve"> (PSCR)</w:t>
      </w:r>
      <w:r w:rsidR="00B50517">
        <w:t xml:space="preserve"> </w:t>
      </w:r>
      <w:r w:rsidR="00624E46">
        <w:t xml:space="preserve">acknowledged that there was an error in the dose </w:t>
      </w:r>
      <w:r w:rsidR="008D6B1B">
        <w:t>adjustment</w:t>
      </w:r>
      <w:r w:rsidR="00624E46">
        <w:t xml:space="preserve"> </w:t>
      </w:r>
      <w:r w:rsidR="00CC1532">
        <w:t xml:space="preserve">data provided </w:t>
      </w:r>
      <w:r w:rsidR="00861862">
        <w:t>for</w:t>
      </w:r>
      <w:r w:rsidR="00624E46">
        <w:t xml:space="preserve"> Tx cycle 2 onwards</w:t>
      </w:r>
      <w:r w:rsidR="00F03EBB">
        <w:t>, and provided corrected data</w:t>
      </w:r>
      <w:r w:rsidR="008D6B1B">
        <w:t xml:space="preserve">. </w:t>
      </w:r>
    </w:p>
    <w:p w14:paraId="3C780BF2" w14:textId="3143509A" w:rsidR="002F03F5" w:rsidRPr="002A0545" w:rsidRDefault="008F23FF" w:rsidP="002A0545">
      <w:pPr>
        <w:pStyle w:val="MSACESParagraph"/>
        <w:spacing w:before="240"/>
        <w:jc w:val="left"/>
        <w:rPr>
          <w:rFonts w:ascii="Franklin Gothic Book" w:hAnsi="Franklin Gothic Book"/>
          <w:sz w:val="22"/>
        </w:rPr>
      </w:pPr>
      <w:r w:rsidRPr="002A0545">
        <w:rPr>
          <w:rFonts w:ascii="Franklin Gothic Book" w:hAnsi="Franklin Gothic Book"/>
          <w:sz w:val="22"/>
        </w:rPr>
        <w:t xml:space="preserve">The submission adopted a partition survival model consisting of the 3 health states: progression free (PF), progressed disease (PD), and death. Patients entered the model in the PF health state and received either selpercatinib or BSC. After each weekly cycle, patients either remained in the PF health state, transitioned to the PD health state (as per RECIST v1.1 defined disease progression), or died based on the background all-cause mortality rate (absorbing health state). Patients in the PD health state either remained or died. Patients in the PF health state were assumed to have stable disease or were not actively progressing, experienced PF utilities, and incurred costs associated with treatment and disease management. Patients in the PD health state experienced PD utilities and incurred disease management costs. Terminal care costs were incurred upon death. AE management (grade ≥3) costs and </w:t>
      </w:r>
      <w:proofErr w:type="spellStart"/>
      <w:r w:rsidRPr="002A0545">
        <w:rPr>
          <w:rFonts w:ascii="Franklin Gothic Book" w:hAnsi="Franklin Gothic Book"/>
          <w:sz w:val="22"/>
        </w:rPr>
        <w:t>disutilities</w:t>
      </w:r>
      <w:proofErr w:type="spellEnd"/>
      <w:r w:rsidRPr="002A0545">
        <w:rPr>
          <w:rFonts w:ascii="Franklin Gothic Book" w:hAnsi="Franklin Gothic Book"/>
          <w:sz w:val="22"/>
        </w:rPr>
        <w:t xml:space="preserve"> were incurred in both treatment arms as informed by the LIBRETTO-531 and EXAM trials. </w:t>
      </w:r>
    </w:p>
    <w:p w14:paraId="3C780BF3" w14:textId="7EACFC80"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submission did not incorporate test variables (i.e. costs and outcomes for false positive and false negative cohorts were not modelled) and instead the submission captured</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testing using NNT (2.97) (see Section 9 of the MSAC Executive Summary) and the proposed cost of</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testing ($400). The submission’s estimated cost per</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 xml:space="preserve">variant patient identified </w:t>
      </w:r>
      <w:r w:rsidRPr="002A0545">
        <w:rPr>
          <w:rFonts w:ascii="Franklin Gothic Book" w:hAnsi="Franklin Gothic Book"/>
          <w:sz w:val="22"/>
        </w:rPr>
        <w:lastRenderedPageBreak/>
        <w:t xml:space="preserve">was $1,189 and was applied to the selpercatinib arm. As noted in Section 9 of the MSAC Executive Summary, the NNT of 2.92 was the correct estimate and resulted in a cost of $1,169; regardless, the inputs informing this estimate were not applicable to the proposed test population. </w:t>
      </w:r>
    </w:p>
    <w:p w14:paraId="3C780BF4" w14:textId="2406F5BF"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commentary considered the application of testing to only the selpercatinib arm implied that the patients in the BSC arm had an unknown</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status; however, it was acknowledged that the submission’s approach was taken to capture</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in the absence of test sensitivity/specificity inputs. The commentary considered this approach may be reasonable given that PASC considered NGS and PCR to be the clinical utility standard for</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in Australia and that test analytical performance was not required to be assessed in this submission (p16, Ratified PICO Confirmation 1804). However, the commentary noted there may be a preference for NGS in practice, and the RCPA noted greater sensitivity with NGS compared PCR. Therefore, if laboratories in clinical practice opt for PCR there may be implications from false positive results (e.g., uncertain efficacy, increased AEs in</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false negative results (e.g., foregone benefit in</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and unknown test results (e.g., rebiopsy and/or retesting).</w:t>
      </w:r>
    </w:p>
    <w:p w14:paraId="3C780BF5" w14:textId="13326D72"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As discussed in Section 9 of the MSAC Executive Summary, the commentary noted that testing as captured by the NNT only considered testing in stage III/IV MTC patients with progressive and symptomatic disease, which did not capture the entire proposed test population (i.e., all patients diagnosed with MTC), nor was it consistent with the proposed population eligible for treatment (i.e. not restricted to patients with progressive disease). However, the commentary acknowledged that the claim of codependency was made on</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locally advanced or metastatic MTC.</w:t>
      </w:r>
    </w:p>
    <w:p w14:paraId="3C780BF6" w14:textId="354C33EA"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commentary’s analysis of the test scenario under different assumptions (see </w:t>
      </w:r>
      <w:r w:rsidR="00B7693E">
        <w:rPr>
          <w:rFonts w:ascii="Franklin Gothic Book" w:hAnsi="Franklin Gothic Book"/>
          <w:sz w:val="22"/>
        </w:rPr>
        <w:fldChar w:fldCharType="begin"/>
      </w:r>
      <w:r w:rsidR="00B7693E">
        <w:rPr>
          <w:rFonts w:ascii="Franklin Gothic Book" w:hAnsi="Franklin Gothic Book"/>
          <w:sz w:val="22"/>
        </w:rPr>
        <w:instrText xml:space="preserve"> REF _Ref226642770 \h  \* MERGEFORMAT </w:instrText>
      </w:r>
      <w:r w:rsidR="00B7693E">
        <w:rPr>
          <w:rFonts w:ascii="Franklin Gothic Book" w:hAnsi="Franklin Gothic Book"/>
          <w:sz w:val="22"/>
        </w:rPr>
      </w:r>
      <w:r w:rsidR="00B7693E">
        <w:rPr>
          <w:rFonts w:ascii="Franklin Gothic Book" w:hAnsi="Franklin Gothic Book"/>
          <w:sz w:val="22"/>
        </w:rPr>
        <w:fldChar w:fldCharType="separate"/>
      </w:r>
      <w:r w:rsidR="00B7693E" w:rsidRPr="00B7693E">
        <w:rPr>
          <w:rFonts w:ascii="Franklin Gothic Book" w:hAnsi="Franklin Gothic Book"/>
          <w:sz w:val="22"/>
        </w:rPr>
        <w:t>Table 7</w:t>
      </w:r>
      <w:r w:rsidR="00B7693E">
        <w:rPr>
          <w:rFonts w:ascii="Franklin Gothic Book" w:hAnsi="Franklin Gothic Book"/>
          <w:sz w:val="22"/>
        </w:rPr>
        <w:fldChar w:fldCharType="end"/>
      </w:r>
      <w:r w:rsidRPr="002A0545">
        <w:rPr>
          <w:rFonts w:ascii="Franklin Gothic Book" w:hAnsi="Franklin Gothic Book"/>
          <w:sz w:val="22"/>
        </w:rPr>
        <w:fldChar w:fldCharType="begin"/>
      </w:r>
      <w:r w:rsidRPr="002A0545">
        <w:rPr>
          <w:rFonts w:ascii="Franklin Gothic Book" w:hAnsi="Franklin Gothic Book"/>
          <w:sz w:val="22"/>
        </w:rPr>
        <w:instrText xml:space="preserve"> REF _Ref216362395 \h </w:instrText>
      </w:r>
      <w:r w:rsidR="002A0545" w:rsidRPr="002A0545">
        <w:rPr>
          <w:rFonts w:ascii="Franklin Gothic Book" w:hAnsi="Franklin Gothic Book"/>
          <w:sz w:val="22"/>
        </w:rPr>
        <w:instrText xml:space="preserve"> \* MERGEFORMAT </w:instrText>
      </w:r>
      <w:r w:rsidRPr="002A0545">
        <w:rPr>
          <w:rFonts w:ascii="Franklin Gothic Book" w:hAnsi="Franklin Gothic Book"/>
          <w:sz w:val="22"/>
        </w:rPr>
      </w:r>
      <w:r w:rsidRPr="002A0545">
        <w:rPr>
          <w:rFonts w:ascii="Franklin Gothic Book" w:hAnsi="Franklin Gothic Book"/>
          <w:sz w:val="22"/>
        </w:rPr>
        <w:fldChar w:fldCharType="separate"/>
      </w:r>
      <w:r w:rsidRPr="002A0545">
        <w:rPr>
          <w:rFonts w:ascii="Franklin Gothic Book" w:hAnsi="Franklin Gothic Book"/>
          <w:sz w:val="22"/>
        </w:rPr>
        <w:fldChar w:fldCharType="end"/>
      </w:r>
      <w:r w:rsidRPr="002A0545">
        <w:rPr>
          <w:rFonts w:ascii="Franklin Gothic Book" w:hAnsi="Franklin Gothic Book"/>
          <w:sz w:val="22"/>
        </w:rPr>
        <w:t>) led to the following implications for the estimated NNT and cost per patient:</w:t>
      </w:r>
    </w:p>
    <w:p w14:paraId="3C780BF7" w14:textId="52B6F6D4" w:rsidR="002F03F5" w:rsidRPr="002A0545" w:rsidRDefault="008F23FF" w:rsidP="002A0545">
      <w:pPr>
        <w:pStyle w:val="MainBodyBulletPoint"/>
        <w:rPr>
          <w:rFonts w:ascii="Franklin Gothic Book" w:hAnsi="Franklin Gothic Book"/>
        </w:rPr>
      </w:pPr>
      <w:r w:rsidRPr="002A0545">
        <w:rPr>
          <w:rFonts w:ascii="Franklin Gothic Book" w:hAnsi="Franklin Gothic Book"/>
        </w:rPr>
        <w:t>PICO Option 2: assuming that all patients with MTC were tested at diagnosis and irrespective of disease progression status led to an NNT of 1.43 and the cost per</w:t>
      </w:r>
      <w:r w:rsidRPr="002A0545">
        <w:rPr>
          <w:rFonts w:ascii="Franklin Gothic Book" w:hAnsi="Franklin Gothic Book"/>
          <w:i/>
        </w:rPr>
        <w:t xml:space="preserve"> </w:t>
      </w:r>
      <w:r w:rsidRPr="002A0545">
        <w:rPr>
          <w:rFonts w:ascii="Franklin Gothic Book" w:hAnsi="Franklin Gothic Book"/>
          <w:i/>
          <w:iCs/>
        </w:rPr>
        <w:t xml:space="preserve">RET </w:t>
      </w:r>
      <w:r w:rsidRPr="002A0545">
        <w:rPr>
          <w:rFonts w:ascii="Franklin Gothic Book" w:hAnsi="Franklin Gothic Book"/>
        </w:rPr>
        <w:t xml:space="preserve">variant patient estimated was $571.43. </w:t>
      </w:r>
    </w:p>
    <w:p w14:paraId="3C780BF8" w14:textId="77777777" w:rsidR="002F03F5" w:rsidRPr="002A0545" w:rsidRDefault="008F23FF" w:rsidP="002A0545">
      <w:pPr>
        <w:pStyle w:val="MainBodyBulletPoint"/>
        <w:rPr>
          <w:rFonts w:ascii="Franklin Gothic Book" w:hAnsi="Franklin Gothic Book"/>
        </w:rPr>
      </w:pPr>
      <w:r w:rsidRPr="002A0545">
        <w:rPr>
          <w:rFonts w:ascii="Franklin Gothic Book" w:hAnsi="Franklin Gothic Book"/>
        </w:rPr>
        <w:t xml:space="preserve">PICO Option 1: assuming that patients at stage III/IV were tested, irrespective of disease progression status led to an NNT of </w:t>
      </w:r>
      <w:r w:rsidRPr="002A0545">
        <w:rPr>
          <w:rFonts w:ascii="Franklin Gothic Book" w:hAnsi="Franklin Gothic Book"/>
          <w:i/>
          <w:iCs/>
        </w:rPr>
        <w:t>2.15</w:t>
      </w:r>
      <w:r w:rsidRPr="002A0545">
        <w:rPr>
          <w:rFonts w:ascii="Franklin Gothic Book" w:hAnsi="Franklin Gothic Book"/>
        </w:rPr>
        <w:t xml:space="preserve"> and the cost was $</w:t>
      </w:r>
      <w:r w:rsidRPr="002A0545">
        <w:rPr>
          <w:rFonts w:ascii="Franklin Gothic Book" w:hAnsi="Franklin Gothic Book"/>
          <w:i/>
          <w:iCs/>
        </w:rPr>
        <w:t>861.88</w:t>
      </w:r>
      <w:r w:rsidRPr="002A0545">
        <w:rPr>
          <w:rFonts w:ascii="Franklin Gothic Book" w:hAnsi="Franklin Gothic Book"/>
        </w:rPr>
        <w:t>.</w:t>
      </w:r>
    </w:p>
    <w:p w14:paraId="3C780BF9" w14:textId="286CD71F" w:rsidR="002F03F5" w:rsidRPr="002A0545" w:rsidRDefault="008F23FF" w:rsidP="002A0545">
      <w:pPr>
        <w:pStyle w:val="MainBodyBulletPoint"/>
        <w:rPr>
          <w:rFonts w:ascii="Franklin Gothic Book" w:hAnsi="Franklin Gothic Book"/>
        </w:rPr>
      </w:pPr>
      <w:r w:rsidRPr="002A0545">
        <w:rPr>
          <w:rFonts w:ascii="Franklin Gothic Book" w:hAnsi="Franklin Gothic Book"/>
        </w:rPr>
        <w:t>LIBRETTO-531 test population: assuming the test population was the same as LIBRETTO-531 led to an NNT of 3.87 and the cost was $1,550.15.</w:t>
      </w:r>
    </w:p>
    <w:p w14:paraId="3C780BFA" w14:textId="7285887D"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commentary noted that while somatic</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was expected once per lifetime, there may be circumstances where a second test would be conducted which was not considered in the model. For example:</w:t>
      </w:r>
    </w:p>
    <w:p w14:paraId="3C780BFB" w14:textId="77777777" w:rsidR="002F03F5" w:rsidRPr="002A0545" w:rsidRDefault="008F23FF" w:rsidP="00601076">
      <w:pPr>
        <w:pStyle w:val="3-BodyText"/>
        <w:numPr>
          <w:ilvl w:val="0"/>
          <w:numId w:val="6"/>
        </w:numPr>
        <w:jc w:val="left"/>
        <w:rPr>
          <w:rFonts w:ascii="Franklin Gothic Book" w:hAnsi="Franklin Gothic Book"/>
          <w:sz w:val="22"/>
        </w:rPr>
      </w:pPr>
      <w:r w:rsidRPr="002A0545">
        <w:rPr>
          <w:rFonts w:ascii="Franklin Gothic Book" w:hAnsi="Franklin Gothic Book"/>
          <w:sz w:val="22"/>
        </w:rPr>
        <w:t xml:space="preserve">If a patient developed treatment resistance, this may warrant a second test (p24, Ratified PICO Confirmation 1804). </w:t>
      </w:r>
    </w:p>
    <w:p w14:paraId="3C780BFC" w14:textId="77777777" w:rsidR="002F03F5" w:rsidRPr="002A0545" w:rsidRDefault="008F23FF" w:rsidP="00601076">
      <w:pPr>
        <w:pStyle w:val="3-BodyText"/>
        <w:numPr>
          <w:ilvl w:val="0"/>
          <w:numId w:val="6"/>
        </w:numPr>
        <w:jc w:val="left"/>
        <w:rPr>
          <w:rFonts w:ascii="Franklin Gothic Book" w:hAnsi="Franklin Gothic Book"/>
          <w:sz w:val="22"/>
        </w:rPr>
      </w:pPr>
      <w:r w:rsidRPr="002A0545">
        <w:rPr>
          <w:rFonts w:ascii="Franklin Gothic Book" w:hAnsi="Franklin Gothic Book"/>
          <w:sz w:val="22"/>
        </w:rPr>
        <w:t xml:space="preserve">Additional testing costs may be incurred if a patient was referred for germline testing. </w:t>
      </w:r>
    </w:p>
    <w:p w14:paraId="3C780BFD" w14:textId="07D22783" w:rsidR="002F03F5" w:rsidRPr="002A0545" w:rsidRDefault="008F23FF" w:rsidP="00601076">
      <w:pPr>
        <w:pStyle w:val="3-BodyText"/>
        <w:numPr>
          <w:ilvl w:val="0"/>
          <w:numId w:val="6"/>
        </w:numPr>
        <w:jc w:val="left"/>
        <w:rPr>
          <w:rFonts w:ascii="Franklin Gothic Book" w:hAnsi="Franklin Gothic Book"/>
          <w:sz w:val="22"/>
        </w:rPr>
      </w:pPr>
      <w:r w:rsidRPr="002A0545">
        <w:rPr>
          <w:rFonts w:ascii="Franklin Gothic Book" w:hAnsi="Franklin Gothic Book"/>
          <w:sz w:val="22"/>
        </w:rPr>
        <w:t>For patients whose test result was unknown (e.g., due to failed test sample or insufficient tissue sample) they may require rebiopsy and retesting.</w:t>
      </w:r>
    </w:p>
    <w:p w14:paraId="3C780BFE" w14:textId="79484A19" w:rsidR="002F03F5" w:rsidRPr="002A0545" w:rsidRDefault="008F23FF" w:rsidP="00601076">
      <w:pPr>
        <w:pStyle w:val="3-BodyText"/>
        <w:numPr>
          <w:ilvl w:val="0"/>
          <w:numId w:val="6"/>
        </w:numPr>
        <w:jc w:val="left"/>
        <w:rPr>
          <w:rFonts w:ascii="Franklin Gothic Book" w:hAnsi="Franklin Gothic Book"/>
          <w:sz w:val="22"/>
        </w:rPr>
      </w:pPr>
      <w:r w:rsidRPr="002A0545">
        <w:rPr>
          <w:rFonts w:ascii="Franklin Gothic Book" w:hAnsi="Franklin Gothic Book"/>
          <w:sz w:val="22"/>
        </w:rPr>
        <w:t>As discussed in Section 8 of the MSAC Executive Summary, given the indolent nature of MTC, for patients diagnosed many years prior to a distant metastasis, rebiopsy may be required to discern whether the tumour is metastatic disease or a different primary. In the case of metastatic disease, a secondary test may be performed to confirm</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status if the patient initially tested as</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wildtype in the primary tumour, but given the extended time between diagnosis and metastatic disease for some patients, retrieval of specimens/reports may no longer be possible, which would warrant a second test. </w:t>
      </w:r>
    </w:p>
    <w:p w14:paraId="3C780BFF" w14:textId="4913D452"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lastRenderedPageBreak/>
        <w:t>Regardless, the commentary noted</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variant testing cost to detect one patient with</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variant MTC as captured by NNT was not a key driver of the model (varying or omitting NNT led to &lt;1% changes in the ICER; see </w:t>
      </w:r>
      <w:r w:rsidR="00566FCD" w:rsidRPr="00566FCD">
        <w:rPr>
          <w:rFonts w:ascii="Franklin Gothic Book" w:hAnsi="Franklin Gothic Book"/>
          <w:sz w:val="22"/>
        </w:rPr>
        <w:fldChar w:fldCharType="begin"/>
      </w:r>
      <w:r w:rsidR="00566FCD" w:rsidRPr="00566FCD">
        <w:rPr>
          <w:rFonts w:ascii="Franklin Gothic Book" w:hAnsi="Franklin Gothic Book"/>
          <w:sz w:val="22"/>
        </w:rPr>
        <w:instrText xml:space="preserve"> REF _Ref226643682 \h  \* MERGEFORMAT </w:instrText>
      </w:r>
      <w:r w:rsidR="00566FCD" w:rsidRPr="00566FCD">
        <w:rPr>
          <w:rFonts w:ascii="Franklin Gothic Book" w:hAnsi="Franklin Gothic Book"/>
          <w:sz w:val="22"/>
        </w:rPr>
      </w:r>
      <w:r w:rsidR="00566FCD" w:rsidRPr="00566FCD">
        <w:rPr>
          <w:rFonts w:ascii="Franklin Gothic Book" w:hAnsi="Franklin Gothic Book"/>
          <w:sz w:val="22"/>
        </w:rPr>
        <w:fldChar w:fldCharType="separate"/>
      </w:r>
      <w:r w:rsidR="00566FCD" w:rsidRPr="00687588">
        <w:rPr>
          <w:rFonts w:ascii="Franklin Gothic Book" w:hAnsi="Franklin Gothic Book"/>
          <w:sz w:val="22"/>
        </w:rPr>
        <w:t xml:space="preserve">Table </w:t>
      </w:r>
      <w:r w:rsidR="00566FCD" w:rsidRPr="00687588">
        <w:rPr>
          <w:rFonts w:ascii="Franklin Gothic Book" w:hAnsi="Franklin Gothic Book"/>
          <w:noProof/>
          <w:sz w:val="22"/>
        </w:rPr>
        <w:t>12</w:t>
      </w:r>
      <w:r w:rsidR="00566FCD" w:rsidRPr="00566FCD">
        <w:rPr>
          <w:rFonts w:ascii="Franklin Gothic Book" w:hAnsi="Franklin Gothic Book"/>
          <w:sz w:val="22"/>
        </w:rPr>
        <w:fldChar w:fldCharType="end"/>
      </w:r>
      <w:r w:rsidRPr="002A0545">
        <w:rPr>
          <w:rFonts w:ascii="Franklin Gothic Book" w:hAnsi="Franklin Gothic Book"/>
          <w:sz w:val="22"/>
        </w:rPr>
        <w:fldChar w:fldCharType="begin"/>
      </w:r>
      <w:r w:rsidRPr="002A0545">
        <w:rPr>
          <w:rFonts w:ascii="Franklin Gothic Book" w:hAnsi="Franklin Gothic Book"/>
          <w:sz w:val="22"/>
        </w:rPr>
        <w:instrText xml:space="preserve"> REF _Ref216437335 \h </w:instrText>
      </w:r>
      <w:r w:rsidR="002A0545" w:rsidRPr="002A0545">
        <w:rPr>
          <w:rFonts w:ascii="Franklin Gothic Book" w:hAnsi="Franklin Gothic Book"/>
          <w:sz w:val="22"/>
        </w:rPr>
        <w:instrText xml:space="preserve"> \* MERGEFORMAT </w:instrText>
      </w:r>
      <w:r w:rsidRPr="002A0545">
        <w:rPr>
          <w:rFonts w:ascii="Franklin Gothic Book" w:hAnsi="Franklin Gothic Book"/>
          <w:sz w:val="22"/>
        </w:rPr>
      </w:r>
      <w:r w:rsidRPr="002A0545">
        <w:rPr>
          <w:rFonts w:ascii="Franklin Gothic Book" w:hAnsi="Franklin Gothic Book"/>
          <w:sz w:val="22"/>
        </w:rPr>
        <w:fldChar w:fldCharType="separate"/>
      </w:r>
      <w:r w:rsidR="005B2039">
        <w:rPr>
          <w:rFonts w:ascii="Franklin Gothic Book" w:hAnsi="Franklin Gothic Book"/>
          <w:b/>
          <w:bCs/>
          <w:sz w:val="22"/>
          <w:lang w:val="en-GB"/>
        </w:rPr>
        <w:t>.</w:t>
      </w:r>
      <w:r w:rsidRPr="002A0545">
        <w:rPr>
          <w:rFonts w:ascii="Franklin Gothic Book" w:hAnsi="Franklin Gothic Book"/>
          <w:sz w:val="22"/>
        </w:rPr>
        <w:fldChar w:fldCharType="end"/>
      </w:r>
      <w:r w:rsidRPr="002A0545">
        <w:rPr>
          <w:rFonts w:ascii="Franklin Gothic Book" w:hAnsi="Franklin Gothic Book"/>
          <w:sz w:val="22"/>
        </w:rPr>
        <w:t xml:space="preserve">). </w:t>
      </w:r>
    </w:p>
    <w:p w14:paraId="3C780C00" w14:textId="6BE676DD"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commentary noted the model was built to incorporate sensitivity and specificity parameters. However, implications of varying test parameters in the model were not considered reliable by the commentary since </w:t>
      </w:r>
      <w:proofErr w:type="gramStart"/>
      <w:r w:rsidRPr="002A0545">
        <w:rPr>
          <w:rFonts w:ascii="Franklin Gothic Book" w:hAnsi="Franklin Gothic Book"/>
          <w:sz w:val="22"/>
        </w:rPr>
        <w:t>this only impacted costs</w:t>
      </w:r>
      <w:proofErr w:type="gramEnd"/>
      <w:r w:rsidRPr="002A0545">
        <w:rPr>
          <w:rFonts w:ascii="Franklin Gothic Book" w:hAnsi="Franklin Gothic Book"/>
          <w:sz w:val="22"/>
        </w:rPr>
        <w:t xml:space="preserve"> and lacked inputs for selpercatinib treatment effect in patients with</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wildtype </w:t>
      </w:r>
      <w:proofErr w:type="gramStart"/>
      <w:r w:rsidRPr="002A0545">
        <w:rPr>
          <w:rFonts w:ascii="Franklin Gothic Book" w:hAnsi="Franklin Gothic Book"/>
          <w:sz w:val="22"/>
        </w:rPr>
        <w:t>MTC, and</w:t>
      </w:r>
      <w:proofErr w:type="gramEnd"/>
      <w:r w:rsidRPr="002A0545">
        <w:rPr>
          <w:rFonts w:ascii="Franklin Gothic Book" w:hAnsi="Franklin Gothic Book"/>
          <w:sz w:val="22"/>
        </w:rPr>
        <w:t xml:space="preserve"> did not include implications from false results (e.g. utility decrement due to incorrect treatment received) or unknown test results (e.g. rebiopsy).</w:t>
      </w:r>
    </w:p>
    <w:p w14:paraId="3C780C01" w14:textId="344FB8EE"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Markov traces for the selpercatinib and BSC arms are shown in </w:t>
      </w:r>
      <w:r w:rsidRPr="002A0545">
        <w:rPr>
          <w:rFonts w:ascii="Franklin Gothic Book" w:hAnsi="Franklin Gothic Book"/>
          <w:sz w:val="22"/>
        </w:rPr>
        <w:fldChar w:fldCharType="begin"/>
      </w:r>
      <w:r w:rsidRPr="002A0545">
        <w:rPr>
          <w:rFonts w:ascii="Franklin Gothic Book" w:hAnsi="Franklin Gothic Book"/>
          <w:sz w:val="22"/>
        </w:rPr>
        <w:instrText xml:space="preserve"> REF _Ref216527990 \h </w:instrText>
      </w:r>
      <w:r w:rsidR="002A0545" w:rsidRPr="002A0545">
        <w:rPr>
          <w:rFonts w:ascii="Franklin Gothic Book" w:hAnsi="Franklin Gothic Book"/>
          <w:sz w:val="22"/>
        </w:rPr>
        <w:instrText xml:space="preserve"> \* MERGEFORMAT </w:instrText>
      </w:r>
      <w:r w:rsidRPr="002A0545">
        <w:rPr>
          <w:rFonts w:ascii="Franklin Gothic Book" w:hAnsi="Franklin Gothic Book"/>
          <w:sz w:val="22"/>
        </w:rPr>
      </w:r>
      <w:r w:rsidRPr="002A0545">
        <w:rPr>
          <w:rFonts w:ascii="Franklin Gothic Book" w:hAnsi="Franklin Gothic Book"/>
          <w:sz w:val="22"/>
        </w:rPr>
        <w:fldChar w:fldCharType="separate"/>
      </w:r>
      <w:r w:rsidR="005B2039" w:rsidRPr="00687588">
        <w:rPr>
          <w:rFonts w:ascii="Franklin Gothic Book" w:hAnsi="Franklin Gothic Book"/>
          <w:sz w:val="22"/>
        </w:rPr>
        <w:t>Figure 1</w:t>
      </w:r>
      <w:r w:rsidRPr="002A0545">
        <w:rPr>
          <w:rFonts w:ascii="Franklin Gothic Book" w:hAnsi="Franklin Gothic Book"/>
          <w:sz w:val="22"/>
        </w:rPr>
        <w:fldChar w:fldCharType="end"/>
      </w:r>
      <w:r w:rsidRPr="002A0545">
        <w:rPr>
          <w:rFonts w:ascii="Franklin Gothic Book" w:hAnsi="Franklin Gothic Book"/>
          <w:sz w:val="22"/>
        </w:rPr>
        <w:t xml:space="preserve"> and </w:t>
      </w:r>
      <w:r w:rsidRPr="002A0545">
        <w:rPr>
          <w:rFonts w:ascii="Franklin Gothic Book" w:hAnsi="Franklin Gothic Book"/>
          <w:sz w:val="22"/>
        </w:rPr>
        <w:fldChar w:fldCharType="begin"/>
      </w:r>
      <w:r w:rsidRPr="002A0545">
        <w:rPr>
          <w:rFonts w:ascii="Franklin Gothic Book" w:hAnsi="Franklin Gothic Book"/>
          <w:sz w:val="22"/>
        </w:rPr>
        <w:instrText xml:space="preserve"> REF _Ref216527988 \h </w:instrText>
      </w:r>
      <w:r w:rsidR="002A0545" w:rsidRPr="002A0545">
        <w:rPr>
          <w:rFonts w:ascii="Franklin Gothic Book" w:hAnsi="Franklin Gothic Book"/>
          <w:sz w:val="22"/>
        </w:rPr>
        <w:instrText xml:space="preserve"> \* MERGEFORMAT </w:instrText>
      </w:r>
      <w:r w:rsidRPr="002A0545">
        <w:rPr>
          <w:rFonts w:ascii="Franklin Gothic Book" w:hAnsi="Franklin Gothic Book"/>
          <w:sz w:val="22"/>
        </w:rPr>
      </w:r>
      <w:r w:rsidRPr="002A0545">
        <w:rPr>
          <w:rFonts w:ascii="Franklin Gothic Book" w:hAnsi="Franklin Gothic Book"/>
          <w:sz w:val="22"/>
        </w:rPr>
        <w:fldChar w:fldCharType="separate"/>
      </w:r>
      <w:r w:rsidR="005B2039" w:rsidRPr="00687588">
        <w:rPr>
          <w:rFonts w:ascii="Franklin Gothic Book" w:hAnsi="Franklin Gothic Book"/>
          <w:sz w:val="22"/>
        </w:rPr>
        <w:t>Figure 2</w:t>
      </w:r>
      <w:r w:rsidRPr="002A0545">
        <w:rPr>
          <w:rFonts w:ascii="Franklin Gothic Book" w:hAnsi="Franklin Gothic Book"/>
          <w:sz w:val="22"/>
        </w:rPr>
        <w:fldChar w:fldCharType="end"/>
      </w:r>
      <w:r w:rsidRPr="002A0545">
        <w:rPr>
          <w:rFonts w:ascii="Franklin Gothic Book" w:hAnsi="Franklin Gothic Book"/>
          <w:sz w:val="22"/>
        </w:rPr>
        <w:t>.</w:t>
      </w:r>
    </w:p>
    <w:p w14:paraId="3C780C02" w14:textId="71765B79" w:rsidR="002F03F5" w:rsidRDefault="008F23FF">
      <w:pPr>
        <w:pStyle w:val="Caption"/>
      </w:pPr>
      <w:bookmarkStart w:id="39" w:name="_Ref216527990"/>
      <w:r>
        <w:t xml:space="preserve">Figure </w:t>
      </w:r>
      <w:r>
        <w:fldChar w:fldCharType="begin"/>
      </w:r>
      <w:r>
        <w:instrText>SEQ Figure_MSAC. \* ARABIC</w:instrText>
      </w:r>
      <w:r>
        <w:fldChar w:fldCharType="separate"/>
      </w:r>
      <w:r w:rsidR="005B2039">
        <w:rPr>
          <w:noProof/>
        </w:rPr>
        <w:t>1</w:t>
      </w:r>
      <w:r>
        <w:fldChar w:fldCharType="end"/>
      </w:r>
      <w:bookmarkEnd w:id="39"/>
      <w:r>
        <w:tab/>
        <w:t>Markov trace - selpercatinib</w:t>
      </w:r>
    </w:p>
    <w:p w14:paraId="3C780C03" w14:textId="77777777" w:rsidR="002F03F5" w:rsidRDefault="008F23FF" w:rsidP="00687588">
      <w:pPr>
        <w:pStyle w:val="3-BodyText"/>
        <w:numPr>
          <w:ilvl w:val="0"/>
          <w:numId w:val="0"/>
        </w:numPr>
        <w:ind w:left="720"/>
      </w:pPr>
      <w:r>
        <w:rPr>
          <w:noProof/>
        </w:rPr>
        <w:drawing>
          <wp:inline distT="0" distB="0" distL="0" distR="0" wp14:anchorId="3C7815C3" wp14:editId="1A98CEE8">
            <wp:extent cx="5627370" cy="3365500"/>
            <wp:effectExtent l="0" t="0" r="0" b="0"/>
            <wp:docPr id="1" name="Picture 10" descr="A graph of different coloured lines showing the Markov traces for the selpercatinib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A graph of different coloured lines showing the Markov traces for the selpercatinib arm."/>
                    <pic:cNvPicPr>
                      <a:picLocks noChangeAspect="1" noChangeArrowheads="1"/>
                    </pic:cNvPicPr>
                  </pic:nvPicPr>
                  <pic:blipFill>
                    <a:blip r:embed="rId14"/>
                    <a:stretch>
                      <a:fillRect/>
                    </a:stretch>
                  </pic:blipFill>
                  <pic:spPr bwMode="auto">
                    <a:xfrm>
                      <a:off x="0" y="0"/>
                      <a:ext cx="5627370" cy="3365500"/>
                    </a:xfrm>
                    <a:prstGeom prst="rect">
                      <a:avLst/>
                    </a:prstGeom>
                    <a:noFill/>
                  </pic:spPr>
                </pic:pic>
              </a:graphicData>
            </a:graphic>
          </wp:inline>
        </w:drawing>
      </w:r>
    </w:p>
    <w:p w14:paraId="3C780C04" w14:textId="77777777" w:rsidR="002F03F5" w:rsidRDefault="008F23FF">
      <w:pPr>
        <w:pStyle w:val="TableFooter"/>
      </w:pPr>
      <w:r>
        <w:t>Source: ‘Markov trace’ worksheet from the economic model</w:t>
      </w:r>
    </w:p>
    <w:p w14:paraId="3C780C05" w14:textId="340756CE" w:rsidR="002F03F5" w:rsidRDefault="008F23FF">
      <w:pPr>
        <w:pStyle w:val="Caption"/>
      </w:pPr>
      <w:bookmarkStart w:id="40" w:name="_Ref216527988"/>
      <w:r>
        <w:lastRenderedPageBreak/>
        <w:t xml:space="preserve">Figure </w:t>
      </w:r>
      <w:r>
        <w:fldChar w:fldCharType="begin"/>
      </w:r>
      <w:r>
        <w:instrText>SEQ Figure_MSAC. \* ARABIC</w:instrText>
      </w:r>
      <w:r>
        <w:fldChar w:fldCharType="separate"/>
      </w:r>
      <w:r w:rsidR="005B2039">
        <w:rPr>
          <w:noProof/>
        </w:rPr>
        <w:t>2</w:t>
      </w:r>
      <w:r>
        <w:fldChar w:fldCharType="end"/>
      </w:r>
      <w:bookmarkEnd w:id="40"/>
      <w:r>
        <w:tab/>
        <w:t>Markov trace - BSC</w:t>
      </w:r>
    </w:p>
    <w:p w14:paraId="3C780C06" w14:textId="77777777" w:rsidR="002F03F5" w:rsidRDefault="008F23FF">
      <w:pPr>
        <w:pStyle w:val="3-BodyText"/>
        <w:numPr>
          <w:ilvl w:val="0"/>
          <w:numId w:val="0"/>
        </w:numPr>
        <w:ind w:left="720"/>
      </w:pPr>
      <w:r>
        <w:rPr>
          <w:noProof/>
        </w:rPr>
        <w:drawing>
          <wp:inline distT="0" distB="0" distL="0" distR="0" wp14:anchorId="3C7815C5" wp14:editId="1C4D434C">
            <wp:extent cx="5645150" cy="3359150"/>
            <wp:effectExtent l="0" t="0" r="0" b="0"/>
            <wp:docPr id="2" name="Picture 9" descr="A graph of different coloured lines showing the Markov traces for the BS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9" descr="A graph of different coloured lines showing the Markov traces for the BSC arm."/>
                    <pic:cNvPicPr>
                      <a:picLocks noChangeAspect="1" noChangeArrowheads="1"/>
                    </pic:cNvPicPr>
                  </pic:nvPicPr>
                  <pic:blipFill>
                    <a:blip r:embed="rId15"/>
                    <a:stretch>
                      <a:fillRect/>
                    </a:stretch>
                  </pic:blipFill>
                  <pic:spPr bwMode="auto">
                    <a:xfrm>
                      <a:off x="0" y="0"/>
                      <a:ext cx="5645150" cy="3359150"/>
                    </a:xfrm>
                    <a:prstGeom prst="rect">
                      <a:avLst/>
                    </a:prstGeom>
                    <a:noFill/>
                  </pic:spPr>
                </pic:pic>
              </a:graphicData>
            </a:graphic>
          </wp:inline>
        </w:drawing>
      </w:r>
    </w:p>
    <w:p w14:paraId="3C780C07" w14:textId="77777777" w:rsidR="002F03F5" w:rsidRDefault="008F23FF">
      <w:pPr>
        <w:pStyle w:val="TableFooter"/>
      </w:pPr>
      <w:r>
        <w:t>Source: ‘Markov trace’ worksheet from the economic model</w:t>
      </w:r>
    </w:p>
    <w:p w14:paraId="3C780C09" w14:textId="503AED74" w:rsidR="002F03F5" w:rsidRDefault="008F23FF" w:rsidP="002A0545">
      <w:pPr>
        <w:pStyle w:val="TableFooter"/>
        <w:spacing w:after="240"/>
      </w:pPr>
      <w:r>
        <w:t>BSC = best supportive care</w:t>
      </w:r>
    </w:p>
    <w:p w14:paraId="3C780C0A" w14:textId="68E862BB" w:rsidR="002F03F5" w:rsidRPr="007066DA"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An overview of the base case incremental cost effectiveness ratio (ICER) is shown in </w:t>
      </w:r>
      <w:r w:rsidR="007066DA" w:rsidRPr="007066DA">
        <w:rPr>
          <w:rFonts w:ascii="Franklin Gothic Book" w:hAnsi="Franklin Gothic Book"/>
          <w:sz w:val="22"/>
        </w:rPr>
        <w:fldChar w:fldCharType="begin"/>
      </w:r>
      <w:r w:rsidR="007066DA" w:rsidRPr="007066DA">
        <w:rPr>
          <w:rFonts w:ascii="Franklin Gothic Book" w:hAnsi="Franklin Gothic Book"/>
          <w:sz w:val="22"/>
        </w:rPr>
        <w:instrText xml:space="preserve"> REF _Ref226643634 \h  \* MERGEFORMAT </w:instrText>
      </w:r>
      <w:r w:rsidR="007066DA" w:rsidRPr="007066DA">
        <w:rPr>
          <w:rFonts w:ascii="Franklin Gothic Book" w:hAnsi="Franklin Gothic Book"/>
          <w:sz w:val="22"/>
        </w:rPr>
      </w:r>
      <w:r w:rsidR="007066DA" w:rsidRPr="007066DA">
        <w:rPr>
          <w:rFonts w:ascii="Franklin Gothic Book" w:hAnsi="Franklin Gothic Book"/>
          <w:sz w:val="22"/>
        </w:rPr>
        <w:fldChar w:fldCharType="separate"/>
      </w:r>
      <w:r w:rsidR="007066DA" w:rsidRPr="00687588">
        <w:rPr>
          <w:rFonts w:ascii="Franklin Gothic Book" w:hAnsi="Franklin Gothic Book"/>
          <w:sz w:val="22"/>
        </w:rPr>
        <w:t xml:space="preserve">Table </w:t>
      </w:r>
      <w:r w:rsidR="007066DA" w:rsidRPr="00687588">
        <w:rPr>
          <w:rFonts w:ascii="Franklin Gothic Book" w:hAnsi="Franklin Gothic Book"/>
          <w:noProof/>
          <w:sz w:val="22"/>
        </w:rPr>
        <w:t>10</w:t>
      </w:r>
      <w:r w:rsidR="007066DA" w:rsidRPr="007066DA">
        <w:rPr>
          <w:rFonts w:ascii="Franklin Gothic Book" w:hAnsi="Franklin Gothic Book"/>
          <w:sz w:val="22"/>
        </w:rPr>
        <w:fldChar w:fldCharType="end"/>
      </w:r>
      <w:r w:rsidRPr="007066DA">
        <w:rPr>
          <w:rFonts w:ascii="Franklin Gothic Book" w:hAnsi="Franklin Gothic Book"/>
          <w:sz w:val="22"/>
        </w:rPr>
        <w:fldChar w:fldCharType="begin"/>
      </w:r>
      <w:r w:rsidRPr="007066DA">
        <w:rPr>
          <w:rFonts w:ascii="Franklin Gothic Book" w:hAnsi="Franklin Gothic Book"/>
          <w:sz w:val="22"/>
        </w:rPr>
        <w:instrText xml:space="preserve"> REF _Ref216434376 \h </w:instrText>
      </w:r>
      <w:r w:rsidR="002A0545" w:rsidRPr="007066DA">
        <w:rPr>
          <w:rFonts w:ascii="Franklin Gothic Book" w:hAnsi="Franklin Gothic Book"/>
          <w:sz w:val="22"/>
        </w:rPr>
        <w:instrText xml:space="preserve"> \* MERGEFORMAT </w:instrText>
      </w:r>
      <w:r w:rsidRPr="007066DA">
        <w:rPr>
          <w:rFonts w:ascii="Franklin Gothic Book" w:hAnsi="Franklin Gothic Book"/>
          <w:sz w:val="22"/>
        </w:rPr>
      </w:r>
      <w:r w:rsidRPr="007066DA">
        <w:rPr>
          <w:rFonts w:ascii="Franklin Gothic Book" w:hAnsi="Franklin Gothic Book"/>
          <w:sz w:val="22"/>
        </w:rPr>
        <w:fldChar w:fldCharType="separate"/>
      </w:r>
      <w:r w:rsidR="005B2039">
        <w:rPr>
          <w:rFonts w:ascii="Franklin Gothic Book" w:hAnsi="Franklin Gothic Book"/>
          <w:b/>
          <w:bCs/>
          <w:sz w:val="22"/>
          <w:lang w:val="en-GB"/>
        </w:rPr>
        <w:t>.</w:t>
      </w:r>
      <w:r w:rsidRPr="007066DA">
        <w:rPr>
          <w:rFonts w:ascii="Franklin Gothic Book" w:hAnsi="Franklin Gothic Book"/>
          <w:sz w:val="22"/>
        </w:rPr>
        <w:fldChar w:fldCharType="end"/>
      </w:r>
      <w:r w:rsidRPr="007066DA">
        <w:rPr>
          <w:rFonts w:ascii="Franklin Gothic Book" w:hAnsi="Franklin Gothic Book"/>
          <w:sz w:val="22"/>
        </w:rPr>
        <w:t xml:space="preserve"> and disaggregated results in</w:t>
      </w:r>
      <w:r w:rsidR="007066DA" w:rsidRPr="007066DA">
        <w:rPr>
          <w:rFonts w:ascii="Franklin Gothic Book" w:hAnsi="Franklin Gothic Book"/>
          <w:sz w:val="22"/>
        </w:rPr>
        <w:t xml:space="preserve"> </w:t>
      </w:r>
      <w:r w:rsidR="007066DA" w:rsidRPr="007066DA">
        <w:rPr>
          <w:rFonts w:ascii="Franklin Gothic Book" w:hAnsi="Franklin Gothic Book"/>
          <w:sz w:val="22"/>
        </w:rPr>
        <w:fldChar w:fldCharType="begin"/>
      </w:r>
      <w:r w:rsidR="007066DA" w:rsidRPr="007066DA">
        <w:rPr>
          <w:rFonts w:ascii="Franklin Gothic Book" w:hAnsi="Franklin Gothic Book"/>
          <w:sz w:val="22"/>
        </w:rPr>
        <w:instrText xml:space="preserve"> REF _Ref226643641 \h  \* MERGEFORMAT </w:instrText>
      </w:r>
      <w:r w:rsidR="007066DA" w:rsidRPr="007066DA">
        <w:rPr>
          <w:rFonts w:ascii="Franklin Gothic Book" w:hAnsi="Franklin Gothic Book"/>
          <w:sz w:val="22"/>
        </w:rPr>
      </w:r>
      <w:r w:rsidR="007066DA" w:rsidRPr="007066DA">
        <w:rPr>
          <w:rFonts w:ascii="Franklin Gothic Book" w:hAnsi="Franklin Gothic Book"/>
          <w:sz w:val="22"/>
        </w:rPr>
        <w:fldChar w:fldCharType="separate"/>
      </w:r>
      <w:r w:rsidR="007066DA" w:rsidRPr="00687588">
        <w:rPr>
          <w:rFonts w:ascii="Franklin Gothic Book" w:hAnsi="Franklin Gothic Book"/>
          <w:sz w:val="22"/>
        </w:rPr>
        <w:t xml:space="preserve">Table </w:t>
      </w:r>
      <w:r w:rsidR="007066DA" w:rsidRPr="00687588">
        <w:rPr>
          <w:rFonts w:ascii="Franklin Gothic Book" w:hAnsi="Franklin Gothic Book"/>
          <w:noProof/>
          <w:sz w:val="22"/>
        </w:rPr>
        <w:t>11</w:t>
      </w:r>
      <w:r w:rsidR="007066DA" w:rsidRPr="007066DA">
        <w:rPr>
          <w:rFonts w:ascii="Franklin Gothic Book" w:hAnsi="Franklin Gothic Book"/>
          <w:sz w:val="22"/>
        </w:rPr>
        <w:fldChar w:fldCharType="end"/>
      </w:r>
      <w:r w:rsidRPr="007066DA">
        <w:rPr>
          <w:rFonts w:ascii="Franklin Gothic Book" w:hAnsi="Franklin Gothic Book"/>
          <w:sz w:val="22"/>
        </w:rPr>
        <w:t xml:space="preserve"> </w:t>
      </w:r>
      <w:r w:rsidRPr="007066DA">
        <w:rPr>
          <w:rFonts w:ascii="Franklin Gothic Book" w:hAnsi="Franklin Gothic Book"/>
          <w:sz w:val="22"/>
        </w:rPr>
        <w:fldChar w:fldCharType="begin"/>
      </w:r>
      <w:r w:rsidRPr="007066DA">
        <w:rPr>
          <w:rFonts w:ascii="Franklin Gothic Book" w:hAnsi="Franklin Gothic Book"/>
          <w:sz w:val="22"/>
        </w:rPr>
        <w:instrText xml:space="preserve"> REF _Ref216434383 \h </w:instrText>
      </w:r>
      <w:r w:rsidR="002A0545" w:rsidRPr="007066DA">
        <w:rPr>
          <w:rFonts w:ascii="Franklin Gothic Book" w:hAnsi="Franklin Gothic Book"/>
          <w:sz w:val="22"/>
        </w:rPr>
        <w:instrText xml:space="preserve"> \* MERGEFORMAT </w:instrText>
      </w:r>
      <w:r w:rsidRPr="007066DA">
        <w:rPr>
          <w:rFonts w:ascii="Franklin Gothic Book" w:hAnsi="Franklin Gothic Book"/>
          <w:sz w:val="22"/>
        </w:rPr>
      </w:r>
      <w:r w:rsidRPr="007066DA">
        <w:rPr>
          <w:rFonts w:ascii="Franklin Gothic Book" w:hAnsi="Franklin Gothic Book"/>
          <w:sz w:val="22"/>
        </w:rPr>
        <w:fldChar w:fldCharType="separate"/>
      </w:r>
      <w:r w:rsidRPr="007066DA">
        <w:rPr>
          <w:rFonts w:ascii="Franklin Gothic Book" w:hAnsi="Franklin Gothic Book"/>
          <w:sz w:val="22"/>
        </w:rPr>
        <w:fldChar w:fldCharType="end"/>
      </w:r>
      <w:r w:rsidRPr="007066DA">
        <w:rPr>
          <w:rFonts w:ascii="Franklin Gothic Book" w:hAnsi="Franklin Gothic Book"/>
          <w:sz w:val="22"/>
        </w:rPr>
        <w:t>.</w:t>
      </w:r>
    </w:p>
    <w:p w14:paraId="3C780C0B" w14:textId="1056A076" w:rsidR="002F03F5" w:rsidRDefault="007066DA" w:rsidP="008E13DB">
      <w:pPr>
        <w:pStyle w:val="Caption"/>
        <w:keepNext w:val="0"/>
      </w:pPr>
      <w:bookmarkStart w:id="41" w:name="_Ref226643634"/>
      <w:r>
        <w:t xml:space="preserve">Table </w:t>
      </w:r>
      <w:r>
        <w:fldChar w:fldCharType="begin"/>
      </w:r>
      <w:r>
        <w:instrText>SEQ Table \* ARABIC</w:instrText>
      </w:r>
      <w:r>
        <w:fldChar w:fldCharType="separate"/>
      </w:r>
      <w:r w:rsidR="005B2039">
        <w:rPr>
          <w:noProof/>
        </w:rPr>
        <w:t>10</w:t>
      </w:r>
      <w:r>
        <w:fldChar w:fldCharType="end"/>
      </w:r>
      <w:bookmarkEnd w:id="41"/>
      <w:r>
        <w:t xml:space="preserve"> </w:t>
      </w:r>
      <w:r w:rsidR="008F23FF">
        <w:t>Results of the stepped economic evaluation</w:t>
      </w:r>
    </w:p>
    <w:tbl>
      <w:tblPr>
        <w:tblW w:w="5000" w:type="pct"/>
        <w:tblLayout w:type="fixed"/>
        <w:tblCellMar>
          <w:left w:w="28" w:type="dxa"/>
          <w:right w:w="28" w:type="dxa"/>
        </w:tblCellMar>
        <w:tblLook w:val="01E0" w:firstRow="1" w:lastRow="1" w:firstColumn="1" w:lastColumn="1" w:noHBand="0" w:noVBand="0"/>
      </w:tblPr>
      <w:tblGrid>
        <w:gridCol w:w="2755"/>
        <w:gridCol w:w="2084"/>
        <w:gridCol w:w="2084"/>
        <w:gridCol w:w="2093"/>
      </w:tblGrid>
      <w:tr w:rsidR="002F03F5" w14:paraId="3C780C10" w14:textId="77777777" w:rsidTr="00FC7CAF">
        <w:trPr>
          <w:tblHeader/>
        </w:trPr>
        <w:tc>
          <w:tcPr>
            <w:tcW w:w="2759" w:type="dxa"/>
            <w:tcBorders>
              <w:top w:val="single" w:sz="4" w:space="0" w:color="000000"/>
              <w:left w:val="single" w:sz="4" w:space="0" w:color="000000"/>
              <w:bottom w:val="single" w:sz="4" w:space="0" w:color="000000"/>
              <w:right w:val="single" w:sz="4" w:space="0" w:color="000000"/>
            </w:tcBorders>
            <w:vAlign w:val="center"/>
          </w:tcPr>
          <w:p w14:paraId="3C780C0C" w14:textId="77777777" w:rsidR="002F03F5" w:rsidRDefault="008F23FF" w:rsidP="008E13DB">
            <w:pPr>
              <w:pStyle w:val="TableRowHeader"/>
            </w:pPr>
            <w:r>
              <w:t>Step and component</w:t>
            </w:r>
          </w:p>
        </w:tc>
        <w:tc>
          <w:tcPr>
            <w:tcW w:w="2086" w:type="dxa"/>
            <w:tcBorders>
              <w:top w:val="single" w:sz="4" w:space="0" w:color="000000"/>
              <w:left w:val="single" w:sz="4" w:space="0" w:color="000000"/>
              <w:bottom w:val="single" w:sz="4" w:space="0" w:color="000000"/>
              <w:right w:val="single" w:sz="4" w:space="0" w:color="000000"/>
            </w:tcBorders>
            <w:vAlign w:val="center"/>
          </w:tcPr>
          <w:p w14:paraId="3C780C0D" w14:textId="77777777" w:rsidR="002F03F5" w:rsidRDefault="008F23FF" w:rsidP="008E13DB">
            <w:pPr>
              <w:pStyle w:val="TableRowHeader"/>
            </w:pPr>
            <w:r>
              <w:t>Selpercatinib</w:t>
            </w:r>
          </w:p>
        </w:tc>
        <w:tc>
          <w:tcPr>
            <w:tcW w:w="2086" w:type="dxa"/>
            <w:tcBorders>
              <w:top w:val="single" w:sz="4" w:space="0" w:color="000000"/>
              <w:left w:val="single" w:sz="4" w:space="0" w:color="000000"/>
              <w:bottom w:val="single" w:sz="4" w:space="0" w:color="000000"/>
              <w:right w:val="single" w:sz="4" w:space="0" w:color="000000"/>
            </w:tcBorders>
            <w:vAlign w:val="center"/>
          </w:tcPr>
          <w:p w14:paraId="3C780C0E" w14:textId="77777777" w:rsidR="002F03F5" w:rsidRDefault="008F23FF" w:rsidP="008E13DB">
            <w:pPr>
              <w:pStyle w:val="TableRowHeader"/>
            </w:pPr>
            <w:r>
              <w:t>BSC</w:t>
            </w:r>
          </w:p>
        </w:tc>
        <w:tc>
          <w:tcPr>
            <w:tcW w:w="2095" w:type="dxa"/>
            <w:tcBorders>
              <w:top w:val="single" w:sz="4" w:space="0" w:color="000000"/>
              <w:left w:val="single" w:sz="4" w:space="0" w:color="000000"/>
              <w:bottom w:val="single" w:sz="4" w:space="0" w:color="000000"/>
              <w:right w:val="single" w:sz="4" w:space="0" w:color="000000"/>
            </w:tcBorders>
            <w:vAlign w:val="center"/>
          </w:tcPr>
          <w:p w14:paraId="3C780C0F" w14:textId="77777777" w:rsidR="002F03F5" w:rsidRDefault="008F23FF" w:rsidP="008E13DB">
            <w:pPr>
              <w:pStyle w:val="TableRowHeader"/>
            </w:pPr>
            <w:r>
              <w:t>Increment</w:t>
            </w:r>
          </w:p>
        </w:tc>
      </w:tr>
      <w:tr w:rsidR="002F03F5" w14:paraId="3C780C12" w14:textId="77777777" w:rsidTr="00FC7CAF">
        <w:tc>
          <w:tcPr>
            <w:tcW w:w="9026" w:type="dxa"/>
            <w:gridSpan w:val="4"/>
            <w:tcBorders>
              <w:top w:val="single" w:sz="4" w:space="0" w:color="000000"/>
              <w:left w:val="single" w:sz="4" w:space="0" w:color="000000"/>
              <w:bottom w:val="single" w:sz="4" w:space="0" w:color="000000"/>
              <w:right w:val="single" w:sz="4" w:space="0" w:color="000000"/>
            </w:tcBorders>
            <w:vAlign w:val="center"/>
          </w:tcPr>
          <w:p w14:paraId="3C780C11" w14:textId="77777777" w:rsidR="002F03F5" w:rsidRDefault="008F23FF" w:rsidP="008E13DB">
            <w:pPr>
              <w:pStyle w:val="TableText"/>
              <w:rPr>
                <w:b/>
                <w:bCs/>
              </w:rPr>
            </w:pPr>
            <w:r>
              <w:rPr>
                <w:b/>
                <w:bCs/>
              </w:rPr>
              <w:t xml:space="preserve">Step 1: quasi </w:t>
            </w:r>
            <w:proofErr w:type="gramStart"/>
            <w:r>
              <w:rPr>
                <w:b/>
                <w:bCs/>
              </w:rPr>
              <w:t>trial based</w:t>
            </w:r>
            <w:proofErr w:type="gramEnd"/>
            <w:r>
              <w:rPr>
                <w:b/>
                <w:bCs/>
              </w:rPr>
              <w:t xml:space="preserve"> analysis per LY gained over </w:t>
            </w:r>
            <w:proofErr w:type="gramStart"/>
            <w:r>
              <w:rPr>
                <w:b/>
                <w:bCs/>
              </w:rPr>
              <w:t>45 month</w:t>
            </w:r>
            <w:proofErr w:type="gramEnd"/>
            <w:r>
              <w:rPr>
                <w:b/>
                <w:bCs/>
              </w:rPr>
              <w:t xml:space="preserve"> time horizon</w:t>
            </w:r>
          </w:p>
        </w:tc>
      </w:tr>
      <w:tr w:rsidR="002F03F5" w14:paraId="3C780C17" w14:textId="77777777" w:rsidTr="00FC7CAF">
        <w:tc>
          <w:tcPr>
            <w:tcW w:w="2759" w:type="dxa"/>
            <w:tcBorders>
              <w:top w:val="single" w:sz="4" w:space="0" w:color="000000"/>
              <w:left w:val="single" w:sz="4" w:space="0" w:color="000000"/>
              <w:bottom w:val="single" w:sz="4" w:space="0" w:color="000000"/>
              <w:right w:val="single" w:sz="4" w:space="0" w:color="000000"/>
            </w:tcBorders>
            <w:vAlign w:val="center"/>
          </w:tcPr>
          <w:p w14:paraId="3C780C13" w14:textId="77777777" w:rsidR="002F03F5" w:rsidRDefault="008F23FF" w:rsidP="008E13DB">
            <w:pPr>
              <w:pStyle w:val="TableText"/>
              <w:rPr>
                <w:rFonts w:ascii="Times" w:hAnsi="Times"/>
              </w:rPr>
            </w:pPr>
            <w:r>
              <w:t>Costs</w:t>
            </w:r>
          </w:p>
        </w:tc>
        <w:tc>
          <w:tcPr>
            <w:tcW w:w="2086" w:type="dxa"/>
            <w:tcBorders>
              <w:top w:val="single" w:sz="4" w:space="0" w:color="000000"/>
              <w:left w:val="single" w:sz="4" w:space="0" w:color="000000"/>
              <w:bottom w:val="single" w:sz="4" w:space="0" w:color="000000"/>
              <w:right w:val="single" w:sz="4" w:space="0" w:color="000000"/>
            </w:tcBorders>
          </w:tcPr>
          <w:p w14:paraId="3C780C14" w14:textId="5F852E96" w:rsidR="002F03F5" w:rsidRPr="002D4482" w:rsidRDefault="008F23FF" w:rsidP="008E13DB">
            <w:pPr>
              <w:pStyle w:val="TableNumber"/>
              <w:rPr>
                <w:rFonts w:ascii="Times" w:hAnsi="Times"/>
                <w:highlight w:val="yellow"/>
                <w:vertAlign w:val="superscript"/>
              </w:rPr>
            </w:pPr>
            <w:r w:rsidRPr="001B3A74">
              <w:t>$</w:t>
            </w:r>
            <w:r w:rsidR="00417746" w:rsidRPr="002D4482">
              <w:rPr>
                <w:b/>
                <w:bCs/>
              </w:rPr>
              <w:t>Redacted</w:t>
            </w:r>
          </w:p>
        </w:tc>
        <w:tc>
          <w:tcPr>
            <w:tcW w:w="2086" w:type="dxa"/>
            <w:tcBorders>
              <w:top w:val="single" w:sz="4" w:space="0" w:color="000000"/>
              <w:left w:val="single" w:sz="4" w:space="0" w:color="000000"/>
              <w:bottom w:val="single" w:sz="4" w:space="0" w:color="000000"/>
              <w:right w:val="single" w:sz="4" w:space="0" w:color="000000"/>
            </w:tcBorders>
          </w:tcPr>
          <w:p w14:paraId="3C780C15" w14:textId="1A89B025" w:rsidR="002F03F5" w:rsidRPr="002D4482" w:rsidRDefault="008F23FF" w:rsidP="008E13DB">
            <w:pPr>
              <w:pStyle w:val="TableNumber"/>
              <w:rPr>
                <w:rFonts w:ascii="Times" w:hAnsi="Times"/>
                <w:highlight w:val="yellow"/>
                <w:vertAlign w:val="superscript"/>
              </w:rPr>
            </w:pPr>
            <w:r w:rsidRPr="004D072A">
              <w:t>$21,191</w:t>
            </w:r>
          </w:p>
        </w:tc>
        <w:tc>
          <w:tcPr>
            <w:tcW w:w="2095" w:type="dxa"/>
            <w:tcBorders>
              <w:top w:val="single" w:sz="4" w:space="0" w:color="000000"/>
              <w:left w:val="single" w:sz="4" w:space="0" w:color="000000"/>
              <w:bottom w:val="single" w:sz="4" w:space="0" w:color="000000"/>
              <w:right w:val="single" w:sz="4" w:space="0" w:color="000000"/>
            </w:tcBorders>
          </w:tcPr>
          <w:p w14:paraId="3C780C16" w14:textId="33CB4A86" w:rsidR="002F03F5" w:rsidRPr="002D4482" w:rsidRDefault="008F23FF" w:rsidP="008E13DB">
            <w:pPr>
              <w:pStyle w:val="TableNumber"/>
              <w:rPr>
                <w:rFonts w:ascii="Times" w:hAnsi="Times"/>
                <w:highlight w:val="yellow"/>
              </w:rPr>
            </w:pPr>
            <w:r w:rsidRPr="00BF3A26">
              <w:t>$</w:t>
            </w:r>
            <w:r w:rsidR="00056145" w:rsidRPr="002D4482">
              <w:rPr>
                <w:b/>
                <w:bCs/>
              </w:rPr>
              <w:t>Redacted</w:t>
            </w:r>
          </w:p>
        </w:tc>
      </w:tr>
      <w:tr w:rsidR="002F03F5" w14:paraId="3C780C1C" w14:textId="77777777" w:rsidTr="00FC7CAF">
        <w:tc>
          <w:tcPr>
            <w:tcW w:w="2759" w:type="dxa"/>
            <w:tcBorders>
              <w:top w:val="single" w:sz="4" w:space="0" w:color="000000"/>
              <w:left w:val="single" w:sz="4" w:space="0" w:color="000000"/>
              <w:bottom w:val="single" w:sz="4" w:space="0" w:color="000000"/>
              <w:right w:val="single" w:sz="4" w:space="0" w:color="000000"/>
            </w:tcBorders>
            <w:vAlign w:val="center"/>
          </w:tcPr>
          <w:p w14:paraId="3C780C18" w14:textId="77777777" w:rsidR="002F03F5" w:rsidRDefault="008F23FF" w:rsidP="008E13DB">
            <w:pPr>
              <w:pStyle w:val="TableText"/>
              <w:rPr>
                <w:rFonts w:ascii="Times" w:hAnsi="Times"/>
              </w:rPr>
            </w:pPr>
            <w:r>
              <w:t>LYG</w:t>
            </w:r>
          </w:p>
        </w:tc>
        <w:tc>
          <w:tcPr>
            <w:tcW w:w="2086" w:type="dxa"/>
            <w:tcBorders>
              <w:top w:val="single" w:sz="4" w:space="0" w:color="000000"/>
              <w:left w:val="single" w:sz="4" w:space="0" w:color="000000"/>
              <w:bottom w:val="single" w:sz="4" w:space="0" w:color="000000"/>
              <w:right w:val="single" w:sz="4" w:space="0" w:color="000000"/>
            </w:tcBorders>
          </w:tcPr>
          <w:p w14:paraId="3C780C19" w14:textId="39463A62" w:rsidR="002F03F5" w:rsidRPr="00065FF3" w:rsidRDefault="008F23FF" w:rsidP="008E13DB">
            <w:pPr>
              <w:pStyle w:val="TableNumber"/>
              <w:rPr>
                <w:rFonts w:ascii="Times" w:hAnsi="Times"/>
              </w:rPr>
            </w:pPr>
            <w:r w:rsidRPr="00065FF3">
              <w:t>3.259</w:t>
            </w:r>
          </w:p>
        </w:tc>
        <w:tc>
          <w:tcPr>
            <w:tcW w:w="2086" w:type="dxa"/>
            <w:tcBorders>
              <w:top w:val="single" w:sz="4" w:space="0" w:color="000000"/>
              <w:left w:val="single" w:sz="4" w:space="0" w:color="000000"/>
              <w:bottom w:val="single" w:sz="4" w:space="0" w:color="000000"/>
              <w:right w:val="single" w:sz="4" w:space="0" w:color="000000"/>
            </w:tcBorders>
          </w:tcPr>
          <w:p w14:paraId="3C780C1A" w14:textId="15C5BF1E" w:rsidR="002F03F5" w:rsidRPr="00065FF3" w:rsidRDefault="008F23FF" w:rsidP="008E13DB">
            <w:pPr>
              <w:pStyle w:val="TableNumber"/>
              <w:rPr>
                <w:rFonts w:ascii="Times" w:hAnsi="Times"/>
              </w:rPr>
            </w:pPr>
            <w:r w:rsidRPr="00065FF3">
              <w:t>2.771</w:t>
            </w:r>
          </w:p>
        </w:tc>
        <w:tc>
          <w:tcPr>
            <w:tcW w:w="2095" w:type="dxa"/>
            <w:tcBorders>
              <w:top w:val="single" w:sz="4" w:space="0" w:color="000000"/>
              <w:left w:val="single" w:sz="4" w:space="0" w:color="000000"/>
              <w:bottom w:val="single" w:sz="4" w:space="0" w:color="000000"/>
              <w:right w:val="single" w:sz="4" w:space="0" w:color="000000"/>
            </w:tcBorders>
          </w:tcPr>
          <w:p w14:paraId="3C780C1B" w14:textId="1A8DE9A1" w:rsidR="002F03F5" w:rsidRPr="00065FF3" w:rsidRDefault="008F23FF" w:rsidP="008E13DB">
            <w:pPr>
              <w:pStyle w:val="TableNumber"/>
            </w:pPr>
            <w:r w:rsidRPr="00065FF3">
              <w:t xml:space="preserve"> 0.488 </w:t>
            </w:r>
          </w:p>
        </w:tc>
      </w:tr>
      <w:tr w:rsidR="002F03F5" w14:paraId="3C780C1F" w14:textId="77777777" w:rsidTr="00FC7CAF">
        <w:tc>
          <w:tcPr>
            <w:tcW w:w="6931" w:type="dxa"/>
            <w:gridSpan w:val="3"/>
            <w:tcBorders>
              <w:top w:val="single" w:sz="4" w:space="0" w:color="000000"/>
              <w:left w:val="single" w:sz="4" w:space="0" w:color="000000"/>
              <w:bottom w:val="single" w:sz="4" w:space="0" w:color="000000"/>
              <w:right w:val="single" w:sz="4" w:space="0" w:color="000000"/>
            </w:tcBorders>
            <w:vAlign w:val="center"/>
          </w:tcPr>
          <w:p w14:paraId="3C780C1D" w14:textId="77777777" w:rsidR="002F03F5" w:rsidRDefault="008F23FF" w:rsidP="008E13DB">
            <w:pPr>
              <w:pStyle w:val="TableText"/>
              <w:rPr>
                <w:rFonts w:ascii="Times" w:hAnsi="Times"/>
              </w:rPr>
            </w:pPr>
            <w:r>
              <w:t>Incremental cost/extra LYG gained</w:t>
            </w:r>
          </w:p>
        </w:tc>
        <w:tc>
          <w:tcPr>
            <w:tcW w:w="2095" w:type="dxa"/>
            <w:tcBorders>
              <w:top w:val="single" w:sz="4" w:space="0" w:color="000000"/>
              <w:left w:val="single" w:sz="4" w:space="0" w:color="000000"/>
              <w:bottom w:val="single" w:sz="4" w:space="0" w:color="000000"/>
              <w:right w:val="single" w:sz="4" w:space="0" w:color="000000"/>
            </w:tcBorders>
            <w:vAlign w:val="center"/>
          </w:tcPr>
          <w:p w14:paraId="3C780C1E" w14:textId="6B7363D2" w:rsidR="002F03F5" w:rsidRDefault="008F23FF" w:rsidP="008E13DB">
            <w:pPr>
              <w:pStyle w:val="TableNumber"/>
              <w:rPr>
                <w:rFonts w:ascii="Times" w:hAnsi="Times"/>
              </w:rPr>
            </w:pPr>
            <w:r w:rsidRPr="00BF3A26">
              <w:t>$</w:t>
            </w:r>
            <w:r w:rsidR="005A5EFD" w:rsidRPr="00430728">
              <w:rPr>
                <w:b/>
                <w:bCs/>
              </w:rPr>
              <w:t>Redacted</w:t>
            </w:r>
            <w:r w:rsidR="004D072A" w:rsidRPr="00430728">
              <w:rPr>
                <w:vertAlign w:val="superscript"/>
              </w:rPr>
              <w:t>1</w:t>
            </w:r>
            <w:r>
              <w:t>/LYG</w:t>
            </w:r>
          </w:p>
        </w:tc>
      </w:tr>
      <w:tr w:rsidR="002F03F5" w14:paraId="3C780C21" w14:textId="77777777" w:rsidTr="00FC7CAF">
        <w:tc>
          <w:tcPr>
            <w:tcW w:w="9026" w:type="dxa"/>
            <w:gridSpan w:val="4"/>
            <w:tcBorders>
              <w:top w:val="single" w:sz="4" w:space="0" w:color="000000"/>
              <w:left w:val="single" w:sz="4" w:space="0" w:color="000000"/>
              <w:bottom w:val="single" w:sz="4" w:space="0" w:color="000000"/>
              <w:right w:val="single" w:sz="4" w:space="0" w:color="000000"/>
            </w:tcBorders>
            <w:vAlign w:val="center"/>
          </w:tcPr>
          <w:p w14:paraId="3C780C20" w14:textId="77777777" w:rsidR="002F03F5" w:rsidRDefault="008F23FF" w:rsidP="008E13DB">
            <w:pPr>
              <w:pStyle w:val="In-tableHeading"/>
              <w:keepNext w:val="0"/>
              <w:rPr>
                <w:lang w:val="en-AU"/>
              </w:rPr>
            </w:pPr>
            <w:r>
              <w:rPr>
                <w:lang w:val="en-AU"/>
              </w:rPr>
              <w:t xml:space="preserve">Step 2: cost per LY gained over </w:t>
            </w:r>
            <w:proofErr w:type="gramStart"/>
            <w:r>
              <w:rPr>
                <w:lang w:val="en-AU"/>
              </w:rPr>
              <w:t>25 year</w:t>
            </w:r>
            <w:proofErr w:type="gramEnd"/>
            <w:r>
              <w:rPr>
                <w:lang w:val="en-AU"/>
              </w:rPr>
              <w:t xml:space="preserve"> time horizon</w:t>
            </w:r>
          </w:p>
        </w:tc>
      </w:tr>
      <w:tr w:rsidR="002F03F5" w14:paraId="3C780C26" w14:textId="77777777" w:rsidTr="00FC7CAF">
        <w:tc>
          <w:tcPr>
            <w:tcW w:w="2759" w:type="dxa"/>
            <w:tcBorders>
              <w:top w:val="single" w:sz="4" w:space="0" w:color="000000"/>
              <w:left w:val="single" w:sz="4" w:space="0" w:color="000000"/>
              <w:bottom w:val="single" w:sz="4" w:space="0" w:color="000000"/>
              <w:right w:val="single" w:sz="4" w:space="0" w:color="000000"/>
            </w:tcBorders>
            <w:vAlign w:val="center"/>
          </w:tcPr>
          <w:p w14:paraId="3C780C22" w14:textId="77777777" w:rsidR="002F03F5" w:rsidRDefault="008F23FF" w:rsidP="008E13DB">
            <w:pPr>
              <w:pStyle w:val="TableText"/>
              <w:rPr>
                <w:rFonts w:ascii="Times" w:hAnsi="Times"/>
              </w:rPr>
            </w:pPr>
            <w:r>
              <w:t>Costs</w:t>
            </w:r>
          </w:p>
        </w:tc>
        <w:tc>
          <w:tcPr>
            <w:tcW w:w="2086" w:type="dxa"/>
            <w:tcBorders>
              <w:top w:val="single" w:sz="4" w:space="0" w:color="000000"/>
              <w:left w:val="single" w:sz="4" w:space="0" w:color="000000"/>
              <w:bottom w:val="single" w:sz="4" w:space="0" w:color="000000"/>
              <w:right w:val="single" w:sz="4" w:space="0" w:color="000000"/>
            </w:tcBorders>
          </w:tcPr>
          <w:p w14:paraId="3C780C23" w14:textId="44C94D40" w:rsidR="002F03F5" w:rsidRPr="002D4482" w:rsidRDefault="008F23FF" w:rsidP="008E13DB">
            <w:pPr>
              <w:pStyle w:val="TableNumber"/>
              <w:rPr>
                <w:rFonts w:ascii="Times" w:hAnsi="Times"/>
                <w:highlight w:val="yellow"/>
                <w:vertAlign w:val="superscript"/>
              </w:rPr>
            </w:pPr>
            <w:r w:rsidRPr="00BF3A26">
              <w:t>$</w:t>
            </w:r>
            <w:r w:rsidR="00056145" w:rsidRPr="002D4482">
              <w:rPr>
                <w:b/>
                <w:bCs/>
              </w:rPr>
              <w:t>Redacted</w:t>
            </w:r>
          </w:p>
        </w:tc>
        <w:tc>
          <w:tcPr>
            <w:tcW w:w="2086" w:type="dxa"/>
            <w:tcBorders>
              <w:top w:val="single" w:sz="4" w:space="0" w:color="000000"/>
              <w:left w:val="single" w:sz="4" w:space="0" w:color="000000"/>
              <w:bottom w:val="single" w:sz="4" w:space="0" w:color="000000"/>
              <w:right w:val="single" w:sz="4" w:space="0" w:color="000000"/>
            </w:tcBorders>
          </w:tcPr>
          <w:p w14:paraId="3C780C24" w14:textId="0D4B3D19" w:rsidR="002F03F5" w:rsidRPr="002D4482" w:rsidRDefault="008F23FF" w:rsidP="008E13DB">
            <w:pPr>
              <w:pStyle w:val="TableNumber"/>
              <w:rPr>
                <w:rFonts w:ascii="Times" w:hAnsi="Times"/>
                <w:highlight w:val="yellow"/>
              </w:rPr>
            </w:pPr>
            <w:r w:rsidRPr="004D072A">
              <w:t>$41,744</w:t>
            </w:r>
          </w:p>
        </w:tc>
        <w:tc>
          <w:tcPr>
            <w:tcW w:w="2095" w:type="dxa"/>
            <w:tcBorders>
              <w:top w:val="single" w:sz="4" w:space="0" w:color="000000"/>
              <w:left w:val="single" w:sz="4" w:space="0" w:color="000000"/>
              <w:bottom w:val="single" w:sz="4" w:space="0" w:color="000000"/>
              <w:right w:val="single" w:sz="4" w:space="0" w:color="000000"/>
            </w:tcBorders>
          </w:tcPr>
          <w:p w14:paraId="3C780C25" w14:textId="53AD2D85" w:rsidR="002F03F5" w:rsidRPr="002D4482" w:rsidRDefault="008F23FF" w:rsidP="008E13DB">
            <w:pPr>
              <w:pStyle w:val="TableNumber"/>
              <w:rPr>
                <w:rFonts w:ascii="Times" w:hAnsi="Times"/>
                <w:highlight w:val="yellow"/>
              </w:rPr>
            </w:pPr>
            <w:r w:rsidRPr="00BF3A26">
              <w:t>$</w:t>
            </w:r>
            <w:r w:rsidR="005A5EFD" w:rsidRPr="002D4482">
              <w:rPr>
                <w:b/>
                <w:bCs/>
              </w:rPr>
              <w:t>Redacted</w:t>
            </w:r>
          </w:p>
        </w:tc>
      </w:tr>
      <w:tr w:rsidR="002F03F5" w14:paraId="3C780C2B" w14:textId="77777777" w:rsidTr="00FC7CAF">
        <w:tc>
          <w:tcPr>
            <w:tcW w:w="2759" w:type="dxa"/>
            <w:tcBorders>
              <w:top w:val="single" w:sz="4" w:space="0" w:color="000000"/>
              <w:left w:val="single" w:sz="4" w:space="0" w:color="000000"/>
              <w:bottom w:val="single" w:sz="4" w:space="0" w:color="000000"/>
              <w:right w:val="single" w:sz="4" w:space="0" w:color="000000"/>
            </w:tcBorders>
            <w:vAlign w:val="center"/>
          </w:tcPr>
          <w:p w14:paraId="3C780C27" w14:textId="77777777" w:rsidR="002F03F5" w:rsidRDefault="008F23FF" w:rsidP="008E13DB">
            <w:pPr>
              <w:pStyle w:val="TableText"/>
              <w:rPr>
                <w:rFonts w:ascii="Times" w:hAnsi="Times"/>
              </w:rPr>
            </w:pPr>
            <w:r>
              <w:t>LYG</w:t>
            </w:r>
          </w:p>
        </w:tc>
        <w:tc>
          <w:tcPr>
            <w:tcW w:w="2086" w:type="dxa"/>
            <w:tcBorders>
              <w:top w:val="single" w:sz="4" w:space="0" w:color="000000"/>
              <w:left w:val="single" w:sz="4" w:space="0" w:color="000000"/>
              <w:bottom w:val="single" w:sz="4" w:space="0" w:color="000000"/>
              <w:right w:val="single" w:sz="4" w:space="0" w:color="000000"/>
            </w:tcBorders>
          </w:tcPr>
          <w:p w14:paraId="3C780C28" w14:textId="33B7A44F" w:rsidR="002F03F5" w:rsidRPr="00065FF3" w:rsidRDefault="008F23FF" w:rsidP="008E13DB">
            <w:pPr>
              <w:pStyle w:val="TableNumber"/>
              <w:rPr>
                <w:rFonts w:ascii="Times" w:hAnsi="Times"/>
              </w:rPr>
            </w:pPr>
            <w:r w:rsidRPr="00065FF3">
              <w:t>9.260</w:t>
            </w:r>
          </w:p>
        </w:tc>
        <w:tc>
          <w:tcPr>
            <w:tcW w:w="2086" w:type="dxa"/>
            <w:tcBorders>
              <w:top w:val="single" w:sz="4" w:space="0" w:color="000000"/>
              <w:left w:val="single" w:sz="4" w:space="0" w:color="000000"/>
              <w:bottom w:val="single" w:sz="4" w:space="0" w:color="000000"/>
              <w:right w:val="single" w:sz="4" w:space="0" w:color="000000"/>
            </w:tcBorders>
          </w:tcPr>
          <w:p w14:paraId="3C780C29" w14:textId="5F45E5DE" w:rsidR="002F03F5" w:rsidRPr="00065FF3" w:rsidRDefault="008F23FF" w:rsidP="008E13DB">
            <w:pPr>
              <w:pStyle w:val="TableNumber"/>
              <w:rPr>
                <w:rFonts w:ascii="Times" w:hAnsi="Times"/>
              </w:rPr>
            </w:pPr>
            <w:r w:rsidRPr="00065FF3">
              <w:t>4.385</w:t>
            </w:r>
          </w:p>
        </w:tc>
        <w:tc>
          <w:tcPr>
            <w:tcW w:w="2095" w:type="dxa"/>
            <w:tcBorders>
              <w:top w:val="single" w:sz="4" w:space="0" w:color="000000"/>
              <w:left w:val="single" w:sz="4" w:space="0" w:color="000000"/>
              <w:bottom w:val="single" w:sz="4" w:space="0" w:color="000000"/>
              <w:right w:val="single" w:sz="4" w:space="0" w:color="000000"/>
            </w:tcBorders>
          </w:tcPr>
          <w:p w14:paraId="3C780C2A" w14:textId="56464214" w:rsidR="002F03F5" w:rsidRPr="00065FF3" w:rsidRDefault="008F23FF" w:rsidP="008E13DB">
            <w:pPr>
              <w:pStyle w:val="TableNumber"/>
            </w:pPr>
            <w:r w:rsidRPr="00065FF3">
              <w:t xml:space="preserve"> 4.875 </w:t>
            </w:r>
          </w:p>
        </w:tc>
      </w:tr>
      <w:tr w:rsidR="002F03F5" w14:paraId="3C780C2E" w14:textId="77777777" w:rsidTr="00FC7CAF">
        <w:tc>
          <w:tcPr>
            <w:tcW w:w="6931" w:type="dxa"/>
            <w:gridSpan w:val="3"/>
            <w:tcBorders>
              <w:top w:val="single" w:sz="4" w:space="0" w:color="000000"/>
              <w:left w:val="single" w:sz="4" w:space="0" w:color="000000"/>
              <w:bottom w:val="single" w:sz="4" w:space="0" w:color="000000"/>
              <w:right w:val="single" w:sz="4" w:space="0" w:color="000000"/>
            </w:tcBorders>
            <w:vAlign w:val="center"/>
          </w:tcPr>
          <w:p w14:paraId="3C780C2C" w14:textId="77777777" w:rsidR="002F03F5" w:rsidRDefault="008F23FF" w:rsidP="008E13DB">
            <w:pPr>
              <w:pStyle w:val="TableText"/>
              <w:rPr>
                <w:rFonts w:ascii="Times" w:hAnsi="Times"/>
              </w:rPr>
            </w:pPr>
            <w:r>
              <w:t>Incremental cost/extra LY gained</w:t>
            </w:r>
          </w:p>
        </w:tc>
        <w:tc>
          <w:tcPr>
            <w:tcW w:w="2095" w:type="dxa"/>
            <w:tcBorders>
              <w:top w:val="single" w:sz="4" w:space="0" w:color="000000"/>
              <w:left w:val="single" w:sz="4" w:space="0" w:color="000000"/>
              <w:bottom w:val="single" w:sz="4" w:space="0" w:color="000000"/>
              <w:right w:val="single" w:sz="4" w:space="0" w:color="000000"/>
            </w:tcBorders>
            <w:vAlign w:val="center"/>
          </w:tcPr>
          <w:p w14:paraId="3C780C2D" w14:textId="60C9CC22" w:rsidR="002F03F5" w:rsidRDefault="008F23FF" w:rsidP="008E13DB">
            <w:pPr>
              <w:pStyle w:val="TableNumber"/>
              <w:rPr>
                <w:rFonts w:ascii="Times" w:hAnsi="Times"/>
              </w:rPr>
            </w:pPr>
            <w:r w:rsidRPr="00BF3A26">
              <w:t>$</w:t>
            </w:r>
            <w:r w:rsidR="00F62319" w:rsidRPr="002D4482">
              <w:rPr>
                <w:b/>
                <w:bCs/>
              </w:rPr>
              <w:t>Redacted</w:t>
            </w:r>
            <w:r w:rsidR="004D072A" w:rsidRPr="00BF3A26">
              <w:rPr>
                <w:b/>
                <w:bCs/>
                <w:vertAlign w:val="superscript"/>
              </w:rPr>
              <w:t>2</w:t>
            </w:r>
            <w:r>
              <w:t>/LYG</w:t>
            </w:r>
          </w:p>
        </w:tc>
      </w:tr>
      <w:tr w:rsidR="002F03F5" w14:paraId="3C780C30" w14:textId="77777777" w:rsidTr="00FC7CAF">
        <w:tc>
          <w:tcPr>
            <w:tcW w:w="9026" w:type="dxa"/>
            <w:gridSpan w:val="4"/>
            <w:tcBorders>
              <w:top w:val="single" w:sz="4" w:space="0" w:color="000000"/>
              <w:left w:val="single" w:sz="4" w:space="0" w:color="000000"/>
              <w:bottom w:val="single" w:sz="4" w:space="0" w:color="000000"/>
              <w:right w:val="single" w:sz="4" w:space="0" w:color="000000"/>
            </w:tcBorders>
            <w:vAlign w:val="center"/>
          </w:tcPr>
          <w:p w14:paraId="3C780C2F" w14:textId="77777777" w:rsidR="002F03F5" w:rsidRDefault="008F23FF" w:rsidP="008E13DB">
            <w:pPr>
              <w:pStyle w:val="In-tableHeading"/>
              <w:keepNext w:val="0"/>
              <w:rPr>
                <w:lang w:val="en-AU"/>
              </w:rPr>
            </w:pPr>
            <w:r>
              <w:rPr>
                <w:lang w:val="en-AU"/>
              </w:rPr>
              <w:t xml:space="preserve">Step 3: cost per QALY gained over </w:t>
            </w:r>
            <w:proofErr w:type="gramStart"/>
            <w:r>
              <w:rPr>
                <w:lang w:val="en-AU"/>
              </w:rPr>
              <w:t>25 year</w:t>
            </w:r>
            <w:proofErr w:type="gramEnd"/>
            <w:r>
              <w:rPr>
                <w:lang w:val="en-AU"/>
              </w:rPr>
              <w:t xml:space="preserve"> time horizon</w:t>
            </w:r>
          </w:p>
        </w:tc>
      </w:tr>
      <w:tr w:rsidR="002F03F5" w14:paraId="3C780C35" w14:textId="77777777" w:rsidTr="00FC7CAF">
        <w:tc>
          <w:tcPr>
            <w:tcW w:w="2759" w:type="dxa"/>
            <w:tcBorders>
              <w:top w:val="single" w:sz="4" w:space="0" w:color="000000"/>
              <w:left w:val="single" w:sz="4" w:space="0" w:color="000000"/>
              <w:bottom w:val="single" w:sz="4" w:space="0" w:color="000000"/>
              <w:right w:val="single" w:sz="4" w:space="0" w:color="000000"/>
            </w:tcBorders>
            <w:vAlign w:val="center"/>
          </w:tcPr>
          <w:p w14:paraId="3C780C31" w14:textId="77777777" w:rsidR="002F03F5" w:rsidRDefault="008F23FF" w:rsidP="008E13DB">
            <w:pPr>
              <w:pStyle w:val="TableText"/>
              <w:rPr>
                <w:rFonts w:ascii="Times" w:hAnsi="Times"/>
              </w:rPr>
            </w:pPr>
            <w:r>
              <w:t>Costs</w:t>
            </w:r>
          </w:p>
        </w:tc>
        <w:tc>
          <w:tcPr>
            <w:tcW w:w="2086" w:type="dxa"/>
            <w:tcBorders>
              <w:top w:val="single" w:sz="4" w:space="0" w:color="000000"/>
              <w:left w:val="single" w:sz="4" w:space="0" w:color="000000"/>
              <w:bottom w:val="single" w:sz="4" w:space="0" w:color="000000"/>
              <w:right w:val="single" w:sz="4" w:space="0" w:color="000000"/>
            </w:tcBorders>
          </w:tcPr>
          <w:p w14:paraId="3C780C32" w14:textId="71E0A151" w:rsidR="002F03F5" w:rsidRPr="002D4482" w:rsidRDefault="008F23FF" w:rsidP="008E13DB">
            <w:pPr>
              <w:pStyle w:val="TableNumber"/>
              <w:rPr>
                <w:rFonts w:ascii="Times" w:hAnsi="Times"/>
                <w:highlight w:val="yellow"/>
              </w:rPr>
            </w:pPr>
            <w:r w:rsidRPr="00BF3A26">
              <w:t>$</w:t>
            </w:r>
            <w:r w:rsidR="005A5EFD" w:rsidRPr="002D4482">
              <w:rPr>
                <w:b/>
                <w:bCs/>
              </w:rPr>
              <w:t>Redacted</w:t>
            </w:r>
          </w:p>
        </w:tc>
        <w:tc>
          <w:tcPr>
            <w:tcW w:w="2086" w:type="dxa"/>
            <w:tcBorders>
              <w:top w:val="single" w:sz="4" w:space="0" w:color="000000"/>
              <w:left w:val="single" w:sz="4" w:space="0" w:color="000000"/>
              <w:bottom w:val="single" w:sz="4" w:space="0" w:color="000000"/>
              <w:right w:val="single" w:sz="4" w:space="0" w:color="000000"/>
            </w:tcBorders>
          </w:tcPr>
          <w:p w14:paraId="3C780C33" w14:textId="18DF1532" w:rsidR="002F03F5" w:rsidRPr="002D4482" w:rsidRDefault="008F23FF" w:rsidP="008E13DB">
            <w:pPr>
              <w:pStyle w:val="TableNumber"/>
              <w:rPr>
                <w:rFonts w:ascii="Times" w:hAnsi="Times"/>
                <w:highlight w:val="yellow"/>
              </w:rPr>
            </w:pPr>
            <w:r w:rsidRPr="004D072A">
              <w:t>$41,744</w:t>
            </w:r>
          </w:p>
        </w:tc>
        <w:tc>
          <w:tcPr>
            <w:tcW w:w="2095" w:type="dxa"/>
            <w:tcBorders>
              <w:top w:val="single" w:sz="4" w:space="0" w:color="000000"/>
              <w:left w:val="single" w:sz="4" w:space="0" w:color="000000"/>
              <w:bottom w:val="single" w:sz="4" w:space="0" w:color="000000"/>
              <w:right w:val="single" w:sz="4" w:space="0" w:color="000000"/>
            </w:tcBorders>
          </w:tcPr>
          <w:p w14:paraId="3C780C34" w14:textId="0A567D97" w:rsidR="002F03F5" w:rsidRPr="002D4482" w:rsidRDefault="008F23FF" w:rsidP="008E13DB">
            <w:pPr>
              <w:pStyle w:val="TableNumber"/>
              <w:rPr>
                <w:rFonts w:ascii="Times" w:hAnsi="Times"/>
                <w:highlight w:val="yellow"/>
              </w:rPr>
            </w:pPr>
            <w:r w:rsidRPr="00BF3A26">
              <w:t>$</w:t>
            </w:r>
            <w:r w:rsidR="005A5EFD" w:rsidRPr="002D4482">
              <w:rPr>
                <w:b/>
                <w:bCs/>
              </w:rPr>
              <w:t>Redacted</w:t>
            </w:r>
          </w:p>
        </w:tc>
      </w:tr>
      <w:tr w:rsidR="002F03F5" w14:paraId="3C780C3A" w14:textId="77777777" w:rsidTr="00FC7CAF">
        <w:tc>
          <w:tcPr>
            <w:tcW w:w="2759" w:type="dxa"/>
            <w:tcBorders>
              <w:top w:val="single" w:sz="4" w:space="0" w:color="000000"/>
              <w:left w:val="single" w:sz="4" w:space="0" w:color="000000"/>
              <w:bottom w:val="single" w:sz="4" w:space="0" w:color="000000"/>
              <w:right w:val="single" w:sz="4" w:space="0" w:color="000000"/>
            </w:tcBorders>
            <w:vAlign w:val="center"/>
          </w:tcPr>
          <w:p w14:paraId="3C780C36" w14:textId="77777777" w:rsidR="002F03F5" w:rsidRDefault="008F23FF" w:rsidP="008E13DB">
            <w:pPr>
              <w:pStyle w:val="TableText"/>
              <w:rPr>
                <w:rFonts w:ascii="Times" w:hAnsi="Times"/>
              </w:rPr>
            </w:pPr>
            <w:r>
              <w:t>QALYs gained</w:t>
            </w:r>
          </w:p>
        </w:tc>
        <w:tc>
          <w:tcPr>
            <w:tcW w:w="2086" w:type="dxa"/>
            <w:tcBorders>
              <w:top w:val="single" w:sz="4" w:space="0" w:color="000000"/>
              <w:left w:val="single" w:sz="4" w:space="0" w:color="000000"/>
              <w:bottom w:val="single" w:sz="4" w:space="0" w:color="000000"/>
              <w:right w:val="single" w:sz="4" w:space="0" w:color="000000"/>
            </w:tcBorders>
          </w:tcPr>
          <w:p w14:paraId="3C780C37" w14:textId="6001CBCF" w:rsidR="002F03F5" w:rsidRPr="00065FF3" w:rsidRDefault="008F23FF" w:rsidP="008E13DB">
            <w:pPr>
              <w:pStyle w:val="TableNumber"/>
              <w:rPr>
                <w:rFonts w:ascii="Times" w:hAnsi="Times"/>
              </w:rPr>
            </w:pPr>
            <w:r w:rsidRPr="00065FF3">
              <w:t>7.845</w:t>
            </w:r>
          </w:p>
        </w:tc>
        <w:tc>
          <w:tcPr>
            <w:tcW w:w="2086" w:type="dxa"/>
            <w:tcBorders>
              <w:top w:val="single" w:sz="4" w:space="0" w:color="000000"/>
              <w:left w:val="single" w:sz="4" w:space="0" w:color="000000"/>
              <w:bottom w:val="single" w:sz="4" w:space="0" w:color="000000"/>
              <w:right w:val="single" w:sz="4" w:space="0" w:color="000000"/>
            </w:tcBorders>
          </w:tcPr>
          <w:p w14:paraId="3C780C38" w14:textId="5A2F97B5" w:rsidR="002F03F5" w:rsidRPr="00065FF3" w:rsidRDefault="008F23FF" w:rsidP="008E13DB">
            <w:pPr>
              <w:pStyle w:val="TableNumber"/>
              <w:rPr>
                <w:rFonts w:ascii="Times" w:hAnsi="Times"/>
              </w:rPr>
            </w:pPr>
            <w:r w:rsidRPr="00065FF3">
              <w:t>3.757</w:t>
            </w:r>
          </w:p>
        </w:tc>
        <w:tc>
          <w:tcPr>
            <w:tcW w:w="2095" w:type="dxa"/>
            <w:tcBorders>
              <w:top w:val="single" w:sz="4" w:space="0" w:color="000000"/>
              <w:left w:val="single" w:sz="4" w:space="0" w:color="000000"/>
              <w:bottom w:val="single" w:sz="4" w:space="0" w:color="000000"/>
              <w:right w:val="single" w:sz="4" w:space="0" w:color="000000"/>
            </w:tcBorders>
          </w:tcPr>
          <w:p w14:paraId="3C780C39" w14:textId="066968C8" w:rsidR="002F03F5" w:rsidRPr="00065FF3" w:rsidRDefault="008F23FF" w:rsidP="008E13DB">
            <w:pPr>
              <w:pStyle w:val="TableNumber"/>
            </w:pPr>
            <w:r w:rsidRPr="00065FF3">
              <w:t xml:space="preserve"> 4.088 </w:t>
            </w:r>
          </w:p>
        </w:tc>
      </w:tr>
      <w:tr w:rsidR="002F03F5" w14:paraId="3C780C3D" w14:textId="77777777" w:rsidTr="00FC7CAF">
        <w:tc>
          <w:tcPr>
            <w:tcW w:w="6931" w:type="dxa"/>
            <w:gridSpan w:val="3"/>
            <w:tcBorders>
              <w:top w:val="single" w:sz="4" w:space="0" w:color="000000"/>
              <w:left w:val="single" w:sz="4" w:space="0" w:color="000000"/>
              <w:bottom w:val="single" w:sz="4" w:space="0" w:color="000000"/>
              <w:right w:val="single" w:sz="4" w:space="0" w:color="000000"/>
            </w:tcBorders>
            <w:vAlign w:val="center"/>
          </w:tcPr>
          <w:p w14:paraId="3C780C3B" w14:textId="77777777" w:rsidR="002F03F5" w:rsidRDefault="008F23FF" w:rsidP="008E13DB">
            <w:pPr>
              <w:pStyle w:val="TableText"/>
              <w:rPr>
                <w:rFonts w:ascii="Times" w:hAnsi="Times"/>
              </w:rPr>
            </w:pPr>
            <w:r>
              <w:t>Incremental cost/extra QALY gained</w:t>
            </w:r>
          </w:p>
        </w:tc>
        <w:tc>
          <w:tcPr>
            <w:tcW w:w="2095" w:type="dxa"/>
            <w:tcBorders>
              <w:top w:val="single" w:sz="4" w:space="0" w:color="000000"/>
              <w:left w:val="single" w:sz="4" w:space="0" w:color="000000"/>
              <w:bottom w:val="single" w:sz="4" w:space="0" w:color="000000"/>
              <w:right w:val="single" w:sz="4" w:space="0" w:color="000000"/>
            </w:tcBorders>
            <w:vAlign w:val="center"/>
          </w:tcPr>
          <w:p w14:paraId="3C780C3C" w14:textId="5B7E75DB" w:rsidR="002F03F5" w:rsidRDefault="008F23FF" w:rsidP="008E13DB">
            <w:pPr>
              <w:pStyle w:val="TableNumber"/>
              <w:rPr>
                <w:rFonts w:ascii="Times" w:hAnsi="Times"/>
                <w:b/>
                <w:bCs/>
              </w:rPr>
            </w:pPr>
            <w:r w:rsidRPr="00BF3A26">
              <w:rPr>
                <w:b/>
                <w:bCs/>
              </w:rPr>
              <w:t>$</w:t>
            </w:r>
            <w:r w:rsidR="009A0E85">
              <w:rPr>
                <w:b/>
                <w:bCs/>
              </w:rPr>
              <w:t>Redacted</w:t>
            </w:r>
            <w:r w:rsidR="004D072A">
              <w:rPr>
                <w:b/>
                <w:bCs/>
                <w:vertAlign w:val="superscript"/>
              </w:rPr>
              <w:t>2</w:t>
            </w:r>
            <w:r>
              <w:rPr>
                <w:b/>
                <w:bCs/>
              </w:rPr>
              <w:t>/QALY gained</w:t>
            </w:r>
          </w:p>
        </w:tc>
      </w:tr>
    </w:tbl>
    <w:p w14:paraId="3C780C3E" w14:textId="77777777" w:rsidR="002F03F5" w:rsidRDefault="008F23FF" w:rsidP="008E13DB">
      <w:pPr>
        <w:pStyle w:val="TableFooter"/>
      </w:pPr>
      <w:r>
        <w:t>Source: Table 3-22, p144 of the submission; ‘Deterministic Results’ worksheet from the economic model</w:t>
      </w:r>
    </w:p>
    <w:p w14:paraId="3C780C3F" w14:textId="77777777" w:rsidR="002F03F5" w:rsidRDefault="008F23FF" w:rsidP="008E13DB">
      <w:pPr>
        <w:pStyle w:val="TableFooter"/>
        <w:tabs>
          <w:tab w:val="center" w:pos="4513"/>
        </w:tabs>
      </w:pPr>
      <w:r>
        <w:t>BSC = best supportive care; LYG = life years gained; QALYs = quality adjusted life years</w:t>
      </w:r>
    </w:p>
    <w:p w14:paraId="3C780C40" w14:textId="77777777" w:rsidR="002F03F5" w:rsidRDefault="008F23FF" w:rsidP="008E13DB">
      <w:pPr>
        <w:pStyle w:val="TableFooter"/>
        <w:tabs>
          <w:tab w:val="center" w:pos="4513"/>
        </w:tabs>
        <w:rPr>
          <w:u w:val="single"/>
        </w:rPr>
      </w:pPr>
      <w:r>
        <w:rPr>
          <w:u w:val="single"/>
        </w:rPr>
        <w:t>Notes:</w:t>
      </w:r>
    </w:p>
    <w:p w14:paraId="3C780C41" w14:textId="77777777" w:rsidR="002F03F5" w:rsidRDefault="008F23FF" w:rsidP="008E13DB">
      <w:pPr>
        <w:pStyle w:val="TableFooter"/>
        <w:tabs>
          <w:tab w:val="center" w:pos="4513"/>
        </w:tabs>
      </w:pPr>
      <w:r>
        <w:t>Results are discounted</w:t>
      </w:r>
    </w:p>
    <w:p w14:paraId="231F39C1" w14:textId="77777777" w:rsidR="004D072A" w:rsidRPr="004D072A" w:rsidRDefault="004D072A" w:rsidP="004D072A">
      <w:pPr>
        <w:pStyle w:val="TableFooter"/>
        <w:rPr>
          <w:i/>
          <w:iCs/>
        </w:rPr>
      </w:pPr>
      <w:r w:rsidRPr="004D072A">
        <w:rPr>
          <w:i/>
          <w:iCs/>
        </w:rPr>
        <w:t>The redacted values correspond to the following ranges:</w:t>
      </w:r>
    </w:p>
    <w:p w14:paraId="7FF76046" w14:textId="77777777" w:rsidR="004D072A" w:rsidRPr="004D072A" w:rsidRDefault="004D072A" w:rsidP="004D072A">
      <w:pPr>
        <w:pStyle w:val="TableFooter"/>
        <w:rPr>
          <w:i/>
          <w:iCs/>
        </w:rPr>
      </w:pPr>
      <w:r w:rsidRPr="004D072A">
        <w:rPr>
          <w:i/>
          <w:iCs/>
          <w:vertAlign w:val="superscript"/>
        </w:rPr>
        <w:t>1</w:t>
      </w:r>
      <w:r w:rsidRPr="004D072A">
        <w:rPr>
          <w:i/>
          <w:iCs/>
        </w:rPr>
        <w:t xml:space="preserve"> $355,000 to &lt; $455,000</w:t>
      </w:r>
    </w:p>
    <w:p w14:paraId="4A65829E" w14:textId="494CF2A5" w:rsidR="001C6689" w:rsidRPr="00573295" w:rsidRDefault="004D072A" w:rsidP="00573295">
      <w:pPr>
        <w:pStyle w:val="TableFooter"/>
        <w:rPr>
          <w:i/>
          <w:iCs/>
        </w:rPr>
      </w:pPr>
      <w:r w:rsidRPr="004D072A">
        <w:rPr>
          <w:i/>
          <w:iCs/>
          <w:vertAlign w:val="superscript"/>
        </w:rPr>
        <w:t>2</w:t>
      </w:r>
      <w:r w:rsidRPr="004D072A">
        <w:rPr>
          <w:i/>
          <w:iCs/>
        </w:rPr>
        <w:t xml:space="preserve"> $55,000 to &lt; $75,000</w:t>
      </w:r>
    </w:p>
    <w:p w14:paraId="3C780C42" w14:textId="707EF0FC" w:rsidR="002F03F5" w:rsidRDefault="007066DA" w:rsidP="00B7693E">
      <w:pPr>
        <w:pStyle w:val="Caption"/>
        <w:keepLines/>
      </w:pPr>
      <w:bookmarkStart w:id="42" w:name="_Ref226643641"/>
      <w:r>
        <w:lastRenderedPageBreak/>
        <w:t xml:space="preserve">Table </w:t>
      </w:r>
      <w:r>
        <w:fldChar w:fldCharType="begin"/>
      </w:r>
      <w:r>
        <w:instrText>SEQ Table \* ARABIC</w:instrText>
      </w:r>
      <w:r>
        <w:fldChar w:fldCharType="separate"/>
      </w:r>
      <w:r w:rsidR="005B2039">
        <w:rPr>
          <w:noProof/>
        </w:rPr>
        <w:t>11</w:t>
      </w:r>
      <w:r>
        <w:fldChar w:fldCharType="end"/>
      </w:r>
      <w:bookmarkEnd w:id="42"/>
      <w:r>
        <w:t xml:space="preserve"> </w:t>
      </w:r>
      <w:r w:rsidR="008F23FF">
        <w:t>Disaggregated results (discounted)</w:t>
      </w:r>
    </w:p>
    <w:tbl>
      <w:tblPr>
        <w:tblW w:w="9016" w:type="dxa"/>
        <w:tblLayout w:type="fixed"/>
        <w:tblLook w:val="04A0" w:firstRow="1" w:lastRow="0" w:firstColumn="1" w:lastColumn="0" w:noHBand="0" w:noVBand="1"/>
      </w:tblPr>
      <w:tblGrid>
        <w:gridCol w:w="2187"/>
        <w:gridCol w:w="1802"/>
        <w:gridCol w:w="1681"/>
        <w:gridCol w:w="1672"/>
        <w:gridCol w:w="1674"/>
      </w:tblGrid>
      <w:tr w:rsidR="002F03F5" w14:paraId="3C780C48" w14:textId="77777777" w:rsidTr="00FC7CAF">
        <w:trPr>
          <w:tblHeader/>
        </w:trPr>
        <w:tc>
          <w:tcPr>
            <w:tcW w:w="2187" w:type="dxa"/>
            <w:tcBorders>
              <w:top w:val="single" w:sz="4" w:space="0" w:color="000000"/>
              <w:left w:val="single" w:sz="4" w:space="0" w:color="000000"/>
              <w:bottom w:val="single" w:sz="4" w:space="0" w:color="000000"/>
              <w:right w:val="single" w:sz="4" w:space="0" w:color="000000"/>
            </w:tcBorders>
            <w:vAlign w:val="center"/>
          </w:tcPr>
          <w:p w14:paraId="3C780C43" w14:textId="77777777" w:rsidR="002F03F5" w:rsidRDefault="008F23FF" w:rsidP="00B7693E">
            <w:pPr>
              <w:pStyle w:val="TableRowHeader"/>
              <w:keepNext/>
              <w:keepLines/>
              <w:rPr>
                <w:lang w:eastAsia="en-AU"/>
              </w:rPr>
            </w:pPr>
            <w:r>
              <w:rPr>
                <w:lang w:eastAsia="en-AU"/>
              </w:rPr>
              <w:t>Resource item</w:t>
            </w:r>
          </w:p>
        </w:tc>
        <w:tc>
          <w:tcPr>
            <w:tcW w:w="1802" w:type="dxa"/>
            <w:tcBorders>
              <w:top w:val="single" w:sz="4" w:space="0" w:color="000000"/>
              <w:left w:val="single" w:sz="4" w:space="0" w:color="000000"/>
              <w:bottom w:val="single" w:sz="4" w:space="0" w:color="000000"/>
              <w:right w:val="single" w:sz="4" w:space="0" w:color="000000"/>
            </w:tcBorders>
            <w:vAlign w:val="center"/>
          </w:tcPr>
          <w:p w14:paraId="3C780C44" w14:textId="77777777" w:rsidR="002F03F5" w:rsidRDefault="008F23FF" w:rsidP="00B7693E">
            <w:pPr>
              <w:pStyle w:val="TableRowHeader"/>
              <w:keepNext/>
              <w:keepLines/>
              <w:rPr>
                <w:lang w:eastAsia="en-AU"/>
              </w:rPr>
            </w:pPr>
            <w:r>
              <w:rPr>
                <w:lang w:eastAsia="en-AU"/>
              </w:rPr>
              <w:t>Selpercatinib</w:t>
            </w:r>
          </w:p>
        </w:tc>
        <w:tc>
          <w:tcPr>
            <w:tcW w:w="1681" w:type="dxa"/>
            <w:tcBorders>
              <w:top w:val="single" w:sz="4" w:space="0" w:color="000000"/>
              <w:left w:val="single" w:sz="4" w:space="0" w:color="000000"/>
              <w:bottom w:val="single" w:sz="4" w:space="0" w:color="000000"/>
              <w:right w:val="single" w:sz="4" w:space="0" w:color="000000"/>
            </w:tcBorders>
            <w:vAlign w:val="center"/>
          </w:tcPr>
          <w:p w14:paraId="3C780C45" w14:textId="77777777" w:rsidR="002F03F5" w:rsidRDefault="008F23FF" w:rsidP="00B7693E">
            <w:pPr>
              <w:pStyle w:val="TableRowHeader"/>
              <w:keepNext/>
              <w:keepLines/>
              <w:rPr>
                <w:lang w:eastAsia="en-AU"/>
              </w:rPr>
            </w:pPr>
            <w:r>
              <w:rPr>
                <w:lang w:eastAsia="en-AU"/>
              </w:rPr>
              <w:t>BSC</w:t>
            </w:r>
          </w:p>
        </w:tc>
        <w:tc>
          <w:tcPr>
            <w:tcW w:w="1672" w:type="dxa"/>
            <w:tcBorders>
              <w:top w:val="single" w:sz="4" w:space="0" w:color="000000"/>
              <w:left w:val="single" w:sz="4" w:space="0" w:color="000000"/>
              <w:bottom w:val="single" w:sz="4" w:space="0" w:color="000000"/>
              <w:right w:val="single" w:sz="4" w:space="0" w:color="000000"/>
            </w:tcBorders>
            <w:vAlign w:val="center"/>
          </w:tcPr>
          <w:p w14:paraId="3C780C46" w14:textId="77777777" w:rsidR="002F03F5" w:rsidRDefault="008F23FF" w:rsidP="00B7693E">
            <w:pPr>
              <w:pStyle w:val="TableRowHeader"/>
              <w:keepNext/>
              <w:keepLines/>
              <w:rPr>
                <w:lang w:eastAsia="en-AU"/>
              </w:rPr>
            </w:pPr>
            <w:r>
              <w:rPr>
                <w:lang w:eastAsia="en-AU"/>
              </w:rPr>
              <w:t>Increment</w:t>
            </w:r>
          </w:p>
        </w:tc>
        <w:tc>
          <w:tcPr>
            <w:tcW w:w="1674" w:type="dxa"/>
            <w:tcBorders>
              <w:top w:val="single" w:sz="4" w:space="0" w:color="000000"/>
              <w:left w:val="single" w:sz="4" w:space="0" w:color="000000"/>
              <w:bottom w:val="single" w:sz="4" w:space="0" w:color="000000"/>
              <w:right w:val="single" w:sz="4" w:space="0" w:color="000000"/>
            </w:tcBorders>
            <w:vAlign w:val="center"/>
          </w:tcPr>
          <w:p w14:paraId="3C780C47" w14:textId="77777777" w:rsidR="002F03F5" w:rsidRDefault="008F23FF" w:rsidP="00B7693E">
            <w:pPr>
              <w:pStyle w:val="TableRowHeader"/>
              <w:keepNext/>
              <w:keepLines/>
              <w:rPr>
                <w:lang w:eastAsia="en-AU"/>
              </w:rPr>
            </w:pPr>
            <w:r>
              <w:rPr>
                <w:lang w:eastAsia="en-AU"/>
              </w:rPr>
              <w:t xml:space="preserve">% of total incremental </w:t>
            </w:r>
          </w:p>
        </w:tc>
      </w:tr>
      <w:tr w:rsidR="002F03F5" w14:paraId="3C780C4E" w14:textId="77777777" w:rsidTr="00FC7CAF">
        <w:tc>
          <w:tcPr>
            <w:tcW w:w="2187" w:type="dxa"/>
            <w:tcBorders>
              <w:top w:val="single" w:sz="4" w:space="0" w:color="000000"/>
              <w:left w:val="single" w:sz="4" w:space="0" w:color="000000"/>
              <w:bottom w:val="single" w:sz="4" w:space="0" w:color="000000"/>
            </w:tcBorders>
            <w:vAlign w:val="center"/>
          </w:tcPr>
          <w:p w14:paraId="3C780C49" w14:textId="77777777" w:rsidR="002F03F5" w:rsidRDefault="008F23FF" w:rsidP="00B7693E">
            <w:pPr>
              <w:pStyle w:val="TableText"/>
              <w:keepNext/>
              <w:keepLines/>
              <w:rPr>
                <w:b/>
                <w:bCs/>
                <w:lang w:eastAsia="en-AU"/>
              </w:rPr>
            </w:pPr>
            <w:r>
              <w:rPr>
                <w:b/>
                <w:bCs/>
                <w:lang w:eastAsia="en-AU"/>
              </w:rPr>
              <w:t>Costs</w:t>
            </w:r>
          </w:p>
        </w:tc>
        <w:tc>
          <w:tcPr>
            <w:tcW w:w="1802" w:type="dxa"/>
            <w:tcBorders>
              <w:top w:val="single" w:sz="4" w:space="0" w:color="000000"/>
              <w:bottom w:val="single" w:sz="4" w:space="0" w:color="000000"/>
            </w:tcBorders>
            <w:vAlign w:val="center"/>
          </w:tcPr>
          <w:p w14:paraId="3C780C4A" w14:textId="77777777" w:rsidR="002F03F5" w:rsidRDefault="002F03F5" w:rsidP="00B7693E">
            <w:pPr>
              <w:pStyle w:val="TableText"/>
              <w:keepNext/>
              <w:keepLines/>
              <w:jc w:val="center"/>
              <w:rPr>
                <w:bCs/>
                <w:lang w:eastAsia="en-AU"/>
              </w:rPr>
            </w:pPr>
          </w:p>
        </w:tc>
        <w:tc>
          <w:tcPr>
            <w:tcW w:w="1681" w:type="dxa"/>
            <w:tcBorders>
              <w:top w:val="single" w:sz="4" w:space="0" w:color="000000"/>
              <w:bottom w:val="single" w:sz="4" w:space="0" w:color="000000"/>
            </w:tcBorders>
            <w:vAlign w:val="center"/>
          </w:tcPr>
          <w:p w14:paraId="3C780C4B" w14:textId="77777777" w:rsidR="002F03F5" w:rsidRDefault="002F03F5" w:rsidP="00B7693E">
            <w:pPr>
              <w:pStyle w:val="TableText"/>
              <w:keepNext/>
              <w:keepLines/>
              <w:jc w:val="center"/>
              <w:rPr>
                <w:bCs/>
                <w:lang w:eastAsia="en-AU"/>
              </w:rPr>
            </w:pPr>
          </w:p>
        </w:tc>
        <w:tc>
          <w:tcPr>
            <w:tcW w:w="1672" w:type="dxa"/>
            <w:tcBorders>
              <w:top w:val="single" w:sz="4" w:space="0" w:color="000000"/>
              <w:bottom w:val="single" w:sz="4" w:space="0" w:color="000000"/>
            </w:tcBorders>
            <w:vAlign w:val="center"/>
          </w:tcPr>
          <w:p w14:paraId="3C780C4C" w14:textId="77777777" w:rsidR="002F03F5" w:rsidRDefault="002F03F5" w:rsidP="00B7693E">
            <w:pPr>
              <w:pStyle w:val="TableText"/>
              <w:keepNext/>
              <w:keepLines/>
              <w:jc w:val="center"/>
              <w:rPr>
                <w:bCs/>
                <w:lang w:eastAsia="en-AU"/>
              </w:rPr>
            </w:pPr>
          </w:p>
        </w:tc>
        <w:tc>
          <w:tcPr>
            <w:tcW w:w="1674" w:type="dxa"/>
            <w:tcBorders>
              <w:top w:val="single" w:sz="4" w:space="0" w:color="000000"/>
              <w:bottom w:val="single" w:sz="4" w:space="0" w:color="000000"/>
              <w:right w:val="single" w:sz="4" w:space="0" w:color="000000"/>
            </w:tcBorders>
            <w:vAlign w:val="center"/>
          </w:tcPr>
          <w:p w14:paraId="3C780C4D" w14:textId="77777777" w:rsidR="002F03F5" w:rsidRDefault="002F03F5" w:rsidP="00B7693E">
            <w:pPr>
              <w:pStyle w:val="TableText"/>
              <w:keepNext/>
              <w:keepLines/>
              <w:jc w:val="center"/>
              <w:rPr>
                <w:bCs/>
                <w:lang w:eastAsia="en-AU"/>
              </w:rPr>
            </w:pPr>
          </w:p>
        </w:tc>
      </w:tr>
      <w:tr w:rsidR="002F03F5" w14:paraId="3C780C54" w14:textId="77777777" w:rsidTr="002D4482">
        <w:tc>
          <w:tcPr>
            <w:tcW w:w="2187" w:type="dxa"/>
            <w:tcBorders>
              <w:top w:val="single" w:sz="4" w:space="0" w:color="000000"/>
              <w:left w:val="single" w:sz="4" w:space="0" w:color="000000"/>
              <w:bottom w:val="single" w:sz="4" w:space="0" w:color="000000"/>
              <w:right w:val="single" w:sz="4" w:space="0" w:color="000000"/>
            </w:tcBorders>
            <w:vAlign w:val="center"/>
          </w:tcPr>
          <w:p w14:paraId="3C780C4F" w14:textId="77777777" w:rsidR="002F03F5" w:rsidRDefault="008F23FF" w:rsidP="00B7693E">
            <w:pPr>
              <w:pStyle w:val="TableText"/>
              <w:keepNext/>
              <w:keepLines/>
              <w:rPr>
                <w:bCs/>
                <w:lang w:eastAsia="en-AU"/>
              </w:rPr>
            </w:pPr>
            <w:r>
              <w:rPr>
                <w:bCs/>
                <w:lang w:eastAsia="en-AU"/>
              </w:rPr>
              <w:t xml:space="preserve">Drug acquisition </w:t>
            </w:r>
          </w:p>
        </w:tc>
        <w:tc>
          <w:tcPr>
            <w:tcW w:w="1802" w:type="dxa"/>
            <w:tcBorders>
              <w:top w:val="single" w:sz="4" w:space="0" w:color="000000"/>
              <w:left w:val="single" w:sz="4" w:space="0" w:color="000000"/>
              <w:bottom w:val="single" w:sz="4" w:space="0" w:color="000000"/>
              <w:right w:val="single" w:sz="4" w:space="0" w:color="000000"/>
            </w:tcBorders>
          </w:tcPr>
          <w:p w14:paraId="3C780C50" w14:textId="2E9BA385" w:rsidR="002F03F5" w:rsidRPr="002D4482" w:rsidRDefault="0066703E" w:rsidP="00B7693E">
            <w:pPr>
              <w:pStyle w:val="TableNumber"/>
              <w:keepNext/>
              <w:keepLines/>
              <w:rPr>
                <w:b/>
                <w:bCs/>
                <w:highlight w:val="yellow"/>
                <w:lang w:eastAsia="en-AU"/>
              </w:rPr>
            </w:pPr>
            <w:r w:rsidRPr="002D4482">
              <w:t>$</w:t>
            </w:r>
            <w:r w:rsidRPr="002D4482">
              <w:rPr>
                <w:b/>
                <w:bCs/>
              </w:rPr>
              <w:t>Redacted</w:t>
            </w:r>
          </w:p>
        </w:tc>
        <w:tc>
          <w:tcPr>
            <w:tcW w:w="1681" w:type="dxa"/>
            <w:tcBorders>
              <w:top w:val="single" w:sz="4" w:space="0" w:color="000000"/>
              <w:left w:val="single" w:sz="4" w:space="0" w:color="000000"/>
              <w:bottom w:val="single" w:sz="4" w:space="0" w:color="000000"/>
              <w:right w:val="single" w:sz="4" w:space="0" w:color="000000"/>
            </w:tcBorders>
          </w:tcPr>
          <w:p w14:paraId="3C780C51" w14:textId="77777777" w:rsidR="002F03F5" w:rsidRPr="00906285" w:rsidRDefault="008F23FF" w:rsidP="00B7693E">
            <w:pPr>
              <w:pStyle w:val="TableNumber"/>
              <w:keepNext/>
              <w:keepLines/>
              <w:rPr>
                <w:bCs/>
                <w:lang w:eastAsia="en-AU"/>
              </w:rPr>
            </w:pPr>
            <w:r w:rsidRPr="00906285">
              <w:t>$0</w:t>
            </w:r>
          </w:p>
        </w:tc>
        <w:tc>
          <w:tcPr>
            <w:tcW w:w="1672" w:type="dxa"/>
            <w:tcBorders>
              <w:top w:val="single" w:sz="4" w:space="0" w:color="000000"/>
              <w:left w:val="single" w:sz="4" w:space="0" w:color="000000"/>
              <w:bottom w:val="single" w:sz="4" w:space="0" w:color="000000"/>
              <w:right w:val="single" w:sz="4" w:space="0" w:color="000000"/>
            </w:tcBorders>
          </w:tcPr>
          <w:p w14:paraId="3C780C52" w14:textId="4DF51E34" w:rsidR="002F03F5" w:rsidRPr="002D4482" w:rsidRDefault="0066703E" w:rsidP="00B7693E">
            <w:pPr>
              <w:pStyle w:val="TableNumber"/>
              <w:keepNext/>
              <w:keepLines/>
              <w:rPr>
                <w:bCs/>
                <w:highlight w:val="yellow"/>
                <w:lang w:eastAsia="en-AU"/>
              </w:rPr>
            </w:pPr>
            <w:r w:rsidRPr="00077CA5">
              <w:t>$</w:t>
            </w:r>
            <w:r w:rsidRPr="00077CA5">
              <w:rPr>
                <w:b/>
                <w:bCs/>
              </w:rPr>
              <w:t>Redacted</w:t>
            </w:r>
          </w:p>
        </w:tc>
        <w:tc>
          <w:tcPr>
            <w:tcW w:w="1674" w:type="dxa"/>
            <w:tcBorders>
              <w:top w:val="single" w:sz="4" w:space="0" w:color="000000"/>
              <w:left w:val="single" w:sz="4" w:space="0" w:color="000000"/>
              <w:bottom w:val="single" w:sz="4" w:space="0" w:color="000000"/>
              <w:right w:val="single" w:sz="4" w:space="0" w:color="000000"/>
            </w:tcBorders>
            <w:vAlign w:val="center"/>
          </w:tcPr>
          <w:p w14:paraId="3C780C53" w14:textId="414126E4" w:rsidR="002F03F5" w:rsidRPr="002D4482" w:rsidRDefault="0066703E" w:rsidP="002D4482">
            <w:pPr>
              <w:pStyle w:val="TableNumber"/>
              <w:keepNext/>
              <w:keepLines/>
              <w:rPr>
                <w:bCs/>
                <w:highlight w:val="yellow"/>
                <w:lang w:eastAsia="en-AU"/>
              </w:rPr>
            </w:pPr>
            <w:r w:rsidRPr="00077CA5">
              <w:rPr>
                <w:b/>
                <w:bCs/>
              </w:rPr>
              <w:t>Redacted</w:t>
            </w:r>
            <w:r>
              <w:t>%</w:t>
            </w:r>
          </w:p>
        </w:tc>
      </w:tr>
      <w:tr w:rsidR="002F03F5" w14:paraId="3C780C5A"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55" w14:textId="74235E79" w:rsidR="002F03F5" w:rsidRDefault="00B14353" w:rsidP="00B7693E">
            <w:pPr>
              <w:pStyle w:val="TableText"/>
              <w:keepNext/>
              <w:keepLines/>
              <w:rPr>
                <w:bCs/>
                <w:lang w:eastAsia="en-AU"/>
              </w:rPr>
            </w:pPr>
            <w:r w:rsidRPr="00B14353">
              <w:rPr>
                <w:bCs/>
                <w:i/>
                <w:iCs/>
                <w:lang w:eastAsia="en-AU"/>
              </w:rPr>
              <w:t>RET</w:t>
            </w:r>
            <w:r w:rsidR="008F23FF">
              <w:rPr>
                <w:bCs/>
                <w:i/>
                <w:iCs/>
                <w:lang w:eastAsia="en-AU"/>
              </w:rPr>
              <w:t xml:space="preserve"> </w:t>
            </w:r>
            <w:r w:rsidR="008F23FF">
              <w:rPr>
                <w:bCs/>
                <w:lang w:eastAsia="en-AU"/>
              </w:rPr>
              <w:t xml:space="preserve">variant testing </w:t>
            </w:r>
          </w:p>
        </w:tc>
        <w:tc>
          <w:tcPr>
            <w:tcW w:w="1802" w:type="dxa"/>
            <w:tcBorders>
              <w:top w:val="single" w:sz="4" w:space="0" w:color="000000"/>
              <w:left w:val="single" w:sz="4" w:space="0" w:color="000000"/>
              <w:bottom w:val="single" w:sz="4" w:space="0" w:color="000000"/>
              <w:right w:val="single" w:sz="4" w:space="0" w:color="000000"/>
            </w:tcBorders>
          </w:tcPr>
          <w:p w14:paraId="3C780C56" w14:textId="77777777" w:rsidR="002F03F5" w:rsidRPr="00906285" w:rsidRDefault="008F23FF" w:rsidP="00B7693E">
            <w:pPr>
              <w:pStyle w:val="TableNumber"/>
              <w:keepNext/>
              <w:keepLines/>
              <w:rPr>
                <w:bCs/>
                <w:lang w:eastAsia="en-AU"/>
              </w:rPr>
            </w:pPr>
            <w:r w:rsidRPr="00906285">
              <w:t>$1,189</w:t>
            </w:r>
          </w:p>
        </w:tc>
        <w:tc>
          <w:tcPr>
            <w:tcW w:w="1681" w:type="dxa"/>
            <w:tcBorders>
              <w:top w:val="single" w:sz="4" w:space="0" w:color="000000"/>
              <w:left w:val="single" w:sz="4" w:space="0" w:color="000000"/>
              <w:bottom w:val="single" w:sz="4" w:space="0" w:color="000000"/>
              <w:right w:val="single" w:sz="4" w:space="0" w:color="000000"/>
            </w:tcBorders>
          </w:tcPr>
          <w:p w14:paraId="3C780C57" w14:textId="77777777" w:rsidR="002F03F5" w:rsidRPr="00906285" w:rsidRDefault="008F23FF" w:rsidP="00B7693E">
            <w:pPr>
              <w:pStyle w:val="TableNumber"/>
              <w:keepNext/>
              <w:keepLines/>
              <w:rPr>
                <w:bCs/>
                <w:lang w:eastAsia="en-AU"/>
              </w:rPr>
            </w:pPr>
            <w:r w:rsidRPr="00906285">
              <w:t>$0</w:t>
            </w:r>
          </w:p>
        </w:tc>
        <w:tc>
          <w:tcPr>
            <w:tcW w:w="1672" w:type="dxa"/>
            <w:tcBorders>
              <w:top w:val="single" w:sz="4" w:space="0" w:color="000000"/>
              <w:left w:val="single" w:sz="4" w:space="0" w:color="000000"/>
              <w:bottom w:val="single" w:sz="4" w:space="0" w:color="000000"/>
              <w:right w:val="single" w:sz="4" w:space="0" w:color="000000"/>
            </w:tcBorders>
          </w:tcPr>
          <w:p w14:paraId="3C780C58" w14:textId="77777777" w:rsidR="002F03F5" w:rsidRPr="00906285" w:rsidRDefault="008F23FF" w:rsidP="00B7693E">
            <w:pPr>
              <w:pStyle w:val="TableNumber"/>
              <w:keepNext/>
              <w:keepLines/>
              <w:rPr>
                <w:bCs/>
                <w:lang w:eastAsia="en-AU"/>
              </w:rPr>
            </w:pPr>
            <w:r w:rsidRPr="00906285">
              <w:t>$1,189</w:t>
            </w:r>
          </w:p>
        </w:tc>
        <w:tc>
          <w:tcPr>
            <w:tcW w:w="1674" w:type="dxa"/>
            <w:tcBorders>
              <w:top w:val="single" w:sz="4" w:space="0" w:color="000000"/>
              <w:left w:val="single" w:sz="4" w:space="0" w:color="000000"/>
              <w:bottom w:val="single" w:sz="4" w:space="0" w:color="000000"/>
              <w:right w:val="single" w:sz="4" w:space="0" w:color="000000"/>
            </w:tcBorders>
          </w:tcPr>
          <w:p w14:paraId="3C780C59" w14:textId="77777777" w:rsidR="002F03F5" w:rsidRPr="002D4482" w:rsidRDefault="008F23FF" w:rsidP="00B7693E">
            <w:pPr>
              <w:pStyle w:val="TableNumber"/>
              <w:keepNext/>
              <w:keepLines/>
              <w:rPr>
                <w:bCs/>
                <w:highlight w:val="yellow"/>
                <w:lang w:eastAsia="en-AU"/>
              </w:rPr>
            </w:pPr>
            <w:r w:rsidRPr="00906285">
              <w:t>0%</w:t>
            </w:r>
          </w:p>
        </w:tc>
      </w:tr>
      <w:tr w:rsidR="002F03F5" w14:paraId="3C780C60"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5B" w14:textId="77777777" w:rsidR="002F03F5" w:rsidRDefault="008F23FF" w:rsidP="00B7693E">
            <w:pPr>
              <w:pStyle w:val="TableText"/>
              <w:keepNext/>
              <w:keepLines/>
              <w:rPr>
                <w:bCs/>
                <w:vertAlign w:val="superscript"/>
                <w:lang w:eastAsia="en-AU"/>
              </w:rPr>
            </w:pPr>
            <w:r>
              <w:rPr>
                <w:bCs/>
                <w:lang w:eastAsia="en-AU"/>
              </w:rPr>
              <w:t xml:space="preserve">Disease </w:t>
            </w:r>
            <w:proofErr w:type="spellStart"/>
            <w:r>
              <w:rPr>
                <w:bCs/>
                <w:lang w:eastAsia="en-AU"/>
              </w:rPr>
              <w:t>management</w:t>
            </w:r>
            <w:r>
              <w:rPr>
                <w:bCs/>
                <w:vertAlign w:val="superscript"/>
                <w:lang w:eastAsia="en-AU"/>
              </w:rPr>
              <w:t>a</w:t>
            </w:r>
            <w:proofErr w:type="spellEnd"/>
          </w:p>
        </w:tc>
        <w:tc>
          <w:tcPr>
            <w:tcW w:w="1802" w:type="dxa"/>
            <w:tcBorders>
              <w:top w:val="single" w:sz="4" w:space="0" w:color="000000"/>
              <w:left w:val="single" w:sz="4" w:space="0" w:color="000000"/>
              <w:bottom w:val="single" w:sz="4" w:space="0" w:color="000000"/>
              <w:right w:val="single" w:sz="4" w:space="0" w:color="000000"/>
            </w:tcBorders>
          </w:tcPr>
          <w:p w14:paraId="3C780C5C" w14:textId="77777777" w:rsidR="002F03F5" w:rsidRPr="00906285" w:rsidRDefault="008F23FF" w:rsidP="00B7693E">
            <w:pPr>
              <w:pStyle w:val="TableNumber"/>
              <w:keepNext/>
              <w:keepLines/>
              <w:rPr>
                <w:bCs/>
                <w:lang w:eastAsia="en-AU"/>
              </w:rPr>
            </w:pPr>
            <w:r w:rsidRPr="00906285">
              <w:t>$11,836</w:t>
            </w:r>
          </w:p>
        </w:tc>
        <w:tc>
          <w:tcPr>
            <w:tcW w:w="1681" w:type="dxa"/>
            <w:tcBorders>
              <w:top w:val="single" w:sz="4" w:space="0" w:color="000000"/>
              <w:left w:val="single" w:sz="4" w:space="0" w:color="000000"/>
              <w:bottom w:val="single" w:sz="4" w:space="0" w:color="000000"/>
              <w:right w:val="single" w:sz="4" w:space="0" w:color="000000"/>
            </w:tcBorders>
          </w:tcPr>
          <w:p w14:paraId="3C780C5D" w14:textId="77777777" w:rsidR="002F03F5" w:rsidRPr="00906285" w:rsidRDefault="008F23FF" w:rsidP="00B7693E">
            <w:pPr>
              <w:pStyle w:val="TableNumber"/>
              <w:keepNext/>
              <w:keepLines/>
              <w:rPr>
                <w:bCs/>
                <w:lang w:eastAsia="en-AU"/>
              </w:rPr>
            </w:pPr>
            <w:r w:rsidRPr="00906285">
              <w:t>$5,686</w:t>
            </w:r>
          </w:p>
        </w:tc>
        <w:tc>
          <w:tcPr>
            <w:tcW w:w="1672" w:type="dxa"/>
            <w:tcBorders>
              <w:top w:val="single" w:sz="4" w:space="0" w:color="000000"/>
              <w:left w:val="single" w:sz="4" w:space="0" w:color="000000"/>
              <w:bottom w:val="single" w:sz="4" w:space="0" w:color="000000"/>
              <w:right w:val="single" w:sz="4" w:space="0" w:color="000000"/>
            </w:tcBorders>
          </w:tcPr>
          <w:p w14:paraId="3C780C5E" w14:textId="77777777" w:rsidR="002F03F5" w:rsidRPr="00906285" w:rsidRDefault="008F23FF" w:rsidP="00B7693E">
            <w:pPr>
              <w:pStyle w:val="TableNumber"/>
              <w:keepNext/>
              <w:keepLines/>
              <w:rPr>
                <w:bCs/>
                <w:lang w:eastAsia="en-AU"/>
              </w:rPr>
            </w:pPr>
            <w:r w:rsidRPr="00906285">
              <w:t>$6,150</w:t>
            </w:r>
          </w:p>
        </w:tc>
        <w:tc>
          <w:tcPr>
            <w:tcW w:w="1674" w:type="dxa"/>
            <w:tcBorders>
              <w:top w:val="single" w:sz="4" w:space="0" w:color="000000"/>
              <w:left w:val="single" w:sz="4" w:space="0" w:color="000000"/>
              <w:bottom w:val="single" w:sz="4" w:space="0" w:color="000000"/>
              <w:right w:val="single" w:sz="4" w:space="0" w:color="000000"/>
            </w:tcBorders>
          </w:tcPr>
          <w:p w14:paraId="3C780C5F" w14:textId="7B7DBD29" w:rsidR="002F03F5" w:rsidRPr="002D4482" w:rsidRDefault="0066703E" w:rsidP="00B7693E">
            <w:pPr>
              <w:pStyle w:val="TableNumber"/>
              <w:keepNext/>
              <w:keepLines/>
              <w:rPr>
                <w:bCs/>
                <w:highlight w:val="yellow"/>
                <w:lang w:eastAsia="en-AU"/>
              </w:rPr>
            </w:pPr>
            <w:r w:rsidRPr="00077CA5">
              <w:rPr>
                <w:b/>
                <w:bCs/>
              </w:rPr>
              <w:t>Redacted</w:t>
            </w:r>
            <w:r>
              <w:t>%</w:t>
            </w:r>
          </w:p>
        </w:tc>
      </w:tr>
      <w:tr w:rsidR="002F03F5" w14:paraId="3C780C66"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61" w14:textId="77777777" w:rsidR="002F03F5" w:rsidRDefault="008F23FF" w:rsidP="00B7693E">
            <w:pPr>
              <w:pStyle w:val="TableText"/>
              <w:keepNext/>
              <w:keepLines/>
              <w:rPr>
                <w:bCs/>
                <w:lang w:eastAsia="en-AU"/>
              </w:rPr>
            </w:pPr>
            <w:r>
              <w:rPr>
                <w:bCs/>
                <w:lang w:eastAsia="en-AU"/>
              </w:rPr>
              <w:t xml:space="preserve">AE management </w:t>
            </w:r>
          </w:p>
        </w:tc>
        <w:tc>
          <w:tcPr>
            <w:tcW w:w="1802" w:type="dxa"/>
            <w:tcBorders>
              <w:top w:val="single" w:sz="4" w:space="0" w:color="000000"/>
              <w:left w:val="single" w:sz="4" w:space="0" w:color="000000"/>
              <w:bottom w:val="single" w:sz="4" w:space="0" w:color="000000"/>
              <w:right w:val="single" w:sz="4" w:space="0" w:color="000000"/>
            </w:tcBorders>
          </w:tcPr>
          <w:p w14:paraId="3C780C62" w14:textId="77777777" w:rsidR="002F03F5" w:rsidRPr="00906285" w:rsidRDefault="008F23FF" w:rsidP="00B7693E">
            <w:pPr>
              <w:pStyle w:val="TableNumber"/>
              <w:keepNext/>
              <w:keepLines/>
              <w:rPr>
                <w:bCs/>
                <w:lang w:eastAsia="en-AU"/>
              </w:rPr>
            </w:pPr>
            <w:r w:rsidRPr="00906285">
              <w:t>$3,210</w:t>
            </w:r>
          </w:p>
        </w:tc>
        <w:tc>
          <w:tcPr>
            <w:tcW w:w="1681" w:type="dxa"/>
            <w:tcBorders>
              <w:top w:val="single" w:sz="4" w:space="0" w:color="000000"/>
              <w:left w:val="single" w:sz="4" w:space="0" w:color="000000"/>
              <w:bottom w:val="single" w:sz="4" w:space="0" w:color="000000"/>
              <w:right w:val="single" w:sz="4" w:space="0" w:color="000000"/>
            </w:tcBorders>
          </w:tcPr>
          <w:p w14:paraId="3C780C63" w14:textId="77777777" w:rsidR="002F03F5" w:rsidRPr="00906285" w:rsidRDefault="008F23FF" w:rsidP="00B7693E">
            <w:pPr>
              <w:pStyle w:val="TableNumber"/>
              <w:keepNext/>
              <w:keepLines/>
              <w:rPr>
                <w:bCs/>
                <w:lang w:eastAsia="en-AU"/>
              </w:rPr>
            </w:pPr>
            <w:r w:rsidRPr="00906285">
              <w:t>$1,035</w:t>
            </w:r>
          </w:p>
        </w:tc>
        <w:tc>
          <w:tcPr>
            <w:tcW w:w="1672" w:type="dxa"/>
            <w:tcBorders>
              <w:top w:val="single" w:sz="4" w:space="0" w:color="000000"/>
              <w:left w:val="single" w:sz="4" w:space="0" w:color="000000"/>
              <w:bottom w:val="single" w:sz="4" w:space="0" w:color="000000"/>
              <w:right w:val="single" w:sz="4" w:space="0" w:color="000000"/>
            </w:tcBorders>
          </w:tcPr>
          <w:p w14:paraId="3C780C64" w14:textId="77777777" w:rsidR="002F03F5" w:rsidRPr="00906285" w:rsidRDefault="008F23FF" w:rsidP="00B7693E">
            <w:pPr>
              <w:pStyle w:val="TableNumber"/>
              <w:keepNext/>
              <w:keepLines/>
              <w:rPr>
                <w:bCs/>
                <w:lang w:eastAsia="en-AU"/>
              </w:rPr>
            </w:pPr>
            <w:r w:rsidRPr="00906285">
              <w:t>$2,175</w:t>
            </w:r>
          </w:p>
        </w:tc>
        <w:tc>
          <w:tcPr>
            <w:tcW w:w="1674" w:type="dxa"/>
            <w:tcBorders>
              <w:top w:val="single" w:sz="4" w:space="0" w:color="000000"/>
              <w:left w:val="single" w:sz="4" w:space="0" w:color="000000"/>
              <w:bottom w:val="single" w:sz="4" w:space="0" w:color="000000"/>
              <w:right w:val="single" w:sz="4" w:space="0" w:color="000000"/>
            </w:tcBorders>
          </w:tcPr>
          <w:p w14:paraId="3C780C65" w14:textId="0B6EDF5F" w:rsidR="002F03F5" w:rsidRPr="002D4482" w:rsidRDefault="0066703E" w:rsidP="00B7693E">
            <w:pPr>
              <w:pStyle w:val="TableNumber"/>
              <w:keepNext/>
              <w:keepLines/>
              <w:rPr>
                <w:bCs/>
                <w:highlight w:val="yellow"/>
                <w:lang w:eastAsia="en-AU"/>
              </w:rPr>
            </w:pPr>
            <w:r w:rsidRPr="00077CA5">
              <w:rPr>
                <w:b/>
                <w:bCs/>
              </w:rPr>
              <w:t>Redacted</w:t>
            </w:r>
            <w:r>
              <w:t>%</w:t>
            </w:r>
          </w:p>
        </w:tc>
      </w:tr>
      <w:tr w:rsidR="002F03F5" w14:paraId="3C780C6C"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67" w14:textId="77777777" w:rsidR="002F03F5" w:rsidRDefault="008F23FF" w:rsidP="00B7693E">
            <w:pPr>
              <w:pStyle w:val="TableText"/>
              <w:keepNext/>
              <w:keepLines/>
              <w:rPr>
                <w:bCs/>
                <w:lang w:eastAsia="en-AU"/>
              </w:rPr>
            </w:pPr>
            <w:r>
              <w:rPr>
                <w:bCs/>
                <w:lang w:eastAsia="en-AU"/>
              </w:rPr>
              <w:t xml:space="preserve">Terminal care </w:t>
            </w:r>
          </w:p>
        </w:tc>
        <w:tc>
          <w:tcPr>
            <w:tcW w:w="1802" w:type="dxa"/>
            <w:tcBorders>
              <w:top w:val="single" w:sz="4" w:space="0" w:color="000000"/>
              <w:left w:val="single" w:sz="4" w:space="0" w:color="000000"/>
              <w:bottom w:val="single" w:sz="4" w:space="0" w:color="000000"/>
              <w:right w:val="single" w:sz="4" w:space="0" w:color="000000"/>
            </w:tcBorders>
          </w:tcPr>
          <w:p w14:paraId="3C780C68" w14:textId="77777777" w:rsidR="002F03F5" w:rsidRPr="00906285" w:rsidRDefault="008F23FF" w:rsidP="00B7693E">
            <w:pPr>
              <w:pStyle w:val="TableNumber"/>
              <w:keepNext/>
              <w:keepLines/>
              <w:rPr>
                <w:bCs/>
                <w:lang w:eastAsia="en-AU"/>
              </w:rPr>
            </w:pPr>
            <w:r w:rsidRPr="00906285">
              <w:t>$22,142</w:t>
            </w:r>
          </w:p>
        </w:tc>
        <w:tc>
          <w:tcPr>
            <w:tcW w:w="1681" w:type="dxa"/>
            <w:tcBorders>
              <w:top w:val="single" w:sz="4" w:space="0" w:color="000000"/>
              <w:left w:val="single" w:sz="4" w:space="0" w:color="000000"/>
              <w:bottom w:val="single" w:sz="4" w:space="0" w:color="000000"/>
              <w:right w:val="single" w:sz="4" w:space="0" w:color="000000"/>
            </w:tcBorders>
          </w:tcPr>
          <w:p w14:paraId="3C780C69" w14:textId="77777777" w:rsidR="002F03F5" w:rsidRPr="00906285" w:rsidRDefault="008F23FF" w:rsidP="00B7693E">
            <w:pPr>
              <w:pStyle w:val="TableNumber"/>
              <w:keepNext/>
              <w:keepLines/>
              <w:rPr>
                <w:bCs/>
                <w:lang w:eastAsia="en-AU"/>
              </w:rPr>
            </w:pPr>
            <w:r w:rsidRPr="00906285">
              <w:t>$35,022</w:t>
            </w:r>
          </w:p>
        </w:tc>
        <w:tc>
          <w:tcPr>
            <w:tcW w:w="1672" w:type="dxa"/>
            <w:tcBorders>
              <w:top w:val="single" w:sz="4" w:space="0" w:color="000000"/>
              <w:left w:val="single" w:sz="4" w:space="0" w:color="000000"/>
              <w:bottom w:val="single" w:sz="4" w:space="0" w:color="000000"/>
              <w:right w:val="single" w:sz="4" w:space="0" w:color="000000"/>
            </w:tcBorders>
          </w:tcPr>
          <w:p w14:paraId="3C780C6A" w14:textId="77777777" w:rsidR="002F03F5" w:rsidRPr="00906285" w:rsidRDefault="008F23FF" w:rsidP="00B7693E">
            <w:pPr>
              <w:pStyle w:val="TableNumber"/>
              <w:keepNext/>
              <w:keepLines/>
              <w:rPr>
                <w:bCs/>
                <w:lang w:eastAsia="en-AU"/>
              </w:rPr>
            </w:pPr>
            <w:r w:rsidRPr="00906285">
              <w:t xml:space="preserve"> $12,881</w:t>
            </w:r>
          </w:p>
        </w:tc>
        <w:tc>
          <w:tcPr>
            <w:tcW w:w="1674" w:type="dxa"/>
            <w:tcBorders>
              <w:top w:val="single" w:sz="4" w:space="0" w:color="000000"/>
              <w:left w:val="single" w:sz="4" w:space="0" w:color="000000"/>
              <w:bottom w:val="single" w:sz="4" w:space="0" w:color="000000"/>
              <w:right w:val="single" w:sz="4" w:space="0" w:color="000000"/>
            </w:tcBorders>
          </w:tcPr>
          <w:p w14:paraId="3C780C6B" w14:textId="377C0173" w:rsidR="002F03F5" w:rsidRPr="002D4482" w:rsidRDefault="0066703E" w:rsidP="00B7693E">
            <w:pPr>
              <w:pStyle w:val="TableNumber"/>
              <w:keepNext/>
              <w:keepLines/>
              <w:rPr>
                <w:bCs/>
                <w:highlight w:val="yellow"/>
                <w:lang w:eastAsia="en-AU"/>
              </w:rPr>
            </w:pPr>
            <w:r w:rsidRPr="00077CA5">
              <w:rPr>
                <w:b/>
                <w:bCs/>
              </w:rPr>
              <w:t>Redacted</w:t>
            </w:r>
            <w:r>
              <w:t>%</w:t>
            </w:r>
          </w:p>
        </w:tc>
      </w:tr>
      <w:tr w:rsidR="002F03F5" w14:paraId="3C780C72"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6D" w14:textId="77777777" w:rsidR="002F03F5" w:rsidRDefault="008F23FF" w:rsidP="00B7693E">
            <w:pPr>
              <w:pStyle w:val="TableText"/>
              <w:keepNext/>
              <w:keepLines/>
              <w:rPr>
                <w:bCs/>
                <w:lang w:eastAsia="en-AU"/>
              </w:rPr>
            </w:pPr>
            <w:r>
              <w:rPr>
                <w:bCs/>
                <w:lang w:eastAsia="en-AU"/>
              </w:rPr>
              <w:t xml:space="preserve">Total </w:t>
            </w:r>
          </w:p>
        </w:tc>
        <w:tc>
          <w:tcPr>
            <w:tcW w:w="1802" w:type="dxa"/>
            <w:tcBorders>
              <w:top w:val="single" w:sz="4" w:space="0" w:color="000000"/>
              <w:left w:val="single" w:sz="4" w:space="0" w:color="000000"/>
              <w:bottom w:val="single" w:sz="4" w:space="0" w:color="000000"/>
              <w:right w:val="single" w:sz="4" w:space="0" w:color="000000"/>
            </w:tcBorders>
          </w:tcPr>
          <w:p w14:paraId="3C780C6E" w14:textId="2B506CA0" w:rsidR="002F03F5" w:rsidRPr="002D4482" w:rsidRDefault="0066703E" w:rsidP="00B7693E">
            <w:pPr>
              <w:pStyle w:val="TableNumber"/>
              <w:keepNext/>
              <w:keepLines/>
              <w:rPr>
                <w:bCs/>
                <w:highlight w:val="yellow"/>
                <w:lang w:eastAsia="en-AU"/>
              </w:rPr>
            </w:pPr>
            <w:r w:rsidRPr="00077CA5">
              <w:t>$</w:t>
            </w:r>
            <w:r w:rsidRPr="00077CA5">
              <w:rPr>
                <w:b/>
                <w:bCs/>
              </w:rPr>
              <w:t>Redacted</w:t>
            </w:r>
          </w:p>
        </w:tc>
        <w:tc>
          <w:tcPr>
            <w:tcW w:w="1681" w:type="dxa"/>
            <w:tcBorders>
              <w:top w:val="single" w:sz="4" w:space="0" w:color="000000"/>
              <w:left w:val="single" w:sz="4" w:space="0" w:color="000000"/>
              <w:bottom w:val="single" w:sz="4" w:space="0" w:color="000000"/>
              <w:right w:val="single" w:sz="4" w:space="0" w:color="000000"/>
            </w:tcBorders>
          </w:tcPr>
          <w:p w14:paraId="3C780C6F" w14:textId="77777777" w:rsidR="002F03F5" w:rsidRPr="00906285" w:rsidRDefault="008F23FF" w:rsidP="00B7693E">
            <w:pPr>
              <w:pStyle w:val="TableNumber"/>
              <w:keepNext/>
              <w:keepLines/>
              <w:rPr>
                <w:bCs/>
                <w:lang w:eastAsia="en-AU"/>
              </w:rPr>
            </w:pPr>
            <w:r w:rsidRPr="00906285">
              <w:t>$41,744</w:t>
            </w:r>
          </w:p>
        </w:tc>
        <w:tc>
          <w:tcPr>
            <w:tcW w:w="1672" w:type="dxa"/>
            <w:tcBorders>
              <w:top w:val="single" w:sz="4" w:space="0" w:color="000000"/>
              <w:left w:val="single" w:sz="4" w:space="0" w:color="000000"/>
              <w:bottom w:val="single" w:sz="4" w:space="0" w:color="000000"/>
              <w:right w:val="single" w:sz="4" w:space="0" w:color="000000"/>
            </w:tcBorders>
          </w:tcPr>
          <w:p w14:paraId="3C780C70" w14:textId="2CB340FC" w:rsidR="002F03F5" w:rsidRPr="00430728" w:rsidRDefault="0066703E" w:rsidP="00B7693E">
            <w:pPr>
              <w:pStyle w:val="TableNumber"/>
              <w:keepNext/>
              <w:keepLines/>
              <w:rPr>
                <w:bCs/>
                <w:highlight w:val="yellow"/>
                <w:lang w:eastAsia="en-AU"/>
              </w:rPr>
            </w:pPr>
            <w:r w:rsidRPr="00077CA5">
              <w:t>$</w:t>
            </w:r>
            <w:r w:rsidRPr="00077CA5">
              <w:rPr>
                <w:b/>
                <w:bCs/>
              </w:rPr>
              <w:t>Redacted</w:t>
            </w:r>
          </w:p>
        </w:tc>
        <w:tc>
          <w:tcPr>
            <w:tcW w:w="1674" w:type="dxa"/>
            <w:tcBorders>
              <w:top w:val="single" w:sz="4" w:space="0" w:color="000000"/>
              <w:left w:val="single" w:sz="4" w:space="0" w:color="000000"/>
              <w:bottom w:val="single" w:sz="4" w:space="0" w:color="000000"/>
              <w:right w:val="single" w:sz="4" w:space="0" w:color="000000"/>
            </w:tcBorders>
          </w:tcPr>
          <w:p w14:paraId="3C780C71" w14:textId="77777777" w:rsidR="002F03F5" w:rsidRPr="00430728" w:rsidRDefault="008F23FF" w:rsidP="00B7693E">
            <w:pPr>
              <w:pStyle w:val="TableNumber"/>
              <w:keepNext/>
              <w:keepLines/>
              <w:rPr>
                <w:bCs/>
                <w:highlight w:val="yellow"/>
                <w:lang w:eastAsia="en-AU"/>
              </w:rPr>
            </w:pPr>
            <w:r w:rsidRPr="00906285">
              <w:t>100%</w:t>
            </w:r>
          </w:p>
        </w:tc>
      </w:tr>
      <w:tr w:rsidR="002F03F5" w14:paraId="3C780C78" w14:textId="77777777" w:rsidTr="00FC7CAF">
        <w:tc>
          <w:tcPr>
            <w:tcW w:w="2187" w:type="dxa"/>
            <w:tcBorders>
              <w:top w:val="single" w:sz="4" w:space="0" w:color="000000"/>
              <w:left w:val="single" w:sz="4" w:space="0" w:color="000000"/>
              <w:bottom w:val="single" w:sz="4" w:space="0" w:color="000000"/>
            </w:tcBorders>
            <w:vAlign w:val="center"/>
          </w:tcPr>
          <w:p w14:paraId="3C780C73" w14:textId="77777777" w:rsidR="002F03F5" w:rsidRDefault="008F23FF" w:rsidP="00B7693E">
            <w:pPr>
              <w:pStyle w:val="TableText"/>
              <w:keepNext/>
              <w:keepLines/>
              <w:rPr>
                <w:b/>
                <w:bCs/>
                <w:lang w:eastAsia="en-AU"/>
              </w:rPr>
            </w:pPr>
            <w:r>
              <w:rPr>
                <w:b/>
                <w:bCs/>
                <w:lang w:eastAsia="en-AU"/>
              </w:rPr>
              <w:t>LYG</w:t>
            </w:r>
          </w:p>
        </w:tc>
        <w:tc>
          <w:tcPr>
            <w:tcW w:w="1802" w:type="dxa"/>
            <w:tcBorders>
              <w:top w:val="single" w:sz="4" w:space="0" w:color="000000"/>
              <w:bottom w:val="single" w:sz="4" w:space="0" w:color="000000"/>
            </w:tcBorders>
          </w:tcPr>
          <w:p w14:paraId="3C780C74" w14:textId="77777777" w:rsidR="002F03F5" w:rsidRDefault="002F03F5" w:rsidP="00B7693E">
            <w:pPr>
              <w:pStyle w:val="TableText"/>
              <w:keepNext/>
              <w:keepLines/>
              <w:jc w:val="center"/>
              <w:rPr>
                <w:bCs/>
                <w:lang w:eastAsia="en-AU"/>
              </w:rPr>
            </w:pPr>
          </w:p>
        </w:tc>
        <w:tc>
          <w:tcPr>
            <w:tcW w:w="1681" w:type="dxa"/>
            <w:tcBorders>
              <w:top w:val="single" w:sz="4" w:space="0" w:color="000000"/>
              <w:bottom w:val="single" w:sz="4" w:space="0" w:color="000000"/>
            </w:tcBorders>
          </w:tcPr>
          <w:p w14:paraId="3C780C75" w14:textId="77777777" w:rsidR="002F03F5" w:rsidRDefault="002F03F5" w:rsidP="00B7693E">
            <w:pPr>
              <w:pStyle w:val="TableText"/>
              <w:keepNext/>
              <w:keepLines/>
              <w:jc w:val="center"/>
              <w:rPr>
                <w:bCs/>
                <w:lang w:eastAsia="en-AU"/>
              </w:rPr>
            </w:pPr>
          </w:p>
        </w:tc>
        <w:tc>
          <w:tcPr>
            <w:tcW w:w="1672" w:type="dxa"/>
            <w:tcBorders>
              <w:top w:val="single" w:sz="4" w:space="0" w:color="000000"/>
              <w:bottom w:val="single" w:sz="4" w:space="0" w:color="000000"/>
            </w:tcBorders>
          </w:tcPr>
          <w:p w14:paraId="3C780C76" w14:textId="77777777" w:rsidR="002F03F5" w:rsidRDefault="002F03F5" w:rsidP="00B7693E">
            <w:pPr>
              <w:pStyle w:val="TableText"/>
              <w:keepNext/>
              <w:keepLines/>
              <w:jc w:val="center"/>
              <w:rPr>
                <w:bCs/>
                <w:lang w:eastAsia="en-AU"/>
              </w:rPr>
            </w:pPr>
          </w:p>
        </w:tc>
        <w:tc>
          <w:tcPr>
            <w:tcW w:w="1674" w:type="dxa"/>
            <w:tcBorders>
              <w:top w:val="single" w:sz="4" w:space="0" w:color="000000"/>
              <w:bottom w:val="single" w:sz="4" w:space="0" w:color="000000"/>
              <w:right w:val="single" w:sz="4" w:space="0" w:color="000000"/>
            </w:tcBorders>
          </w:tcPr>
          <w:p w14:paraId="3C780C77" w14:textId="77777777" w:rsidR="002F03F5" w:rsidRDefault="002F03F5" w:rsidP="00B7693E">
            <w:pPr>
              <w:pStyle w:val="TableText"/>
              <w:keepNext/>
              <w:keepLines/>
              <w:jc w:val="center"/>
              <w:rPr>
                <w:bCs/>
                <w:lang w:eastAsia="en-AU"/>
              </w:rPr>
            </w:pPr>
          </w:p>
        </w:tc>
      </w:tr>
      <w:tr w:rsidR="002F03F5" w14:paraId="3C780C7E"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79" w14:textId="77777777" w:rsidR="002F03F5" w:rsidRDefault="008F23FF" w:rsidP="00B7693E">
            <w:pPr>
              <w:pStyle w:val="TableText"/>
              <w:keepNext/>
              <w:keepLines/>
              <w:rPr>
                <w:bCs/>
                <w:lang w:eastAsia="en-AU"/>
              </w:rPr>
            </w:pPr>
            <w:r>
              <w:rPr>
                <w:bCs/>
                <w:lang w:eastAsia="en-AU"/>
              </w:rPr>
              <w:t>PF</w:t>
            </w:r>
          </w:p>
        </w:tc>
        <w:tc>
          <w:tcPr>
            <w:tcW w:w="1802" w:type="dxa"/>
            <w:tcBorders>
              <w:top w:val="single" w:sz="4" w:space="0" w:color="000000"/>
              <w:left w:val="single" w:sz="4" w:space="0" w:color="000000"/>
              <w:bottom w:val="single" w:sz="4" w:space="0" w:color="000000"/>
              <w:right w:val="single" w:sz="4" w:space="0" w:color="000000"/>
            </w:tcBorders>
          </w:tcPr>
          <w:p w14:paraId="3C780C7A" w14:textId="77777777" w:rsidR="002F03F5" w:rsidRPr="00906285" w:rsidRDefault="008F23FF" w:rsidP="00B7693E">
            <w:pPr>
              <w:pStyle w:val="TableNumber"/>
              <w:keepNext/>
              <w:keepLines/>
              <w:rPr>
                <w:bCs/>
                <w:lang w:eastAsia="en-AU"/>
              </w:rPr>
            </w:pPr>
            <w:r w:rsidRPr="00906285">
              <w:t>4.433</w:t>
            </w:r>
          </w:p>
        </w:tc>
        <w:tc>
          <w:tcPr>
            <w:tcW w:w="1681" w:type="dxa"/>
            <w:tcBorders>
              <w:top w:val="single" w:sz="4" w:space="0" w:color="000000"/>
              <w:left w:val="single" w:sz="4" w:space="0" w:color="000000"/>
              <w:bottom w:val="single" w:sz="4" w:space="0" w:color="000000"/>
              <w:right w:val="single" w:sz="4" w:space="0" w:color="000000"/>
            </w:tcBorders>
          </w:tcPr>
          <w:p w14:paraId="3C780C7B" w14:textId="77777777" w:rsidR="002F03F5" w:rsidRPr="00906285" w:rsidRDefault="008F23FF" w:rsidP="00B7693E">
            <w:pPr>
              <w:pStyle w:val="TableNumber"/>
              <w:keepNext/>
              <w:keepLines/>
              <w:rPr>
                <w:bCs/>
                <w:lang w:eastAsia="en-AU"/>
              </w:rPr>
            </w:pPr>
            <w:r w:rsidRPr="00906285">
              <w:t>0.644</w:t>
            </w:r>
          </w:p>
        </w:tc>
        <w:tc>
          <w:tcPr>
            <w:tcW w:w="1672" w:type="dxa"/>
            <w:tcBorders>
              <w:top w:val="single" w:sz="4" w:space="0" w:color="000000"/>
              <w:left w:val="single" w:sz="4" w:space="0" w:color="000000"/>
              <w:bottom w:val="single" w:sz="4" w:space="0" w:color="000000"/>
              <w:right w:val="single" w:sz="4" w:space="0" w:color="000000"/>
            </w:tcBorders>
          </w:tcPr>
          <w:p w14:paraId="3C780C7C" w14:textId="77777777" w:rsidR="002F03F5" w:rsidRPr="00906285" w:rsidRDefault="008F23FF" w:rsidP="00B7693E">
            <w:pPr>
              <w:pStyle w:val="TableNumber"/>
              <w:keepNext/>
              <w:keepLines/>
              <w:rPr>
                <w:bCs/>
                <w:lang w:eastAsia="en-AU"/>
              </w:rPr>
            </w:pPr>
            <w:r w:rsidRPr="00906285">
              <w:t>3.789</w:t>
            </w:r>
          </w:p>
        </w:tc>
        <w:tc>
          <w:tcPr>
            <w:tcW w:w="1674" w:type="dxa"/>
            <w:tcBorders>
              <w:top w:val="single" w:sz="4" w:space="0" w:color="000000"/>
              <w:left w:val="single" w:sz="4" w:space="0" w:color="000000"/>
              <w:bottom w:val="single" w:sz="4" w:space="0" w:color="000000"/>
              <w:right w:val="single" w:sz="4" w:space="0" w:color="000000"/>
            </w:tcBorders>
          </w:tcPr>
          <w:p w14:paraId="3C780C7D" w14:textId="77777777" w:rsidR="002F03F5" w:rsidRPr="00906285" w:rsidRDefault="008F23FF" w:rsidP="00B7693E">
            <w:pPr>
              <w:pStyle w:val="TableNumber"/>
              <w:keepNext/>
              <w:keepLines/>
              <w:rPr>
                <w:bCs/>
                <w:lang w:eastAsia="en-AU"/>
              </w:rPr>
            </w:pPr>
            <w:r w:rsidRPr="00906285">
              <w:t>78%</w:t>
            </w:r>
          </w:p>
        </w:tc>
      </w:tr>
      <w:tr w:rsidR="002F03F5" w14:paraId="3C780C84"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7F" w14:textId="77777777" w:rsidR="002F03F5" w:rsidRDefault="008F23FF" w:rsidP="00B7693E">
            <w:pPr>
              <w:pStyle w:val="TableText"/>
              <w:keepNext/>
              <w:keepLines/>
              <w:rPr>
                <w:bCs/>
                <w:lang w:eastAsia="en-AU"/>
              </w:rPr>
            </w:pPr>
            <w:r>
              <w:rPr>
                <w:bCs/>
                <w:lang w:eastAsia="en-AU"/>
              </w:rPr>
              <w:t>PD</w:t>
            </w:r>
          </w:p>
        </w:tc>
        <w:tc>
          <w:tcPr>
            <w:tcW w:w="1802" w:type="dxa"/>
            <w:tcBorders>
              <w:top w:val="single" w:sz="4" w:space="0" w:color="000000"/>
              <w:left w:val="single" w:sz="4" w:space="0" w:color="000000"/>
              <w:bottom w:val="single" w:sz="4" w:space="0" w:color="000000"/>
              <w:right w:val="single" w:sz="4" w:space="0" w:color="000000"/>
            </w:tcBorders>
          </w:tcPr>
          <w:p w14:paraId="3C780C80" w14:textId="77777777" w:rsidR="002F03F5" w:rsidRPr="00906285" w:rsidRDefault="008F23FF" w:rsidP="00B7693E">
            <w:pPr>
              <w:pStyle w:val="TableNumber"/>
              <w:keepNext/>
              <w:keepLines/>
              <w:rPr>
                <w:bCs/>
                <w:lang w:eastAsia="en-AU"/>
              </w:rPr>
            </w:pPr>
            <w:r w:rsidRPr="00906285">
              <w:t>4.827</w:t>
            </w:r>
          </w:p>
        </w:tc>
        <w:tc>
          <w:tcPr>
            <w:tcW w:w="1681" w:type="dxa"/>
            <w:tcBorders>
              <w:top w:val="single" w:sz="4" w:space="0" w:color="000000"/>
              <w:left w:val="single" w:sz="4" w:space="0" w:color="000000"/>
              <w:bottom w:val="single" w:sz="4" w:space="0" w:color="000000"/>
              <w:right w:val="single" w:sz="4" w:space="0" w:color="000000"/>
            </w:tcBorders>
          </w:tcPr>
          <w:p w14:paraId="3C780C81" w14:textId="77777777" w:rsidR="002F03F5" w:rsidRPr="00906285" w:rsidRDefault="008F23FF" w:rsidP="00B7693E">
            <w:pPr>
              <w:pStyle w:val="TableNumber"/>
              <w:keepNext/>
              <w:keepLines/>
              <w:rPr>
                <w:bCs/>
                <w:lang w:eastAsia="en-AU"/>
              </w:rPr>
            </w:pPr>
            <w:r w:rsidRPr="00906285">
              <w:t>3.742</w:t>
            </w:r>
          </w:p>
        </w:tc>
        <w:tc>
          <w:tcPr>
            <w:tcW w:w="1672" w:type="dxa"/>
            <w:tcBorders>
              <w:top w:val="single" w:sz="4" w:space="0" w:color="000000"/>
              <w:left w:val="single" w:sz="4" w:space="0" w:color="000000"/>
              <w:bottom w:val="single" w:sz="4" w:space="0" w:color="000000"/>
              <w:right w:val="single" w:sz="4" w:space="0" w:color="000000"/>
            </w:tcBorders>
          </w:tcPr>
          <w:p w14:paraId="3C780C82" w14:textId="77777777" w:rsidR="002F03F5" w:rsidRPr="00906285" w:rsidRDefault="008F23FF" w:rsidP="00B7693E">
            <w:pPr>
              <w:pStyle w:val="TableNumber"/>
              <w:keepNext/>
              <w:keepLines/>
              <w:rPr>
                <w:bCs/>
                <w:lang w:eastAsia="en-AU"/>
              </w:rPr>
            </w:pPr>
            <w:r w:rsidRPr="00906285">
              <w:t>1.085</w:t>
            </w:r>
          </w:p>
        </w:tc>
        <w:tc>
          <w:tcPr>
            <w:tcW w:w="1674" w:type="dxa"/>
            <w:tcBorders>
              <w:top w:val="single" w:sz="4" w:space="0" w:color="000000"/>
              <w:left w:val="single" w:sz="4" w:space="0" w:color="000000"/>
              <w:bottom w:val="single" w:sz="4" w:space="0" w:color="000000"/>
              <w:right w:val="single" w:sz="4" w:space="0" w:color="000000"/>
            </w:tcBorders>
          </w:tcPr>
          <w:p w14:paraId="3C780C83" w14:textId="77777777" w:rsidR="002F03F5" w:rsidRPr="00906285" w:rsidRDefault="008F23FF" w:rsidP="00B7693E">
            <w:pPr>
              <w:pStyle w:val="TableNumber"/>
              <w:keepNext/>
              <w:keepLines/>
              <w:rPr>
                <w:bCs/>
                <w:lang w:eastAsia="en-AU"/>
              </w:rPr>
            </w:pPr>
            <w:r w:rsidRPr="00906285">
              <w:t>22%</w:t>
            </w:r>
          </w:p>
        </w:tc>
      </w:tr>
      <w:tr w:rsidR="002F03F5" w14:paraId="3C780C8A"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85" w14:textId="77777777" w:rsidR="002F03F5" w:rsidRDefault="008F23FF" w:rsidP="00B7693E">
            <w:pPr>
              <w:pStyle w:val="TableText"/>
              <w:keepNext/>
              <w:keepLines/>
              <w:rPr>
                <w:bCs/>
                <w:lang w:eastAsia="en-AU"/>
              </w:rPr>
            </w:pPr>
            <w:r>
              <w:rPr>
                <w:bCs/>
                <w:lang w:eastAsia="en-AU"/>
              </w:rPr>
              <w:t xml:space="preserve">Total </w:t>
            </w:r>
          </w:p>
        </w:tc>
        <w:tc>
          <w:tcPr>
            <w:tcW w:w="1802" w:type="dxa"/>
            <w:tcBorders>
              <w:top w:val="single" w:sz="4" w:space="0" w:color="000000"/>
              <w:left w:val="single" w:sz="4" w:space="0" w:color="000000"/>
              <w:bottom w:val="single" w:sz="4" w:space="0" w:color="000000"/>
              <w:right w:val="single" w:sz="4" w:space="0" w:color="000000"/>
            </w:tcBorders>
          </w:tcPr>
          <w:p w14:paraId="3C780C86" w14:textId="77777777" w:rsidR="002F03F5" w:rsidRPr="00906285" w:rsidRDefault="008F23FF" w:rsidP="00B7693E">
            <w:pPr>
              <w:pStyle w:val="TableNumber"/>
              <w:keepNext/>
              <w:keepLines/>
              <w:rPr>
                <w:bCs/>
                <w:lang w:eastAsia="en-AU"/>
              </w:rPr>
            </w:pPr>
            <w:r w:rsidRPr="00906285">
              <w:t>9.260</w:t>
            </w:r>
          </w:p>
        </w:tc>
        <w:tc>
          <w:tcPr>
            <w:tcW w:w="1681" w:type="dxa"/>
            <w:tcBorders>
              <w:top w:val="single" w:sz="4" w:space="0" w:color="000000"/>
              <w:left w:val="single" w:sz="4" w:space="0" w:color="000000"/>
              <w:bottom w:val="single" w:sz="4" w:space="0" w:color="000000"/>
              <w:right w:val="single" w:sz="4" w:space="0" w:color="000000"/>
            </w:tcBorders>
          </w:tcPr>
          <w:p w14:paraId="3C780C87" w14:textId="77777777" w:rsidR="002F03F5" w:rsidRPr="00906285" w:rsidRDefault="008F23FF" w:rsidP="00B7693E">
            <w:pPr>
              <w:pStyle w:val="TableNumber"/>
              <w:keepNext/>
              <w:keepLines/>
              <w:rPr>
                <w:bCs/>
                <w:lang w:eastAsia="en-AU"/>
              </w:rPr>
            </w:pPr>
            <w:r w:rsidRPr="00906285">
              <w:t>4.385</w:t>
            </w:r>
          </w:p>
        </w:tc>
        <w:tc>
          <w:tcPr>
            <w:tcW w:w="1672" w:type="dxa"/>
            <w:tcBorders>
              <w:top w:val="single" w:sz="4" w:space="0" w:color="000000"/>
              <w:left w:val="single" w:sz="4" w:space="0" w:color="000000"/>
              <w:bottom w:val="single" w:sz="4" w:space="0" w:color="000000"/>
              <w:right w:val="single" w:sz="4" w:space="0" w:color="000000"/>
            </w:tcBorders>
          </w:tcPr>
          <w:p w14:paraId="3C780C88" w14:textId="77777777" w:rsidR="002F03F5" w:rsidRPr="00906285" w:rsidRDefault="008F23FF" w:rsidP="00B7693E">
            <w:pPr>
              <w:pStyle w:val="TableNumber"/>
              <w:keepNext/>
              <w:keepLines/>
              <w:rPr>
                <w:bCs/>
                <w:lang w:eastAsia="en-AU"/>
              </w:rPr>
            </w:pPr>
            <w:r w:rsidRPr="00906285">
              <w:t>4.875</w:t>
            </w:r>
          </w:p>
        </w:tc>
        <w:tc>
          <w:tcPr>
            <w:tcW w:w="1674" w:type="dxa"/>
            <w:tcBorders>
              <w:top w:val="single" w:sz="4" w:space="0" w:color="000000"/>
              <w:left w:val="single" w:sz="4" w:space="0" w:color="000000"/>
              <w:bottom w:val="single" w:sz="4" w:space="0" w:color="000000"/>
              <w:right w:val="single" w:sz="4" w:space="0" w:color="000000"/>
            </w:tcBorders>
          </w:tcPr>
          <w:p w14:paraId="3C780C89" w14:textId="77777777" w:rsidR="002F03F5" w:rsidRPr="00906285" w:rsidRDefault="008F23FF" w:rsidP="00B7693E">
            <w:pPr>
              <w:pStyle w:val="TableNumber"/>
              <w:keepNext/>
              <w:keepLines/>
              <w:rPr>
                <w:bCs/>
                <w:lang w:eastAsia="en-AU"/>
              </w:rPr>
            </w:pPr>
            <w:r w:rsidRPr="00906285">
              <w:t>100%</w:t>
            </w:r>
          </w:p>
        </w:tc>
      </w:tr>
      <w:tr w:rsidR="002F03F5" w14:paraId="3C780C90" w14:textId="77777777" w:rsidTr="00FC7CAF">
        <w:tc>
          <w:tcPr>
            <w:tcW w:w="2187" w:type="dxa"/>
            <w:tcBorders>
              <w:top w:val="single" w:sz="4" w:space="0" w:color="000000"/>
              <w:left w:val="single" w:sz="4" w:space="0" w:color="000000"/>
              <w:bottom w:val="single" w:sz="4" w:space="0" w:color="000000"/>
            </w:tcBorders>
            <w:vAlign w:val="center"/>
          </w:tcPr>
          <w:p w14:paraId="3C780C8B" w14:textId="77777777" w:rsidR="002F03F5" w:rsidRDefault="008F23FF" w:rsidP="00B7693E">
            <w:pPr>
              <w:pStyle w:val="TableText"/>
              <w:keepNext/>
              <w:keepLines/>
              <w:rPr>
                <w:b/>
                <w:bCs/>
                <w:lang w:eastAsia="en-AU"/>
              </w:rPr>
            </w:pPr>
            <w:r>
              <w:rPr>
                <w:b/>
                <w:bCs/>
                <w:lang w:eastAsia="en-AU"/>
              </w:rPr>
              <w:t>QALYs gained</w:t>
            </w:r>
          </w:p>
        </w:tc>
        <w:tc>
          <w:tcPr>
            <w:tcW w:w="1802" w:type="dxa"/>
            <w:tcBorders>
              <w:top w:val="single" w:sz="4" w:space="0" w:color="000000"/>
              <w:bottom w:val="single" w:sz="4" w:space="0" w:color="000000"/>
            </w:tcBorders>
          </w:tcPr>
          <w:p w14:paraId="3C780C8C" w14:textId="77777777" w:rsidR="002F03F5" w:rsidRPr="00906285" w:rsidRDefault="002F03F5" w:rsidP="00B7693E">
            <w:pPr>
              <w:pStyle w:val="TableText"/>
              <w:keepNext/>
              <w:keepLines/>
              <w:jc w:val="center"/>
              <w:rPr>
                <w:bCs/>
                <w:lang w:eastAsia="en-AU"/>
              </w:rPr>
            </w:pPr>
          </w:p>
        </w:tc>
        <w:tc>
          <w:tcPr>
            <w:tcW w:w="1681" w:type="dxa"/>
            <w:tcBorders>
              <w:top w:val="single" w:sz="4" w:space="0" w:color="000000"/>
              <w:bottom w:val="single" w:sz="4" w:space="0" w:color="000000"/>
            </w:tcBorders>
          </w:tcPr>
          <w:p w14:paraId="3C780C8D" w14:textId="77777777" w:rsidR="002F03F5" w:rsidRPr="00906285" w:rsidRDefault="002F03F5" w:rsidP="00B7693E">
            <w:pPr>
              <w:pStyle w:val="TableText"/>
              <w:keepNext/>
              <w:keepLines/>
              <w:jc w:val="center"/>
              <w:rPr>
                <w:bCs/>
                <w:lang w:eastAsia="en-AU"/>
              </w:rPr>
            </w:pPr>
          </w:p>
        </w:tc>
        <w:tc>
          <w:tcPr>
            <w:tcW w:w="1672" w:type="dxa"/>
            <w:tcBorders>
              <w:top w:val="single" w:sz="4" w:space="0" w:color="000000"/>
              <w:bottom w:val="single" w:sz="4" w:space="0" w:color="000000"/>
            </w:tcBorders>
          </w:tcPr>
          <w:p w14:paraId="3C780C8E" w14:textId="77777777" w:rsidR="002F03F5" w:rsidRPr="00906285" w:rsidRDefault="002F03F5" w:rsidP="00B7693E">
            <w:pPr>
              <w:pStyle w:val="TableText"/>
              <w:keepNext/>
              <w:keepLines/>
              <w:jc w:val="center"/>
              <w:rPr>
                <w:bCs/>
                <w:lang w:eastAsia="en-AU"/>
              </w:rPr>
            </w:pPr>
          </w:p>
        </w:tc>
        <w:tc>
          <w:tcPr>
            <w:tcW w:w="1674" w:type="dxa"/>
            <w:tcBorders>
              <w:top w:val="single" w:sz="4" w:space="0" w:color="000000"/>
              <w:bottom w:val="single" w:sz="4" w:space="0" w:color="000000"/>
              <w:right w:val="single" w:sz="4" w:space="0" w:color="000000"/>
            </w:tcBorders>
          </w:tcPr>
          <w:p w14:paraId="3C780C8F" w14:textId="77777777" w:rsidR="002F03F5" w:rsidRPr="00906285" w:rsidRDefault="002F03F5" w:rsidP="00B7693E">
            <w:pPr>
              <w:pStyle w:val="TableText"/>
              <w:keepNext/>
              <w:keepLines/>
              <w:jc w:val="center"/>
              <w:rPr>
                <w:bCs/>
                <w:lang w:eastAsia="en-AU"/>
              </w:rPr>
            </w:pPr>
          </w:p>
        </w:tc>
      </w:tr>
      <w:tr w:rsidR="002F03F5" w14:paraId="3C780C96"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91" w14:textId="77777777" w:rsidR="002F03F5" w:rsidRDefault="008F23FF" w:rsidP="00B7693E">
            <w:pPr>
              <w:pStyle w:val="TableText"/>
              <w:keepNext/>
              <w:keepLines/>
              <w:rPr>
                <w:bCs/>
                <w:lang w:eastAsia="en-AU"/>
              </w:rPr>
            </w:pPr>
            <w:r>
              <w:rPr>
                <w:bCs/>
                <w:lang w:eastAsia="en-AU"/>
              </w:rPr>
              <w:t>PF</w:t>
            </w:r>
          </w:p>
        </w:tc>
        <w:tc>
          <w:tcPr>
            <w:tcW w:w="1802" w:type="dxa"/>
            <w:tcBorders>
              <w:top w:val="single" w:sz="4" w:space="0" w:color="000000"/>
              <w:left w:val="single" w:sz="4" w:space="0" w:color="000000"/>
              <w:bottom w:val="single" w:sz="4" w:space="0" w:color="000000"/>
              <w:right w:val="single" w:sz="4" w:space="0" w:color="000000"/>
            </w:tcBorders>
          </w:tcPr>
          <w:p w14:paraId="3C780C92" w14:textId="77777777" w:rsidR="002F03F5" w:rsidRPr="00906285" w:rsidRDefault="008F23FF" w:rsidP="00B7693E">
            <w:pPr>
              <w:pStyle w:val="TableNumber"/>
              <w:keepNext/>
              <w:keepLines/>
              <w:rPr>
                <w:bCs/>
                <w:lang w:eastAsia="en-AU"/>
              </w:rPr>
            </w:pPr>
            <w:r w:rsidRPr="00906285">
              <w:t>3.857</w:t>
            </w:r>
          </w:p>
        </w:tc>
        <w:tc>
          <w:tcPr>
            <w:tcW w:w="1681" w:type="dxa"/>
            <w:tcBorders>
              <w:top w:val="single" w:sz="4" w:space="0" w:color="000000"/>
              <w:left w:val="single" w:sz="4" w:space="0" w:color="000000"/>
              <w:bottom w:val="single" w:sz="4" w:space="0" w:color="000000"/>
              <w:right w:val="single" w:sz="4" w:space="0" w:color="000000"/>
            </w:tcBorders>
          </w:tcPr>
          <w:p w14:paraId="3C780C93" w14:textId="77777777" w:rsidR="002F03F5" w:rsidRPr="00906285" w:rsidRDefault="008F23FF" w:rsidP="00B7693E">
            <w:pPr>
              <w:pStyle w:val="TableNumber"/>
              <w:keepNext/>
              <w:keepLines/>
              <w:rPr>
                <w:bCs/>
                <w:lang w:eastAsia="en-AU"/>
              </w:rPr>
            </w:pPr>
            <w:r w:rsidRPr="00906285">
              <w:t>0.566</w:t>
            </w:r>
          </w:p>
        </w:tc>
        <w:tc>
          <w:tcPr>
            <w:tcW w:w="1672" w:type="dxa"/>
            <w:tcBorders>
              <w:top w:val="single" w:sz="4" w:space="0" w:color="000000"/>
              <w:left w:val="single" w:sz="4" w:space="0" w:color="000000"/>
              <w:bottom w:val="single" w:sz="4" w:space="0" w:color="000000"/>
              <w:right w:val="single" w:sz="4" w:space="0" w:color="000000"/>
            </w:tcBorders>
          </w:tcPr>
          <w:p w14:paraId="3C780C94" w14:textId="77777777" w:rsidR="002F03F5" w:rsidRPr="00906285" w:rsidRDefault="008F23FF" w:rsidP="00B7693E">
            <w:pPr>
              <w:pStyle w:val="TableNumber"/>
              <w:keepNext/>
              <w:keepLines/>
              <w:rPr>
                <w:bCs/>
                <w:lang w:eastAsia="en-AU"/>
              </w:rPr>
            </w:pPr>
            <w:r w:rsidRPr="00906285">
              <w:t>3.290</w:t>
            </w:r>
          </w:p>
        </w:tc>
        <w:tc>
          <w:tcPr>
            <w:tcW w:w="1674" w:type="dxa"/>
            <w:tcBorders>
              <w:top w:val="single" w:sz="4" w:space="0" w:color="000000"/>
              <w:left w:val="single" w:sz="4" w:space="0" w:color="000000"/>
              <w:bottom w:val="single" w:sz="4" w:space="0" w:color="000000"/>
              <w:right w:val="single" w:sz="4" w:space="0" w:color="000000"/>
            </w:tcBorders>
          </w:tcPr>
          <w:p w14:paraId="3C780C95" w14:textId="77777777" w:rsidR="002F03F5" w:rsidRPr="00906285" w:rsidRDefault="008F23FF" w:rsidP="00B7693E">
            <w:pPr>
              <w:pStyle w:val="TableNumber"/>
              <w:keepNext/>
              <w:keepLines/>
              <w:rPr>
                <w:bCs/>
                <w:lang w:eastAsia="en-AU"/>
              </w:rPr>
            </w:pPr>
            <w:r w:rsidRPr="00906285">
              <w:t>80%</w:t>
            </w:r>
          </w:p>
        </w:tc>
      </w:tr>
      <w:tr w:rsidR="002F03F5" w14:paraId="3C780C9C"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97" w14:textId="77777777" w:rsidR="002F03F5" w:rsidRDefault="008F23FF" w:rsidP="00B7693E">
            <w:pPr>
              <w:pStyle w:val="TableText"/>
              <w:keepNext/>
              <w:keepLines/>
              <w:rPr>
                <w:bCs/>
                <w:lang w:eastAsia="en-AU"/>
              </w:rPr>
            </w:pPr>
            <w:r>
              <w:rPr>
                <w:bCs/>
                <w:lang w:eastAsia="en-AU"/>
              </w:rPr>
              <w:t>PD</w:t>
            </w:r>
          </w:p>
        </w:tc>
        <w:tc>
          <w:tcPr>
            <w:tcW w:w="1802" w:type="dxa"/>
            <w:tcBorders>
              <w:top w:val="single" w:sz="4" w:space="0" w:color="000000"/>
              <w:left w:val="single" w:sz="4" w:space="0" w:color="000000"/>
              <w:bottom w:val="single" w:sz="4" w:space="0" w:color="000000"/>
              <w:right w:val="single" w:sz="4" w:space="0" w:color="000000"/>
            </w:tcBorders>
          </w:tcPr>
          <w:p w14:paraId="3C780C98" w14:textId="77777777" w:rsidR="002F03F5" w:rsidRPr="00906285" w:rsidRDefault="008F23FF" w:rsidP="00B7693E">
            <w:pPr>
              <w:pStyle w:val="TableNumber"/>
              <w:keepNext/>
              <w:keepLines/>
              <w:rPr>
                <w:bCs/>
                <w:lang w:eastAsia="en-AU"/>
              </w:rPr>
            </w:pPr>
            <w:r w:rsidRPr="00906285">
              <w:t>3.988</w:t>
            </w:r>
          </w:p>
        </w:tc>
        <w:tc>
          <w:tcPr>
            <w:tcW w:w="1681" w:type="dxa"/>
            <w:tcBorders>
              <w:top w:val="single" w:sz="4" w:space="0" w:color="000000"/>
              <w:left w:val="single" w:sz="4" w:space="0" w:color="000000"/>
              <w:bottom w:val="single" w:sz="4" w:space="0" w:color="000000"/>
              <w:right w:val="single" w:sz="4" w:space="0" w:color="000000"/>
            </w:tcBorders>
          </w:tcPr>
          <w:p w14:paraId="3C780C99" w14:textId="77777777" w:rsidR="002F03F5" w:rsidRPr="00906285" w:rsidRDefault="008F23FF" w:rsidP="00B7693E">
            <w:pPr>
              <w:pStyle w:val="TableNumber"/>
              <w:keepNext/>
              <w:keepLines/>
              <w:rPr>
                <w:bCs/>
                <w:lang w:eastAsia="en-AU"/>
              </w:rPr>
            </w:pPr>
            <w:r w:rsidRPr="00906285">
              <w:t>3.191</w:t>
            </w:r>
          </w:p>
        </w:tc>
        <w:tc>
          <w:tcPr>
            <w:tcW w:w="1672" w:type="dxa"/>
            <w:tcBorders>
              <w:top w:val="single" w:sz="4" w:space="0" w:color="000000"/>
              <w:left w:val="single" w:sz="4" w:space="0" w:color="000000"/>
              <w:bottom w:val="single" w:sz="4" w:space="0" w:color="000000"/>
              <w:right w:val="single" w:sz="4" w:space="0" w:color="000000"/>
            </w:tcBorders>
          </w:tcPr>
          <w:p w14:paraId="3C780C9A" w14:textId="77777777" w:rsidR="002F03F5" w:rsidRPr="00906285" w:rsidRDefault="008F23FF" w:rsidP="00B7693E">
            <w:pPr>
              <w:pStyle w:val="TableNumber"/>
              <w:keepNext/>
              <w:keepLines/>
              <w:rPr>
                <w:bCs/>
                <w:lang w:eastAsia="en-AU"/>
              </w:rPr>
            </w:pPr>
            <w:r w:rsidRPr="00906285">
              <w:t>0.798</w:t>
            </w:r>
          </w:p>
        </w:tc>
        <w:tc>
          <w:tcPr>
            <w:tcW w:w="1674" w:type="dxa"/>
            <w:tcBorders>
              <w:top w:val="single" w:sz="4" w:space="0" w:color="000000"/>
              <w:left w:val="single" w:sz="4" w:space="0" w:color="000000"/>
              <w:bottom w:val="single" w:sz="4" w:space="0" w:color="000000"/>
              <w:right w:val="single" w:sz="4" w:space="0" w:color="000000"/>
            </w:tcBorders>
          </w:tcPr>
          <w:p w14:paraId="3C780C9B" w14:textId="77777777" w:rsidR="002F03F5" w:rsidRPr="00906285" w:rsidRDefault="008F23FF" w:rsidP="00B7693E">
            <w:pPr>
              <w:pStyle w:val="TableNumber"/>
              <w:keepNext/>
              <w:keepLines/>
              <w:rPr>
                <w:bCs/>
                <w:lang w:eastAsia="en-AU"/>
              </w:rPr>
            </w:pPr>
            <w:r w:rsidRPr="00906285">
              <w:t>20%</w:t>
            </w:r>
          </w:p>
        </w:tc>
      </w:tr>
      <w:tr w:rsidR="002F03F5" w14:paraId="3C780CA2" w14:textId="77777777" w:rsidTr="00FC7CAF">
        <w:tc>
          <w:tcPr>
            <w:tcW w:w="2187" w:type="dxa"/>
            <w:tcBorders>
              <w:top w:val="single" w:sz="4" w:space="0" w:color="000000"/>
              <w:left w:val="single" w:sz="4" w:space="0" w:color="000000"/>
              <w:bottom w:val="single" w:sz="4" w:space="0" w:color="000000"/>
              <w:right w:val="single" w:sz="4" w:space="0" w:color="000000"/>
            </w:tcBorders>
            <w:vAlign w:val="center"/>
          </w:tcPr>
          <w:p w14:paraId="3C780C9D" w14:textId="77777777" w:rsidR="002F03F5" w:rsidRDefault="008F23FF" w:rsidP="00B7693E">
            <w:pPr>
              <w:pStyle w:val="TableText"/>
              <w:keepNext/>
              <w:keepLines/>
              <w:rPr>
                <w:bCs/>
                <w:lang w:eastAsia="en-AU"/>
              </w:rPr>
            </w:pPr>
            <w:r>
              <w:rPr>
                <w:bCs/>
                <w:lang w:eastAsia="en-AU"/>
              </w:rPr>
              <w:t>Total</w:t>
            </w:r>
          </w:p>
        </w:tc>
        <w:tc>
          <w:tcPr>
            <w:tcW w:w="1802" w:type="dxa"/>
            <w:tcBorders>
              <w:top w:val="single" w:sz="4" w:space="0" w:color="000000"/>
              <w:left w:val="single" w:sz="4" w:space="0" w:color="000000"/>
              <w:bottom w:val="single" w:sz="4" w:space="0" w:color="000000"/>
              <w:right w:val="single" w:sz="4" w:space="0" w:color="000000"/>
            </w:tcBorders>
          </w:tcPr>
          <w:p w14:paraId="3C780C9E" w14:textId="77777777" w:rsidR="002F03F5" w:rsidRPr="00906285" w:rsidRDefault="008F23FF" w:rsidP="00B7693E">
            <w:pPr>
              <w:pStyle w:val="TableNumber"/>
              <w:keepNext/>
              <w:keepLines/>
              <w:rPr>
                <w:bCs/>
                <w:lang w:eastAsia="en-AU"/>
              </w:rPr>
            </w:pPr>
            <w:r w:rsidRPr="00906285">
              <w:t>7.845</w:t>
            </w:r>
          </w:p>
        </w:tc>
        <w:tc>
          <w:tcPr>
            <w:tcW w:w="1681" w:type="dxa"/>
            <w:tcBorders>
              <w:top w:val="single" w:sz="4" w:space="0" w:color="000000"/>
              <w:left w:val="single" w:sz="4" w:space="0" w:color="000000"/>
              <w:bottom w:val="single" w:sz="4" w:space="0" w:color="000000"/>
              <w:right w:val="single" w:sz="4" w:space="0" w:color="000000"/>
            </w:tcBorders>
          </w:tcPr>
          <w:p w14:paraId="3C780C9F" w14:textId="77777777" w:rsidR="002F03F5" w:rsidRPr="00906285" w:rsidRDefault="008F23FF" w:rsidP="00B7693E">
            <w:pPr>
              <w:pStyle w:val="TableNumber"/>
              <w:keepNext/>
              <w:keepLines/>
              <w:rPr>
                <w:bCs/>
                <w:lang w:eastAsia="en-AU"/>
              </w:rPr>
            </w:pPr>
            <w:r w:rsidRPr="00906285">
              <w:t>3.757</w:t>
            </w:r>
          </w:p>
        </w:tc>
        <w:tc>
          <w:tcPr>
            <w:tcW w:w="1672" w:type="dxa"/>
            <w:tcBorders>
              <w:top w:val="single" w:sz="4" w:space="0" w:color="000000"/>
              <w:left w:val="single" w:sz="4" w:space="0" w:color="000000"/>
              <w:bottom w:val="single" w:sz="4" w:space="0" w:color="000000"/>
              <w:right w:val="single" w:sz="4" w:space="0" w:color="000000"/>
            </w:tcBorders>
          </w:tcPr>
          <w:p w14:paraId="3C780CA0" w14:textId="77777777" w:rsidR="002F03F5" w:rsidRPr="00906285" w:rsidRDefault="008F23FF" w:rsidP="00B7693E">
            <w:pPr>
              <w:pStyle w:val="TableNumber"/>
              <w:keepNext/>
              <w:keepLines/>
              <w:rPr>
                <w:bCs/>
                <w:lang w:eastAsia="en-AU"/>
              </w:rPr>
            </w:pPr>
            <w:r w:rsidRPr="00906285">
              <w:t>4.088</w:t>
            </w:r>
          </w:p>
        </w:tc>
        <w:tc>
          <w:tcPr>
            <w:tcW w:w="1674" w:type="dxa"/>
            <w:tcBorders>
              <w:top w:val="single" w:sz="4" w:space="0" w:color="000000"/>
              <w:left w:val="single" w:sz="4" w:space="0" w:color="000000"/>
              <w:bottom w:val="single" w:sz="4" w:space="0" w:color="000000"/>
              <w:right w:val="single" w:sz="4" w:space="0" w:color="000000"/>
            </w:tcBorders>
          </w:tcPr>
          <w:p w14:paraId="3C780CA1" w14:textId="77777777" w:rsidR="002F03F5" w:rsidRPr="00906285" w:rsidRDefault="008F23FF" w:rsidP="00B7693E">
            <w:pPr>
              <w:pStyle w:val="TableNumber"/>
              <w:keepNext/>
              <w:keepLines/>
              <w:rPr>
                <w:bCs/>
                <w:lang w:eastAsia="en-AU"/>
              </w:rPr>
            </w:pPr>
            <w:r w:rsidRPr="00906285">
              <w:t>100%</w:t>
            </w:r>
          </w:p>
        </w:tc>
      </w:tr>
    </w:tbl>
    <w:p w14:paraId="3C780CA3" w14:textId="77777777" w:rsidR="002F03F5" w:rsidRDefault="008F23FF" w:rsidP="00B7693E">
      <w:pPr>
        <w:pStyle w:val="TableFooter"/>
        <w:keepNext/>
        <w:keepLines/>
        <w:rPr>
          <w:lang w:eastAsia="en-AU"/>
        </w:rPr>
      </w:pPr>
      <w:r>
        <w:rPr>
          <w:lang w:eastAsia="en-AU"/>
        </w:rPr>
        <w:t>Source: ‘Deterministic Results’ worksheet from the economic model</w:t>
      </w:r>
    </w:p>
    <w:p w14:paraId="3C780CA4" w14:textId="77777777" w:rsidR="002F03F5" w:rsidRDefault="008F23FF" w:rsidP="00B7693E">
      <w:pPr>
        <w:pStyle w:val="TableFooter"/>
        <w:keepNext/>
        <w:keepLines/>
        <w:rPr>
          <w:lang w:eastAsia="en-AU"/>
        </w:rPr>
      </w:pPr>
      <w:r>
        <w:rPr>
          <w:lang w:eastAsia="en-AU"/>
        </w:rPr>
        <w:t>AE = adverse event; BSC = best supportive care; LYG = life year gained; PD = progressed disease; PF = progression free; QALY = quality adjusted life year</w:t>
      </w:r>
    </w:p>
    <w:p w14:paraId="3C780CA5" w14:textId="77777777" w:rsidR="002F03F5" w:rsidRDefault="008F23FF">
      <w:pPr>
        <w:pStyle w:val="TableFooter"/>
        <w:rPr>
          <w:lang w:eastAsia="en-AU"/>
        </w:rPr>
      </w:pPr>
      <w:proofErr w:type="gramStart"/>
      <w:r w:rsidRPr="002D4482">
        <w:rPr>
          <w:vertAlign w:val="superscript"/>
          <w:lang w:eastAsia="en-AU"/>
        </w:rPr>
        <w:t>a</w:t>
      </w:r>
      <w:proofErr w:type="gramEnd"/>
      <w:r w:rsidRPr="002D4482">
        <w:rPr>
          <w:lang w:eastAsia="en-AU"/>
        </w:rPr>
        <w:t xml:space="preserve"> Included</w:t>
      </w:r>
      <w:r>
        <w:rPr>
          <w:lang w:eastAsia="en-AU"/>
        </w:rPr>
        <w:t xml:space="preserve"> ECG </w:t>
      </w:r>
      <w:r w:rsidRPr="002D4482">
        <w:rPr>
          <w:lang w:eastAsia="en-AU"/>
        </w:rPr>
        <w:t>monitoring costs ($1,213)</w:t>
      </w:r>
    </w:p>
    <w:p w14:paraId="3C780CA7" w14:textId="04570E65" w:rsidR="002F03F5" w:rsidRPr="002D4482" w:rsidRDefault="008F23FF" w:rsidP="002A0545">
      <w:pPr>
        <w:pStyle w:val="MSACESParagraph"/>
        <w:spacing w:before="240"/>
        <w:jc w:val="left"/>
        <w:rPr>
          <w:rFonts w:ascii="Franklin Gothic Book" w:hAnsi="Franklin Gothic Book"/>
          <w:sz w:val="22"/>
        </w:rPr>
      </w:pPr>
      <w:r w:rsidRPr="002D4482">
        <w:rPr>
          <w:rFonts w:ascii="Franklin Gothic Book" w:hAnsi="Franklin Gothic Book"/>
          <w:sz w:val="22"/>
        </w:rPr>
        <w:t>For the comparison of selpercatinib vs BSC in patients with locally advanced or metastatic MTC, the ICER was $</w:t>
      </w:r>
      <w:r w:rsidR="00312FF9" w:rsidRPr="002D4482">
        <w:rPr>
          <w:rFonts w:ascii="Franklin Gothic Book" w:hAnsi="Franklin Gothic Book"/>
          <w:sz w:val="22"/>
        </w:rPr>
        <w:t>55,000 to &lt; $75,000</w:t>
      </w:r>
      <w:r w:rsidRPr="002D4482">
        <w:rPr>
          <w:rFonts w:ascii="Franklin Gothic Book" w:hAnsi="Franklin Gothic Book"/>
          <w:sz w:val="22"/>
        </w:rPr>
        <w:t xml:space="preserve"> per QALY gained over a </w:t>
      </w:r>
      <w:proofErr w:type="gramStart"/>
      <w:r w:rsidRPr="002D4482">
        <w:rPr>
          <w:rFonts w:ascii="Franklin Gothic Book" w:hAnsi="Franklin Gothic Book"/>
          <w:sz w:val="22"/>
        </w:rPr>
        <w:t>25 year</w:t>
      </w:r>
      <w:proofErr w:type="gramEnd"/>
      <w:r w:rsidRPr="002D4482">
        <w:rPr>
          <w:rFonts w:ascii="Franklin Gothic Book" w:hAnsi="Franklin Gothic Book"/>
          <w:sz w:val="22"/>
        </w:rPr>
        <w:t xml:space="preserve"> time horizon ($</w:t>
      </w:r>
      <w:r w:rsidR="006F13C3" w:rsidRPr="002D4482">
        <w:rPr>
          <w:rFonts w:ascii="Franklin Gothic Book" w:hAnsi="Franklin Gothic Book"/>
          <w:b/>
          <w:bCs/>
          <w:sz w:val="22"/>
        </w:rPr>
        <w:t>Redacted</w:t>
      </w:r>
      <w:r w:rsidRPr="002D4482">
        <w:rPr>
          <w:rFonts w:ascii="Franklin Gothic Book" w:hAnsi="Franklin Gothic Book"/>
          <w:sz w:val="22"/>
        </w:rPr>
        <w:t xml:space="preserve"> incremental costs, 4.875 incremental life year gained (LYG), and 4.088 incremental QALYs gained).</w:t>
      </w:r>
    </w:p>
    <w:p w14:paraId="3C780CA8" w14:textId="77777777" w:rsidR="002F03F5" w:rsidRPr="002D4482" w:rsidRDefault="008F23FF" w:rsidP="002A0545">
      <w:pPr>
        <w:pStyle w:val="MSACESParagraph"/>
        <w:jc w:val="left"/>
        <w:rPr>
          <w:rFonts w:ascii="Franklin Gothic Book" w:hAnsi="Franklin Gothic Book"/>
          <w:sz w:val="22"/>
        </w:rPr>
      </w:pPr>
      <w:r w:rsidRPr="002D4482">
        <w:rPr>
          <w:rFonts w:ascii="Franklin Gothic Book" w:hAnsi="Franklin Gothic Book"/>
          <w:sz w:val="22"/>
        </w:rPr>
        <w:t xml:space="preserve">The commentary noted the incremental benefits were driven by OS modelling that was favourable to the selpercatinib arm, where benefits were driven by extended occupation of both the PF (4.433 LYG, 3.857 QALYs gained) and PD states (4.827 LYG, 3.988 QALYs gained) over the </w:t>
      </w:r>
      <w:proofErr w:type="gramStart"/>
      <w:r w:rsidRPr="002D4482">
        <w:rPr>
          <w:rFonts w:ascii="Franklin Gothic Book" w:hAnsi="Franklin Gothic Book"/>
          <w:sz w:val="22"/>
        </w:rPr>
        <w:t>25 year</w:t>
      </w:r>
      <w:proofErr w:type="gramEnd"/>
      <w:r w:rsidRPr="002D4482">
        <w:rPr>
          <w:rFonts w:ascii="Franklin Gothic Book" w:hAnsi="Franklin Gothic Book"/>
          <w:sz w:val="22"/>
        </w:rPr>
        <w:t xml:space="preserve"> time horizon. In comparison, most patients in the BSC arm experienced progression by year two and were modelled to die thereafter (PD state: 3.742 LYG, 3.191 QALYs gained; PF: 0.644 LYG, 0.566 QALYs gained).</w:t>
      </w:r>
    </w:p>
    <w:p w14:paraId="3C780CA9" w14:textId="6C2D4E45" w:rsidR="002F03F5" w:rsidRPr="002A0545" w:rsidRDefault="008F23FF" w:rsidP="002A0545">
      <w:pPr>
        <w:pStyle w:val="MSACESParagraph"/>
        <w:jc w:val="left"/>
        <w:rPr>
          <w:rFonts w:ascii="Franklin Gothic Book" w:hAnsi="Franklin Gothic Book"/>
          <w:sz w:val="22"/>
        </w:rPr>
      </w:pPr>
      <w:r w:rsidRPr="002D4482">
        <w:rPr>
          <w:rFonts w:ascii="Franklin Gothic Book" w:hAnsi="Franklin Gothic Book"/>
          <w:sz w:val="22"/>
        </w:rPr>
        <w:t>The commentary noted the incremental costs were driven by selpercatinib drug acquisition costs ($</w:t>
      </w:r>
      <w:r w:rsidR="00A938F0" w:rsidRPr="002D4482">
        <w:rPr>
          <w:rFonts w:ascii="Franklin Gothic Book" w:hAnsi="Franklin Gothic Book"/>
          <w:b/>
          <w:bCs/>
          <w:sz w:val="22"/>
        </w:rPr>
        <w:t>Redacted</w:t>
      </w:r>
      <w:proofErr w:type="gramStart"/>
      <w:r w:rsidRPr="002D4482">
        <w:rPr>
          <w:rFonts w:ascii="Franklin Gothic Book" w:hAnsi="Franklin Gothic Book"/>
          <w:sz w:val="22"/>
        </w:rPr>
        <w:t>), but</w:t>
      </w:r>
      <w:proofErr w:type="gramEnd"/>
      <w:r w:rsidRPr="002D4482">
        <w:rPr>
          <w:rFonts w:ascii="Franklin Gothic Book" w:hAnsi="Franklin Gothic Book"/>
          <w:sz w:val="22"/>
        </w:rPr>
        <w:t xml:space="preserve"> were potentially overestimated due to the submission’s assumption that &gt;90% of patients had dose reductions after 28 days of treatment and was constant for the </w:t>
      </w:r>
      <w:proofErr w:type="gramStart"/>
      <w:r w:rsidRPr="002D4482">
        <w:rPr>
          <w:rFonts w:ascii="Franklin Gothic Book" w:hAnsi="Franklin Gothic Book"/>
          <w:sz w:val="22"/>
        </w:rPr>
        <w:t>25 year</w:t>
      </w:r>
      <w:proofErr w:type="gramEnd"/>
      <w:r w:rsidRPr="002D4482">
        <w:rPr>
          <w:rFonts w:ascii="Franklin Gothic Book" w:hAnsi="Franklin Gothic Book"/>
          <w:sz w:val="22"/>
        </w:rPr>
        <w:t xml:space="preserve"> time horizon.</w:t>
      </w:r>
      <w:r w:rsidRPr="002D4482">
        <w:rPr>
          <w:rFonts w:ascii="Franklin Gothic Book" w:hAnsi="Franklin Gothic Book"/>
          <w:i/>
          <w:sz w:val="22"/>
        </w:rPr>
        <w:t xml:space="preserve"> RET </w:t>
      </w:r>
      <w:r w:rsidRPr="002D4482">
        <w:rPr>
          <w:rFonts w:ascii="Franklin Gothic Book" w:hAnsi="Franklin Gothic Book"/>
          <w:sz w:val="22"/>
        </w:rPr>
        <w:t>variant testing as captured by the once off cost per</w:t>
      </w:r>
      <w:r w:rsidRPr="002D4482">
        <w:rPr>
          <w:rFonts w:ascii="Franklin Gothic Book" w:hAnsi="Franklin Gothic Book"/>
          <w:i/>
          <w:sz w:val="22"/>
        </w:rPr>
        <w:t xml:space="preserve"> </w:t>
      </w:r>
      <w:r w:rsidRPr="002D4482">
        <w:rPr>
          <w:rFonts w:ascii="Franklin Gothic Book" w:hAnsi="Franklin Gothic Book"/>
          <w:i/>
          <w:iCs/>
          <w:sz w:val="22"/>
        </w:rPr>
        <w:t>RET</w:t>
      </w:r>
      <w:r w:rsidRPr="002D4482">
        <w:rPr>
          <w:rFonts w:ascii="Franklin Gothic Book" w:hAnsi="Franklin Gothic Book"/>
          <w:i/>
          <w:sz w:val="22"/>
        </w:rPr>
        <w:t xml:space="preserve"> </w:t>
      </w:r>
      <w:r w:rsidRPr="002D4482">
        <w:rPr>
          <w:rFonts w:ascii="Franklin Gothic Book" w:hAnsi="Franklin Gothic Book"/>
          <w:sz w:val="22"/>
        </w:rPr>
        <w:t>variant identified ($1,189) was not a driver in the model. Implications of</w:t>
      </w:r>
      <w:r w:rsidRPr="002D4482">
        <w:rPr>
          <w:rFonts w:ascii="Franklin Gothic Book" w:hAnsi="Franklin Gothic Book"/>
          <w:i/>
          <w:sz w:val="22"/>
        </w:rPr>
        <w:t xml:space="preserve"> RET </w:t>
      </w:r>
      <w:r w:rsidRPr="002D4482">
        <w:rPr>
          <w:rFonts w:ascii="Franklin Gothic Book" w:hAnsi="Franklin Gothic Book"/>
          <w:sz w:val="22"/>
        </w:rPr>
        <w:t>variant testing and treatment with selpercatinib or BSC was limited</w:t>
      </w:r>
      <w:r w:rsidRPr="002A0545">
        <w:rPr>
          <w:rFonts w:ascii="Franklin Gothic Book" w:hAnsi="Franklin Gothic Book"/>
          <w:sz w:val="22"/>
        </w:rPr>
        <w:t xml:space="preserve"> as the submission did not consider the relevant parameters to explore false positive and false negative test scenarios (e.g. no test sensitivity or specificity data, and lack of efficacy data of selpercatinib in the</w:t>
      </w:r>
      <w:r w:rsidRPr="002A0545">
        <w:rPr>
          <w:rFonts w:ascii="Franklin Gothic Book" w:hAnsi="Franklin Gothic Book"/>
          <w:i/>
          <w:sz w:val="22"/>
        </w:rPr>
        <w:t xml:space="preserve"> </w:t>
      </w:r>
      <w:r w:rsidRPr="002A0545">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wildtype MTC).</w:t>
      </w:r>
    </w:p>
    <w:p w14:paraId="3C780CAA" w14:textId="599C93F1"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sensitivity analysis in the submission and conducted by the commentary that pertain to testing are shown </w:t>
      </w:r>
      <w:r w:rsidRPr="007066DA">
        <w:rPr>
          <w:rFonts w:ascii="Franklin Gothic Book" w:hAnsi="Franklin Gothic Book"/>
          <w:sz w:val="22"/>
        </w:rPr>
        <w:t>in</w:t>
      </w:r>
      <w:r w:rsidR="007066DA" w:rsidRPr="007066DA">
        <w:rPr>
          <w:rFonts w:ascii="Franklin Gothic Book" w:hAnsi="Franklin Gothic Book"/>
          <w:sz w:val="22"/>
        </w:rPr>
        <w:t xml:space="preserve"> </w:t>
      </w:r>
      <w:r w:rsidR="007066DA" w:rsidRPr="007066DA">
        <w:rPr>
          <w:rFonts w:ascii="Franklin Gothic Book" w:hAnsi="Franklin Gothic Book"/>
          <w:sz w:val="22"/>
        </w:rPr>
        <w:fldChar w:fldCharType="begin"/>
      </w:r>
      <w:r w:rsidR="007066DA" w:rsidRPr="007066DA">
        <w:rPr>
          <w:rFonts w:ascii="Franklin Gothic Book" w:hAnsi="Franklin Gothic Book"/>
          <w:sz w:val="22"/>
        </w:rPr>
        <w:instrText xml:space="preserve"> REF _Ref226643682 \h  \* MERGEFORMAT </w:instrText>
      </w:r>
      <w:r w:rsidR="007066DA" w:rsidRPr="007066DA">
        <w:rPr>
          <w:rFonts w:ascii="Franklin Gothic Book" w:hAnsi="Franklin Gothic Book"/>
          <w:sz w:val="22"/>
        </w:rPr>
      </w:r>
      <w:r w:rsidR="007066DA" w:rsidRPr="007066DA">
        <w:rPr>
          <w:rFonts w:ascii="Franklin Gothic Book" w:hAnsi="Franklin Gothic Book"/>
          <w:sz w:val="22"/>
        </w:rPr>
        <w:fldChar w:fldCharType="separate"/>
      </w:r>
      <w:r w:rsidR="007066DA" w:rsidRPr="00687588">
        <w:rPr>
          <w:rFonts w:ascii="Franklin Gothic Book" w:hAnsi="Franklin Gothic Book"/>
          <w:sz w:val="22"/>
        </w:rPr>
        <w:t xml:space="preserve">Table </w:t>
      </w:r>
      <w:r w:rsidR="007066DA" w:rsidRPr="00687588">
        <w:rPr>
          <w:rFonts w:ascii="Franklin Gothic Book" w:hAnsi="Franklin Gothic Book"/>
          <w:noProof/>
          <w:sz w:val="22"/>
        </w:rPr>
        <w:t>12</w:t>
      </w:r>
      <w:r w:rsidR="007066DA" w:rsidRPr="007066DA">
        <w:rPr>
          <w:rFonts w:ascii="Franklin Gothic Book" w:hAnsi="Franklin Gothic Book"/>
          <w:sz w:val="22"/>
        </w:rPr>
        <w:fldChar w:fldCharType="end"/>
      </w:r>
      <w:r w:rsidRPr="007066DA">
        <w:rPr>
          <w:rFonts w:ascii="Franklin Gothic Book" w:hAnsi="Franklin Gothic Book"/>
          <w:sz w:val="22"/>
        </w:rPr>
        <w:t>.</w:t>
      </w:r>
      <w:r w:rsidRPr="002A0545">
        <w:rPr>
          <w:rFonts w:ascii="Franklin Gothic Book" w:hAnsi="Franklin Gothic Book"/>
          <w:sz w:val="22"/>
        </w:rPr>
        <w:t xml:space="preserve"> </w:t>
      </w:r>
    </w:p>
    <w:p w14:paraId="3C780CAB" w14:textId="537E12CE" w:rsidR="002F03F5" w:rsidRPr="00737294" w:rsidRDefault="007066DA" w:rsidP="008E13DB">
      <w:pPr>
        <w:pStyle w:val="Caption"/>
        <w:keepLines/>
        <w:rPr>
          <w:i/>
          <w:szCs w:val="20"/>
        </w:rPr>
      </w:pPr>
      <w:bookmarkStart w:id="43" w:name="_Ref226643682"/>
      <w:r>
        <w:lastRenderedPageBreak/>
        <w:t xml:space="preserve">Table </w:t>
      </w:r>
      <w:r>
        <w:fldChar w:fldCharType="begin"/>
      </w:r>
      <w:r>
        <w:instrText>SEQ Table \* ARABIC</w:instrText>
      </w:r>
      <w:r>
        <w:fldChar w:fldCharType="separate"/>
      </w:r>
      <w:r w:rsidR="005B2039">
        <w:rPr>
          <w:noProof/>
        </w:rPr>
        <w:t>12</w:t>
      </w:r>
      <w:r>
        <w:fldChar w:fldCharType="end"/>
      </w:r>
      <w:bookmarkEnd w:id="43"/>
      <w:r>
        <w:t xml:space="preserve"> </w:t>
      </w:r>
      <w:r w:rsidR="008F23FF" w:rsidRPr="00737294">
        <w:rPr>
          <w:szCs w:val="20"/>
        </w:rPr>
        <w:t>Sensitivity analyses in the submission and additional analyses conducted during the evaluation</w:t>
      </w:r>
    </w:p>
    <w:tbl>
      <w:tblPr>
        <w:tblW w:w="4950" w:type="pct"/>
        <w:tblInd w:w="-5" w:type="dxa"/>
        <w:tblLayout w:type="fixed"/>
        <w:tblCellMar>
          <w:left w:w="5" w:type="dxa"/>
          <w:right w:w="5" w:type="dxa"/>
        </w:tblCellMar>
        <w:tblLook w:val="04A0" w:firstRow="1" w:lastRow="0" w:firstColumn="1" w:lastColumn="0" w:noHBand="0" w:noVBand="1"/>
      </w:tblPr>
      <w:tblGrid>
        <w:gridCol w:w="301"/>
        <w:gridCol w:w="3730"/>
        <w:gridCol w:w="806"/>
        <w:gridCol w:w="807"/>
        <w:gridCol w:w="1117"/>
        <w:gridCol w:w="1287"/>
        <w:gridCol w:w="878"/>
      </w:tblGrid>
      <w:tr w:rsidR="002F03F5" w14:paraId="3C780CB3" w14:textId="77777777" w:rsidTr="00FC7CAF">
        <w:trPr>
          <w:tblHeader/>
        </w:trPr>
        <w:tc>
          <w:tcPr>
            <w:tcW w:w="301" w:type="dxa"/>
            <w:tcBorders>
              <w:top w:val="single" w:sz="4" w:space="0" w:color="000000"/>
              <w:left w:val="single" w:sz="4" w:space="0" w:color="000000"/>
              <w:bottom w:val="single" w:sz="4" w:space="0" w:color="000000"/>
              <w:right w:val="single" w:sz="4" w:space="0" w:color="000000"/>
            </w:tcBorders>
          </w:tcPr>
          <w:p w14:paraId="3C780CAC" w14:textId="77777777" w:rsidR="002F03F5" w:rsidRDefault="002F03F5" w:rsidP="008E13DB">
            <w:pPr>
              <w:pStyle w:val="In-tableHeading"/>
              <w:keepLines/>
              <w:rPr>
                <w:lang w:val="en-AU"/>
              </w:rPr>
            </w:pPr>
          </w:p>
        </w:tc>
        <w:tc>
          <w:tcPr>
            <w:tcW w:w="3734" w:type="dxa"/>
            <w:tcBorders>
              <w:top w:val="single" w:sz="4" w:space="0" w:color="000000"/>
              <w:left w:val="single" w:sz="4" w:space="0" w:color="000000"/>
              <w:bottom w:val="single" w:sz="4" w:space="0" w:color="000000"/>
              <w:right w:val="single" w:sz="4" w:space="0" w:color="000000"/>
            </w:tcBorders>
          </w:tcPr>
          <w:p w14:paraId="3C780CAD" w14:textId="77777777" w:rsidR="002F03F5" w:rsidRDefault="008F23FF" w:rsidP="008E13DB">
            <w:pPr>
              <w:pStyle w:val="TableRowHeader"/>
              <w:keepNext/>
              <w:keepLines/>
            </w:pPr>
            <w:r>
              <w:t>Analyses</w:t>
            </w:r>
          </w:p>
        </w:tc>
        <w:tc>
          <w:tcPr>
            <w:tcW w:w="807" w:type="dxa"/>
            <w:tcBorders>
              <w:top w:val="single" w:sz="4" w:space="0" w:color="000000"/>
              <w:left w:val="single" w:sz="4" w:space="0" w:color="000000"/>
              <w:bottom w:val="single" w:sz="4" w:space="0" w:color="000000"/>
              <w:right w:val="single" w:sz="4" w:space="0" w:color="000000"/>
            </w:tcBorders>
          </w:tcPr>
          <w:p w14:paraId="3C780CAE" w14:textId="77777777" w:rsidR="002F03F5" w:rsidRDefault="008F23FF" w:rsidP="008E13DB">
            <w:pPr>
              <w:pStyle w:val="TableRowHeader"/>
              <w:keepNext/>
              <w:keepLines/>
            </w:pPr>
            <w:r>
              <w:t>Inc LYG</w:t>
            </w:r>
          </w:p>
        </w:tc>
        <w:tc>
          <w:tcPr>
            <w:tcW w:w="808" w:type="dxa"/>
            <w:tcBorders>
              <w:top w:val="single" w:sz="4" w:space="0" w:color="000000"/>
              <w:left w:val="single" w:sz="4" w:space="0" w:color="000000"/>
              <w:bottom w:val="single" w:sz="4" w:space="0" w:color="000000"/>
              <w:right w:val="single" w:sz="4" w:space="0" w:color="000000"/>
            </w:tcBorders>
          </w:tcPr>
          <w:p w14:paraId="3C780CAF" w14:textId="77777777" w:rsidR="002F03F5" w:rsidRDefault="008F23FF" w:rsidP="008E13DB">
            <w:pPr>
              <w:pStyle w:val="TableRowHeader"/>
              <w:keepNext/>
              <w:keepLines/>
            </w:pPr>
            <w:r>
              <w:t>Inc QALY</w:t>
            </w:r>
          </w:p>
        </w:tc>
        <w:tc>
          <w:tcPr>
            <w:tcW w:w="1118" w:type="dxa"/>
            <w:tcBorders>
              <w:top w:val="single" w:sz="4" w:space="0" w:color="000000"/>
              <w:left w:val="single" w:sz="4" w:space="0" w:color="000000"/>
              <w:bottom w:val="single" w:sz="4" w:space="0" w:color="000000"/>
              <w:right w:val="single" w:sz="4" w:space="0" w:color="000000"/>
            </w:tcBorders>
          </w:tcPr>
          <w:p w14:paraId="3C780CB0" w14:textId="77777777" w:rsidR="002F03F5" w:rsidRDefault="008F23FF" w:rsidP="008E13DB">
            <w:pPr>
              <w:pStyle w:val="TableRowHeader"/>
              <w:keepNext/>
              <w:keepLines/>
            </w:pPr>
            <w:r>
              <w:t>Inc cost ($)</w:t>
            </w:r>
          </w:p>
        </w:tc>
        <w:tc>
          <w:tcPr>
            <w:tcW w:w="1288" w:type="dxa"/>
            <w:tcBorders>
              <w:top w:val="single" w:sz="4" w:space="0" w:color="000000"/>
              <w:left w:val="single" w:sz="4" w:space="0" w:color="000000"/>
              <w:bottom w:val="single" w:sz="4" w:space="0" w:color="000000"/>
              <w:right w:val="single" w:sz="4" w:space="0" w:color="000000"/>
            </w:tcBorders>
          </w:tcPr>
          <w:p w14:paraId="3C780CB1" w14:textId="77777777" w:rsidR="002F03F5" w:rsidRDefault="008F23FF" w:rsidP="008E13DB">
            <w:pPr>
              <w:pStyle w:val="TableRowHeader"/>
              <w:keepNext/>
              <w:keepLines/>
            </w:pPr>
            <w:r>
              <w:t>ICER ($/QALY)</w:t>
            </w:r>
          </w:p>
        </w:tc>
        <w:tc>
          <w:tcPr>
            <w:tcW w:w="879" w:type="dxa"/>
            <w:tcBorders>
              <w:top w:val="single" w:sz="4" w:space="0" w:color="000000"/>
              <w:left w:val="single" w:sz="4" w:space="0" w:color="000000"/>
              <w:bottom w:val="single" w:sz="4" w:space="0" w:color="000000"/>
              <w:right w:val="single" w:sz="4" w:space="0" w:color="000000"/>
            </w:tcBorders>
          </w:tcPr>
          <w:p w14:paraId="3C780CB2" w14:textId="77777777" w:rsidR="002F03F5" w:rsidRDefault="008F23FF" w:rsidP="008E13DB">
            <w:pPr>
              <w:pStyle w:val="TableRowHeader"/>
              <w:keepNext/>
              <w:keepLines/>
              <w:rPr>
                <w:vertAlign w:val="superscript"/>
              </w:rPr>
            </w:pPr>
            <w:r>
              <w:t>%</w:t>
            </w:r>
            <w:proofErr w:type="spellStart"/>
            <w:r>
              <w:t>Δ</w:t>
            </w:r>
            <w:r>
              <w:rPr>
                <w:vertAlign w:val="superscript"/>
              </w:rPr>
              <w:t>a</w:t>
            </w:r>
            <w:proofErr w:type="spellEnd"/>
          </w:p>
        </w:tc>
      </w:tr>
      <w:tr w:rsidR="002F03F5" w14:paraId="3C780CBB" w14:textId="77777777" w:rsidTr="00FC7CAF">
        <w:tc>
          <w:tcPr>
            <w:tcW w:w="301" w:type="dxa"/>
            <w:tcBorders>
              <w:top w:val="single" w:sz="4" w:space="0" w:color="000000"/>
              <w:left w:val="single" w:sz="4" w:space="0" w:color="000000"/>
              <w:bottom w:val="single" w:sz="4" w:space="0" w:color="000000"/>
              <w:right w:val="single" w:sz="4" w:space="0" w:color="000000"/>
            </w:tcBorders>
          </w:tcPr>
          <w:p w14:paraId="3C780CB4" w14:textId="77777777" w:rsidR="002F03F5" w:rsidRDefault="008F23FF" w:rsidP="008E13DB">
            <w:pPr>
              <w:pStyle w:val="TableText"/>
              <w:keepNext/>
              <w:keepLines/>
              <w:rPr>
                <w:b/>
              </w:rPr>
            </w:pPr>
            <w:r>
              <w:rPr>
                <w:b/>
              </w:rPr>
              <w:t xml:space="preserve"> </w:t>
            </w:r>
          </w:p>
        </w:tc>
        <w:tc>
          <w:tcPr>
            <w:tcW w:w="3734" w:type="dxa"/>
            <w:tcBorders>
              <w:top w:val="single" w:sz="4" w:space="0" w:color="000000"/>
              <w:left w:val="single" w:sz="4" w:space="0" w:color="000000"/>
              <w:bottom w:val="single" w:sz="4" w:space="0" w:color="000000"/>
              <w:right w:val="single" w:sz="4" w:space="0" w:color="000000"/>
            </w:tcBorders>
          </w:tcPr>
          <w:p w14:paraId="3C780CB5" w14:textId="77777777" w:rsidR="002F03F5" w:rsidRDefault="008F23FF" w:rsidP="008E13DB">
            <w:pPr>
              <w:pStyle w:val="TableText"/>
              <w:keepNext/>
              <w:keepLines/>
              <w:rPr>
                <w:b/>
              </w:rPr>
            </w:pPr>
            <w:r>
              <w:rPr>
                <w:b/>
              </w:rPr>
              <w:t>Base case</w:t>
            </w:r>
          </w:p>
        </w:tc>
        <w:tc>
          <w:tcPr>
            <w:tcW w:w="807" w:type="dxa"/>
            <w:tcBorders>
              <w:top w:val="single" w:sz="4" w:space="0" w:color="000000"/>
              <w:left w:val="single" w:sz="4" w:space="0" w:color="000000"/>
              <w:bottom w:val="single" w:sz="4" w:space="0" w:color="000000"/>
              <w:right w:val="single" w:sz="4" w:space="0" w:color="000000"/>
            </w:tcBorders>
          </w:tcPr>
          <w:p w14:paraId="3C780CB6" w14:textId="77777777" w:rsidR="002F03F5" w:rsidRPr="00AD7163" w:rsidRDefault="008F23FF" w:rsidP="008E13DB">
            <w:pPr>
              <w:pStyle w:val="TableText"/>
              <w:keepNext/>
              <w:keepLines/>
              <w:jc w:val="center"/>
              <w:rPr>
                <w:b/>
                <w:bCs/>
              </w:rPr>
            </w:pPr>
            <w:r w:rsidRPr="00AD7163">
              <w:rPr>
                <w:b/>
                <w:bCs/>
              </w:rPr>
              <w:t>4.875</w:t>
            </w:r>
          </w:p>
        </w:tc>
        <w:tc>
          <w:tcPr>
            <w:tcW w:w="808" w:type="dxa"/>
            <w:tcBorders>
              <w:top w:val="single" w:sz="4" w:space="0" w:color="000000"/>
              <w:left w:val="single" w:sz="4" w:space="0" w:color="000000"/>
              <w:bottom w:val="single" w:sz="4" w:space="0" w:color="000000"/>
              <w:right w:val="single" w:sz="4" w:space="0" w:color="000000"/>
            </w:tcBorders>
          </w:tcPr>
          <w:p w14:paraId="3C780CB7" w14:textId="77777777" w:rsidR="002F03F5" w:rsidRPr="00AD7163" w:rsidRDefault="008F23FF" w:rsidP="008E13DB">
            <w:pPr>
              <w:pStyle w:val="TableText"/>
              <w:keepNext/>
              <w:keepLines/>
              <w:jc w:val="center"/>
              <w:rPr>
                <w:b/>
                <w:bCs/>
              </w:rPr>
            </w:pPr>
            <w:r w:rsidRPr="00AD7163">
              <w:rPr>
                <w:b/>
                <w:bCs/>
              </w:rPr>
              <w:t>4.088</w:t>
            </w:r>
          </w:p>
        </w:tc>
        <w:tc>
          <w:tcPr>
            <w:tcW w:w="1118" w:type="dxa"/>
            <w:tcBorders>
              <w:top w:val="single" w:sz="4" w:space="0" w:color="000000"/>
              <w:left w:val="single" w:sz="4" w:space="0" w:color="000000"/>
              <w:bottom w:val="single" w:sz="4" w:space="0" w:color="000000"/>
              <w:right w:val="single" w:sz="4" w:space="0" w:color="000000"/>
            </w:tcBorders>
          </w:tcPr>
          <w:p w14:paraId="3C780CB8" w14:textId="7D0E6020" w:rsidR="002F03F5" w:rsidRPr="002D4482" w:rsidRDefault="006250A2" w:rsidP="008E13DB">
            <w:pPr>
              <w:pStyle w:val="TableText"/>
              <w:keepNext/>
              <w:keepLines/>
              <w:jc w:val="center"/>
              <w:rPr>
                <w:b/>
                <w:bCs/>
                <w:highlight w:val="yellow"/>
              </w:rPr>
            </w:pPr>
            <w:r w:rsidRPr="002D4482">
              <w:rPr>
                <w:b/>
                <w:bCs/>
              </w:rPr>
              <w:t>$Redacted</w:t>
            </w:r>
          </w:p>
        </w:tc>
        <w:tc>
          <w:tcPr>
            <w:tcW w:w="1288" w:type="dxa"/>
            <w:tcBorders>
              <w:top w:val="single" w:sz="4" w:space="0" w:color="000000"/>
              <w:left w:val="single" w:sz="4" w:space="0" w:color="000000"/>
              <w:bottom w:val="single" w:sz="4" w:space="0" w:color="000000"/>
              <w:right w:val="single" w:sz="4" w:space="0" w:color="000000"/>
            </w:tcBorders>
          </w:tcPr>
          <w:p w14:paraId="3C780CB9" w14:textId="7FD0BDF3" w:rsidR="002F03F5" w:rsidRPr="002D4482" w:rsidRDefault="006250A2" w:rsidP="008E13DB">
            <w:pPr>
              <w:pStyle w:val="TableText"/>
              <w:keepNext/>
              <w:keepLines/>
              <w:jc w:val="center"/>
              <w:rPr>
                <w:b/>
                <w:bCs/>
                <w:highlight w:val="yellow"/>
              </w:rPr>
            </w:pPr>
            <w:r w:rsidRPr="00077CA5">
              <w:rPr>
                <w:b/>
                <w:bCs/>
              </w:rPr>
              <w:t>$Redacted</w:t>
            </w:r>
            <w:r>
              <w:rPr>
                <w:b/>
                <w:bCs/>
                <w:vertAlign w:val="superscript"/>
              </w:rPr>
              <w:t>1</w:t>
            </w:r>
          </w:p>
        </w:tc>
        <w:tc>
          <w:tcPr>
            <w:tcW w:w="879" w:type="dxa"/>
            <w:tcBorders>
              <w:top w:val="single" w:sz="4" w:space="0" w:color="000000"/>
              <w:left w:val="single" w:sz="4" w:space="0" w:color="000000"/>
              <w:bottom w:val="single" w:sz="4" w:space="0" w:color="000000"/>
              <w:right w:val="single" w:sz="4" w:space="0" w:color="000000"/>
            </w:tcBorders>
          </w:tcPr>
          <w:p w14:paraId="3C780CBA" w14:textId="77777777" w:rsidR="002F03F5" w:rsidRDefault="008F23FF" w:rsidP="008E13DB">
            <w:pPr>
              <w:pStyle w:val="TableText"/>
              <w:keepNext/>
              <w:keepLines/>
              <w:jc w:val="center"/>
              <w:rPr>
                <w:b/>
              </w:rPr>
            </w:pPr>
            <w:r>
              <w:rPr>
                <w:b/>
              </w:rPr>
              <w:t xml:space="preserve"> </w:t>
            </w:r>
          </w:p>
        </w:tc>
      </w:tr>
      <w:tr w:rsidR="002F03F5" w14:paraId="3C780CBE" w14:textId="77777777" w:rsidTr="00FC7CAF">
        <w:tc>
          <w:tcPr>
            <w:tcW w:w="301" w:type="dxa"/>
            <w:tcBorders>
              <w:top w:val="single" w:sz="4" w:space="0" w:color="000000"/>
              <w:left w:val="single" w:sz="4" w:space="0" w:color="000000"/>
              <w:bottom w:val="single" w:sz="4" w:space="0" w:color="000000"/>
              <w:right w:val="single" w:sz="4" w:space="0" w:color="000000"/>
            </w:tcBorders>
          </w:tcPr>
          <w:p w14:paraId="3C780CBC" w14:textId="77777777" w:rsidR="002F03F5" w:rsidRDefault="008F23FF" w:rsidP="008E13DB">
            <w:pPr>
              <w:pStyle w:val="TableText"/>
              <w:keepNext/>
              <w:keepLines/>
              <w:widowControl/>
            </w:pPr>
            <w:r>
              <w:t xml:space="preserve"> </w:t>
            </w:r>
          </w:p>
        </w:tc>
        <w:tc>
          <w:tcPr>
            <w:tcW w:w="8634" w:type="dxa"/>
            <w:gridSpan w:val="6"/>
            <w:tcBorders>
              <w:top w:val="single" w:sz="4" w:space="0" w:color="000000"/>
              <w:left w:val="single" w:sz="4" w:space="0" w:color="000000"/>
              <w:bottom w:val="single" w:sz="4" w:space="0" w:color="000000"/>
              <w:right w:val="single" w:sz="4" w:space="0" w:color="000000"/>
            </w:tcBorders>
          </w:tcPr>
          <w:p w14:paraId="3C780CBD" w14:textId="378190DA" w:rsidR="002F03F5" w:rsidRPr="00AD7163" w:rsidRDefault="008F23FF" w:rsidP="008E13DB">
            <w:pPr>
              <w:pStyle w:val="TableText"/>
              <w:keepNext/>
              <w:keepLines/>
              <w:rPr>
                <w:b/>
                <w:bCs/>
              </w:rPr>
            </w:pPr>
            <w:r w:rsidRPr="00AD7163">
              <w:rPr>
                <w:b/>
                <w:bCs/>
                <w:i/>
                <w:iCs/>
              </w:rPr>
              <w:t xml:space="preserve">RET </w:t>
            </w:r>
            <w:r w:rsidRPr="00AD7163">
              <w:rPr>
                <w:b/>
                <w:bCs/>
              </w:rPr>
              <w:t xml:space="preserve">variant testing (base case: NNT = 2.97, MBS fee = $400) </w:t>
            </w:r>
          </w:p>
        </w:tc>
      </w:tr>
      <w:tr w:rsidR="002F03F5" w14:paraId="3C780CC6" w14:textId="77777777" w:rsidTr="00FC7CAF">
        <w:tc>
          <w:tcPr>
            <w:tcW w:w="301" w:type="dxa"/>
            <w:tcBorders>
              <w:top w:val="single" w:sz="4" w:space="0" w:color="000000"/>
              <w:left w:val="single" w:sz="4" w:space="0" w:color="000000"/>
              <w:bottom w:val="single" w:sz="4" w:space="0" w:color="000000"/>
              <w:right w:val="single" w:sz="4" w:space="0" w:color="000000"/>
            </w:tcBorders>
          </w:tcPr>
          <w:p w14:paraId="3C780CBF" w14:textId="77777777" w:rsidR="002F03F5" w:rsidRDefault="008F23FF" w:rsidP="008E13DB">
            <w:pPr>
              <w:pStyle w:val="TableText"/>
              <w:keepNext/>
              <w:keepLines/>
              <w:widowControl/>
            </w:pPr>
            <w:r>
              <w:t>1</w:t>
            </w:r>
          </w:p>
        </w:tc>
        <w:tc>
          <w:tcPr>
            <w:tcW w:w="3734" w:type="dxa"/>
            <w:tcBorders>
              <w:top w:val="single" w:sz="4" w:space="0" w:color="000000"/>
              <w:left w:val="single" w:sz="4" w:space="0" w:color="000000"/>
              <w:bottom w:val="single" w:sz="4" w:space="0" w:color="000000"/>
              <w:right w:val="single" w:sz="4" w:space="0" w:color="000000"/>
            </w:tcBorders>
          </w:tcPr>
          <w:p w14:paraId="3C780CC0" w14:textId="77777777" w:rsidR="002F03F5" w:rsidRDefault="008F23FF" w:rsidP="008E13DB">
            <w:pPr>
              <w:pStyle w:val="TableText"/>
              <w:keepNext/>
              <w:keepLines/>
              <w:widowControl/>
            </w:pPr>
            <w:r>
              <w:t>NNT = 2.2</w:t>
            </w:r>
          </w:p>
        </w:tc>
        <w:tc>
          <w:tcPr>
            <w:tcW w:w="807" w:type="dxa"/>
            <w:tcBorders>
              <w:top w:val="single" w:sz="4" w:space="0" w:color="000000"/>
              <w:left w:val="single" w:sz="4" w:space="0" w:color="000000"/>
              <w:bottom w:val="single" w:sz="4" w:space="0" w:color="000000"/>
              <w:right w:val="single" w:sz="4" w:space="0" w:color="000000"/>
            </w:tcBorders>
          </w:tcPr>
          <w:p w14:paraId="3C780CC1" w14:textId="77777777" w:rsidR="002F03F5" w:rsidRPr="00AD7163" w:rsidRDefault="008F23FF" w:rsidP="008E13DB">
            <w:pPr>
              <w:pStyle w:val="TableNumber"/>
              <w:keepNext/>
              <w:keepLines/>
              <w:jc w:val="left"/>
            </w:pPr>
            <w:r w:rsidRPr="00AD7163">
              <w:t>4.875</w:t>
            </w:r>
          </w:p>
        </w:tc>
        <w:tc>
          <w:tcPr>
            <w:tcW w:w="808" w:type="dxa"/>
            <w:tcBorders>
              <w:top w:val="single" w:sz="4" w:space="0" w:color="000000"/>
              <w:left w:val="single" w:sz="4" w:space="0" w:color="000000"/>
              <w:bottom w:val="single" w:sz="4" w:space="0" w:color="000000"/>
              <w:right w:val="single" w:sz="4" w:space="0" w:color="000000"/>
            </w:tcBorders>
          </w:tcPr>
          <w:p w14:paraId="3C780CC2" w14:textId="77777777" w:rsidR="002F03F5" w:rsidRPr="00AD7163" w:rsidRDefault="008F23FF" w:rsidP="008E13DB">
            <w:pPr>
              <w:pStyle w:val="TableNumber"/>
              <w:keepNext/>
              <w:keepLines/>
            </w:pPr>
            <w:r w:rsidRPr="00AD7163">
              <w:t>4.088</w:t>
            </w:r>
          </w:p>
        </w:tc>
        <w:tc>
          <w:tcPr>
            <w:tcW w:w="1118" w:type="dxa"/>
            <w:tcBorders>
              <w:top w:val="single" w:sz="4" w:space="0" w:color="000000"/>
              <w:left w:val="single" w:sz="4" w:space="0" w:color="000000"/>
              <w:bottom w:val="single" w:sz="4" w:space="0" w:color="000000"/>
              <w:right w:val="single" w:sz="4" w:space="0" w:color="000000"/>
            </w:tcBorders>
          </w:tcPr>
          <w:p w14:paraId="3C780CC3" w14:textId="3CD22740" w:rsidR="002F03F5" w:rsidRPr="002D4482" w:rsidRDefault="006250A2" w:rsidP="008E13DB">
            <w:pPr>
              <w:pStyle w:val="TableNumber"/>
              <w:keepNext/>
              <w:keepLines/>
              <w:rPr>
                <w:highlight w:val="yellow"/>
              </w:rPr>
            </w:pPr>
            <w:r w:rsidRPr="002D4482">
              <w:t>$</w:t>
            </w:r>
            <w:r w:rsidRPr="00077CA5">
              <w:rPr>
                <w:b/>
                <w:bCs/>
              </w:rPr>
              <w:t>Redacted</w:t>
            </w:r>
          </w:p>
        </w:tc>
        <w:tc>
          <w:tcPr>
            <w:tcW w:w="1288" w:type="dxa"/>
            <w:tcBorders>
              <w:top w:val="single" w:sz="4" w:space="0" w:color="000000"/>
              <w:left w:val="single" w:sz="4" w:space="0" w:color="000000"/>
              <w:bottom w:val="single" w:sz="4" w:space="0" w:color="000000"/>
              <w:right w:val="single" w:sz="4" w:space="0" w:color="000000"/>
            </w:tcBorders>
          </w:tcPr>
          <w:p w14:paraId="3C780CC4" w14:textId="3BC55F2A" w:rsidR="002F03F5" w:rsidRPr="002D4482" w:rsidRDefault="006250A2" w:rsidP="008E13DB">
            <w:pPr>
              <w:pStyle w:val="TableNumber"/>
              <w:keepNext/>
              <w:keepLines/>
              <w:rPr>
                <w:highlight w:val="yellow"/>
              </w:rPr>
            </w:pPr>
            <w:r w:rsidRPr="002D4482">
              <w:t>$</w:t>
            </w:r>
            <w:r w:rsidRPr="00077CA5">
              <w:rPr>
                <w:b/>
                <w:bCs/>
              </w:rPr>
              <w:t>Redacted</w:t>
            </w:r>
            <w:r>
              <w:rPr>
                <w:b/>
                <w:bCs/>
                <w:vertAlign w:val="superscript"/>
              </w:rPr>
              <w:t>1</w:t>
            </w:r>
          </w:p>
        </w:tc>
        <w:tc>
          <w:tcPr>
            <w:tcW w:w="879" w:type="dxa"/>
            <w:tcBorders>
              <w:top w:val="single" w:sz="4" w:space="0" w:color="000000"/>
              <w:left w:val="single" w:sz="4" w:space="0" w:color="000000"/>
              <w:bottom w:val="single" w:sz="4" w:space="0" w:color="000000"/>
              <w:right w:val="single" w:sz="4" w:space="0" w:color="000000"/>
            </w:tcBorders>
          </w:tcPr>
          <w:p w14:paraId="3C780CC5" w14:textId="5CAC75AB" w:rsidR="002F03F5" w:rsidRPr="006250A2" w:rsidRDefault="008F23FF" w:rsidP="008E13DB">
            <w:pPr>
              <w:pStyle w:val="TableNumber"/>
              <w:keepNext/>
              <w:keepLines/>
              <w:jc w:val="left"/>
            </w:pPr>
            <w:r w:rsidRPr="006250A2">
              <w:t>-</w:t>
            </w:r>
            <w:r w:rsidR="004A02A7">
              <w:rPr>
                <w:b/>
                <w:bCs/>
              </w:rPr>
              <w:t xml:space="preserve"> Redacted</w:t>
            </w:r>
            <w:r w:rsidR="004A02A7">
              <w:t>%</w:t>
            </w:r>
          </w:p>
        </w:tc>
      </w:tr>
      <w:tr w:rsidR="002F03F5" w14:paraId="3C780CCE" w14:textId="77777777" w:rsidTr="00FC7CAF">
        <w:tc>
          <w:tcPr>
            <w:tcW w:w="301" w:type="dxa"/>
            <w:tcBorders>
              <w:top w:val="single" w:sz="4" w:space="0" w:color="000000"/>
              <w:left w:val="single" w:sz="4" w:space="0" w:color="000000"/>
              <w:bottom w:val="single" w:sz="4" w:space="0" w:color="000000"/>
              <w:right w:val="single" w:sz="4" w:space="0" w:color="000000"/>
            </w:tcBorders>
          </w:tcPr>
          <w:p w14:paraId="3C780CC7" w14:textId="77777777" w:rsidR="002F03F5" w:rsidRDefault="008F23FF" w:rsidP="008E13DB">
            <w:pPr>
              <w:pStyle w:val="TableText"/>
              <w:keepNext/>
              <w:keepLines/>
              <w:widowControl/>
            </w:pPr>
            <w:r>
              <w:t>2</w:t>
            </w:r>
          </w:p>
        </w:tc>
        <w:tc>
          <w:tcPr>
            <w:tcW w:w="3734" w:type="dxa"/>
            <w:tcBorders>
              <w:top w:val="single" w:sz="4" w:space="0" w:color="000000"/>
              <w:left w:val="single" w:sz="4" w:space="0" w:color="000000"/>
              <w:bottom w:val="single" w:sz="4" w:space="0" w:color="000000"/>
              <w:right w:val="single" w:sz="4" w:space="0" w:color="000000"/>
            </w:tcBorders>
          </w:tcPr>
          <w:p w14:paraId="3C780CC8" w14:textId="009ED171" w:rsidR="002F03F5" w:rsidRDefault="008F23FF" w:rsidP="008E13DB">
            <w:pPr>
              <w:pStyle w:val="TableText"/>
              <w:keepNext/>
              <w:keepLines/>
              <w:widowControl/>
            </w:pPr>
            <w:r>
              <w:rPr>
                <w:i/>
                <w:iCs/>
              </w:rPr>
              <w:t xml:space="preserve">RET </w:t>
            </w:r>
            <w:r>
              <w:t xml:space="preserve">variant test costs = excluded </w:t>
            </w:r>
          </w:p>
        </w:tc>
        <w:tc>
          <w:tcPr>
            <w:tcW w:w="807" w:type="dxa"/>
            <w:tcBorders>
              <w:top w:val="single" w:sz="4" w:space="0" w:color="000000"/>
              <w:left w:val="single" w:sz="4" w:space="0" w:color="000000"/>
              <w:bottom w:val="single" w:sz="4" w:space="0" w:color="000000"/>
              <w:right w:val="single" w:sz="4" w:space="0" w:color="000000"/>
            </w:tcBorders>
          </w:tcPr>
          <w:p w14:paraId="3C780CC9" w14:textId="77777777" w:rsidR="002F03F5" w:rsidRPr="00AD7163" w:rsidRDefault="008F23FF" w:rsidP="008E13DB">
            <w:pPr>
              <w:pStyle w:val="TableNumber"/>
              <w:keepNext/>
              <w:keepLines/>
              <w:jc w:val="left"/>
            </w:pPr>
            <w:r w:rsidRPr="00AD7163">
              <w:t>4.875</w:t>
            </w:r>
          </w:p>
        </w:tc>
        <w:tc>
          <w:tcPr>
            <w:tcW w:w="808" w:type="dxa"/>
            <w:tcBorders>
              <w:top w:val="single" w:sz="4" w:space="0" w:color="000000"/>
              <w:left w:val="single" w:sz="4" w:space="0" w:color="000000"/>
              <w:bottom w:val="single" w:sz="4" w:space="0" w:color="000000"/>
              <w:right w:val="single" w:sz="4" w:space="0" w:color="000000"/>
            </w:tcBorders>
          </w:tcPr>
          <w:p w14:paraId="3C780CCA" w14:textId="77777777" w:rsidR="002F03F5" w:rsidRPr="00AD7163" w:rsidRDefault="008F23FF" w:rsidP="008E13DB">
            <w:pPr>
              <w:pStyle w:val="TableNumber"/>
              <w:keepNext/>
              <w:keepLines/>
            </w:pPr>
            <w:r w:rsidRPr="00AD7163">
              <w:t>4.088</w:t>
            </w:r>
          </w:p>
        </w:tc>
        <w:tc>
          <w:tcPr>
            <w:tcW w:w="1118" w:type="dxa"/>
            <w:tcBorders>
              <w:top w:val="single" w:sz="4" w:space="0" w:color="000000"/>
              <w:left w:val="single" w:sz="4" w:space="0" w:color="000000"/>
              <w:bottom w:val="single" w:sz="4" w:space="0" w:color="000000"/>
              <w:right w:val="single" w:sz="4" w:space="0" w:color="000000"/>
            </w:tcBorders>
          </w:tcPr>
          <w:p w14:paraId="3C780CCB" w14:textId="49BF0B1E" w:rsidR="002F03F5" w:rsidRPr="002D4482" w:rsidRDefault="006250A2" w:rsidP="008E13DB">
            <w:pPr>
              <w:pStyle w:val="TableNumber"/>
              <w:keepNext/>
              <w:keepLines/>
              <w:rPr>
                <w:highlight w:val="yellow"/>
              </w:rPr>
            </w:pPr>
            <w:r w:rsidRPr="00077CA5">
              <w:t>$</w:t>
            </w:r>
            <w:r w:rsidRPr="00077CA5">
              <w:rPr>
                <w:b/>
                <w:bCs/>
              </w:rPr>
              <w:t>Redacted</w:t>
            </w:r>
          </w:p>
        </w:tc>
        <w:tc>
          <w:tcPr>
            <w:tcW w:w="1288" w:type="dxa"/>
            <w:tcBorders>
              <w:top w:val="single" w:sz="4" w:space="0" w:color="000000"/>
              <w:left w:val="single" w:sz="4" w:space="0" w:color="000000"/>
              <w:bottom w:val="single" w:sz="4" w:space="0" w:color="000000"/>
              <w:right w:val="single" w:sz="4" w:space="0" w:color="000000"/>
            </w:tcBorders>
          </w:tcPr>
          <w:p w14:paraId="3C780CCC" w14:textId="54453FAC" w:rsidR="002F03F5" w:rsidRPr="002D4482" w:rsidRDefault="006250A2" w:rsidP="008E13DB">
            <w:pPr>
              <w:pStyle w:val="TableNumber"/>
              <w:keepNext/>
              <w:keepLines/>
              <w:rPr>
                <w:highlight w:val="yellow"/>
              </w:rPr>
            </w:pPr>
            <w:r w:rsidRPr="00077CA5">
              <w:t>$</w:t>
            </w:r>
            <w:r w:rsidRPr="00077CA5">
              <w:rPr>
                <w:b/>
                <w:bCs/>
              </w:rPr>
              <w:t>Redacted</w:t>
            </w:r>
            <w:r>
              <w:rPr>
                <w:b/>
                <w:bCs/>
                <w:vertAlign w:val="superscript"/>
              </w:rPr>
              <w:t>1</w:t>
            </w:r>
          </w:p>
        </w:tc>
        <w:tc>
          <w:tcPr>
            <w:tcW w:w="879" w:type="dxa"/>
            <w:tcBorders>
              <w:top w:val="single" w:sz="4" w:space="0" w:color="000000"/>
              <w:left w:val="single" w:sz="4" w:space="0" w:color="000000"/>
              <w:bottom w:val="single" w:sz="4" w:space="0" w:color="000000"/>
              <w:right w:val="single" w:sz="4" w:space="0" w:color="000000"/>
            </w:tcBorders>
          </w:tcPr>
          <w:p w14:paraId="3C780CCD" w14:textId="52B661EC" w:rsidR="002F03F5" w:rsidRPr="006250A2" w:rsidRDefault="008F23FF" w:rsidP="008E13DB">
            <w:pPr>
              <w:pStyle w:val="TableNumber"/>
              <w:keepNext/>
              <w:keepLines/>
              <w:jc w:val="left"/>
            </w:pPr>
            <w:r w:rsidRPr="006250A2">
              <w:t>-</w:t>
            </w:r>
            <w:r w:rsidR="004A02A7">
              <w:rPr>
                <w:b/>
                <w:bCs/>
              </w:rPr>
              <w:t xml:space="preserve"> Redacted</w:t>
            </w:r>
            <w:r w:rsidR="004A02A7">
              <w:t>%</w:t>
            </w:r>
          </w:p>
        </w:tc>
      </w:tr>
      <w:tr w:rsidR="002F03F5" w14:paraId="3C780CD0" w14:textId="77777777" w:rsidTr="00FC7CAF">
        <w:tc>
          <w:tcPr>
            <w:tcW w:w="8935" w:type="dxa"/>
            <w:gridSpan w:val="7"/>
            <w:tcBorders>
              <w:top w:val="single" w:sz="4" w:space="0" w:color="000000"/>
              <w:left w:val="single" w:sz="4" w:space="0" w:color="000000"/>
              <w:bottom w:val="single" w:sz="4" w:space="0" w:color="000000"/>
              <w:right w:val="single" w:sz="4" w:space="0" w:color="000000"/>
            </w:tcBorders>
          </w:tcPr>
          <w:p w14:paraId="3C780CCF" w14:textId="77777777" w:rsidR="002F03F5" w:rsidRPr="006250A2" w:rsidRDefault="008F23FF" w:rsidP="008E13DB">
            <w:pPr>
              <w:pStyle w:val="TableText"/>
              <w:keepNext/>
              <w:keepLines/>
              <w:rPr>
                <w:b/>
                <w:bCs/>
              </w:rPr>
            </w:pPr>
            <w:r w:rsidRPr="006250A2">
              <w:rPr>
                <w:b/>
              </w:rPr>
              <w:t>Additional analysis conducted by the commentary</w:t>
            </w:r>
          </w:p>
        </w:tc>
      </w:tr>
      <w:tr w:rsidR="002F03F5" w14:paraId="3C780CD8" w14:textId="77777777" w:rsidTr="00FC7CAF">
        <w:tc>
          <w:tcPr>
            <w:tcW w:w="301" w:type="dxa"/>
            <w:tcBorders>
              <w:top w:val="single" w:sz="4" w:space="0" w:color="000000"/>
              <w:left w:val="single" w:sz="4" w:space="0" w:color="000000"/>
              <w:bottom w:val="single" w:sz="4" w:space="0" w:color="000000"/>
              <w:right w:val="single" w:sz="4" w:space="0" w:color="000000"/>
            </w:tcBorders>
          </w:tcPr>
          <w:p w14:paraId="3C780CD1" w14:textId="77777777" w:rsidR="002F03F5" w:rsidRDefault="008F23FF" w:rsidP="008E13DB">
            <w:pPr>
              <w:pStyle w:val="TableText"/>
              <w:keepNext/>
              <w:keepLines/>
            </w:pPr>
            <w:r>
              <w:t>A1</w:t>
            </w:r>
          </w:p>
        </w:tc>
        <w:tc>
          <w:tcPr>
            <w:tcW w:w="3734" w:type="dxa"/>
            <w:tcBorders>
              <w:top w:val="single" w:sz="4" w:space="0" w:color="000000"/>
              <w:left w:val="single" w:sz="4" w:space="0" w:color="000000"/>
              <w:bottom w:val="single" w:sz="4" w:space="0" w:color="000000"/>
              <w:right w:val="single" w:sz="4" w:space="0" w:color="000000"/>
            </w:tcBorders>
          </w:tcPr>
          <w:p w14:paraId="3C780CD2" w14:textId="77777777" w:rsidR="002F03F5" w:rsidRDefault="008F23FF" w:rsidP="008E13DB">
            <w:pPr>
              <w:pStyle w:val="TableText"/>
              <w:keepNext/>
              <w:keepLines/>
            </w:pPr>
            <w:r>
              <w:t>NNT assume testing at diagnosis = 1.43</w:t>
            </w:r>
          </w:p>
        </w:tc>
        <w:tc>
          <w:tcPr>
            <w:tcW w:w="807" w:type="dxa"/>
            <w:tcBorders>
              <w:top w:val="single" w:sz="4" w:space="0" w:color="000000"/>
              <w:left w:val="single" w:sz="4" w:space="0" w:color="000000"/>
              <w:bottom w:val="single" w:sz="4" w:space="0" w:color="000000"/>
              <w:right w:val="single" w:sz="4" w:space="0" w:color="000000"/>
            </w:tcBorders>
          </w:tcPr>
          <w:p w14:paraId="3C780CD3" w14:textId="77777777" w:rsidR="002F03F5" w:rsidRPr="00AD7163" w:rsidRDefault="008F23FF" w:rsidP="008E13DB">
            <w:pPr>
              <w:pStyle w:val="TableNumber"/>
              <w:keepNext/>
              <w:keepLines/>
              <w:jc w:val="left"/>
            </w:pPr>
            <w:r w:rsidRPr="00AD7163">
              <w:t>4.875</w:t>
            </w:r>
          </w:p>
        </w:tc>
        <w:tc>
          <w:tcPr>
            <w:tcW w:w="808" w:type="dxa"/>
            <w:tcBorders>
              <w:top w:val="single" w:sz="4" w:space="0" w:color="000000"/>
              <w:left w:val="single" w:sz="4" w:space="0" w:color="000000"/>
              <w:bottom w:val="single" w:sz="4" w:space="0" w:color="000000"/>
              <w:right w:val="single" w:sz="4" w:space="0" w:color="000000"/>
            </w:tcBorders>
          </w:tcPr>
          <w:p w14:paraId="3C780CD4" w14:textId="77777777" w:rsidR="002F03F5" w:rsidRPr="00AD7163" w:rsidRDefault="008F23FF" w:rsidP="008E13DB">
            <w:pPr>
              <w:pStyle w:val="TableNumber"/>
              <w:keepNext/>
              <w:keepLines/>
            </w:pPr>
            <w:r w:rsidRPr="00AD7163">
              <w:t>4.088</w:t>
            </w:r>
          </w:p>
        </w:tc>
        <w:tc>
          <w:tcPr>
            <w:tcW w:w="1118" w:type="dxa"/>
            <w:tcBorders>
              <w:top w:val="single" w:sz="4" w:space="0" w:color="000000"/>
              <w:left w:val="single" w:sz="4" w:space="0" w:color="000000"/>
              <w:bottom w:val="single" w:sz="4" w:space="0" w:color="000000"/>
              <w:right w:val="single" w:sz="4" w:space="0" w:color="000000"/>
            </w:tcBorders>
          </w:tcPr>
          <w:p w14:paraId="3C780CD5" w14:textId="67F37525" w:rsidR="002F03F5" w:rsidRPr="002D4482" w:rsidRDefault="006250A2" w:rsidP="008E13DB">
            <w:pPr>
              <w:pStyle w:val="TableNumber"/>
              <w:keepNext/>
              <w:keepLines/>
              <w:rPr>
                <w:highlight w:val="yellow"/>
              </w:rPr>
            </w:pPr>
            <w:r w:rsidRPr="00077CA5">
              <w:t>$</w:t>
            </w:r>
            <w:r w:rsidRPr="00077CA5">
              <w:rPr>
                <w:b/>
                <w:bCs/>
              </w:rPr>
              <w:t>Redacted</w:t>
            </w:r>
          </w:p>
        </w:tc>
        <w:tc>
          <w:tcPr>
            <w:tcW w:w="1288" w:type="dxa"/>
            <w:tcBorders>
              <w:top w:val="single" w:sz="4" w:space="0" w:color="000000"/>
              <w:left w:val="single" w:sz="4" w:space="0" w:color="000000"/>
              <w:bottom w:val="single" w:sz="4" w:space="0" w:color="000000"/>
              <w:right w:val="single" w:sz="4" w:space="0" w:color="000000"/>
            </w:tcBorders>
          </w:tcPr>
          <w:p w14:paraId="3C780CD6" w14:textId="37EA39A9" w:rsidR="002F03F5" w:rsidRPr="002D4482" w:rsidRDefault="006250A2" w:rsidP="008E13DB">
            <w:pPr>
              <w:pStyle w:val="TableNumber"/>
              <w:keepNext/>
              <w:keepLines/>
              <w:rPr>
                <w:highlight w:val="yellow"/>
              </w:rPr>
            </w:pPr>
            <w:r w:rsidRPr="00077CA5">
              <w:t>$</w:t>
            </w:r>
            <w:r w:rsidRPr="00077CA5">
              <w:rPr>
                <w:b/>
                <w:bCs/>
              </w:rPr>
              <w:t>Redacted</w:t>
            </w:r>
            <w:r>
              <w:rPr>
                <w:b/>
                <w:bCs/>
                <w:vertAlign w:val="superscript"/>
              </w:rPr>
              <w:t>1</w:t>
            </w:r>
          </w:p>
        </w:tc>
        <w:tc>
          <w:tcPr>
            <w:tcW w:w="879" w:type="dxa"/>
            <w:tcBorders>
              <w:top w:val="single" w:sz="4" w:space="0" w:color="000000"/>
              <w:left w:val="single" w:sz="4" w:space="0" w:color="000000"/>
              <w:bottom w:val="single" w:sz="4" w:space="0" w:color="000000"/>
              <w:right w:val="single" w:sz="4" w:space="0" w:color="000000"/>
            </w:tcBorders>
          </w:tcPr>
          <w:p w14:paraId="3C780CD7" w14:textId="6B42D096" w:rsidR="002F03F5" w:rsidRPr="006250A2" w:rsidRDefault="008F23FF" w:rsidP="008E13DB">
            <w:pPr>
              <w:pStyle w:val="TableNumber"/>
              <w:keepNext/>
              <w:keepLines/>
              <w:jc w:val="left"/>
            </w:pPr>
            <w:r w:rsidRPr="006250A2">
              <w:t>-</w:t>
            </w:r>
            <w:r w:rsidR="004A02A7">
              <w:rPr>
                <w:b/>
                <w:bCs/>
              </w:rPr>
              <w:t xml:space="preserve"> Redacted</w:t>
            </w:r>
            <w:r w:rsidR="004A02A7">
              <w:t>%</w:t>
            </w:r>
          </w:p>
        </w:tc>
      </w:tr>
      <w:tr w:rsidR="002F03F5" w14:paraId="3C780CE0" w14:textId="77777777" w:rsidTr="00FC7CAF">
        <w:tc>
          <w:tcPr>
            <w:tcW w:w="301" w:type="dxa"/>
            <w:tcBorders>
              <w:top w:val="single" w:sz="4" w:space="0" w:color="000000"/>
              <w:left w:val="single" w:sz="4" w:space="0" w:color="000000"/>
              <w:bottom w:val="single" w:sz="4" w:space="0" w:color="000000"/>
              <w:right w:val="single" w:sz="4" w:space="0" w:color="000000"/>
            </w:tcBorders>
          </w:tcPr>
          <w:p w14:paraId="3C780CD9" w14:textId="77777777" w:rsidR="002F03F5" w:rsidRDefault="008F23FF" w:rsidP="008E13DB">
            <w:pPr>
              <w:pStyle w:val="TableText"/>
              <w:keepNext/>
              <w:keepLines/>
            </w:pPr>
            <w:r>
              <w:t>A2</w:t>
            </w:r>
          </w:p>
        </w:tc>
        <w:tc>
          <w:tcPr>
            <w:tcW w:w="3734" w:type="dxa"/>
            <w:tcBorders>
              <w:top w:val="single" w:sz="4" w:space="0" w:color="000000"/>
              <w:left w:val="single" w:sz="4" w:space="0" w:color="000000"/>
              <w:bottom w:val="single" w:sz="4" w:space="0" w:color="000000"/>
              <w:right w:val="single" w:sz="4" w:space="0" w:color="000000"/>
            </w:tcBorders>
          </w:tcPr>
          <w:p w14:paraId="3C780CDA" w14:textId="77777777" w:rsidR="002F03F5" w:rsidRDefault="008F23FF" w:rsidP="008E13DB">
            <w:pPr>
              <w:pStyle w:val="TableText"/>
              <w:keepNext/>
              <w:keepLines/>
            </w:pPr>
            <w:r>
              <w:t>NNT assume testing at stage III/IV irrespective of progression = 2.15</w:t>
            </w:r>
          </w:p>
        </w:tc>
        <w:tc>
          <w:tcPr>
            <w:tcW w:w="807" w:type="dxa"/>
            <w:tcBorders>
              <w:top w:val="single" w:sz="4" w:space="0" w:color="000000"/>
              <w:left w:val="single" w:sz="4" w:space="0" w:color="000000"/>
              <w:bottom w:val="single" w:sz="4" w:space="0" w:color="000000"/>
              <w:right w:val="single" w:sz="4" w:space="0" w:color="000000"/>
            </w:tcBorders>
            <w:vAlign w:val="center"/>
          </w:tcPr>
          <w:p w14:paraId="3C780CDB" w14:textId="77777777" w:rsidR="002F03F5" w:rsidRPr="00AD7163" w:rsidRDefault="008F23FF" w:rsidP="008E13DB">
            <w:pPr>
              <w:pStyle w:val="TableNumber"/>
              <w:keepNext/>
              <w:keepLines/>
              <w:jc w:val="left"/>
            </w:pPr>
            <w:r w:rsidRPr="00AD7163">
              <w:t>4.875</w:t>
            </w:r>
          </w:p>
        </w:tc>
        <w:tc>
          <w:tcPr>
            <w:tcW w:w="808" w:type="dxa"/>
            <w:tcBorders>
              <w:top w:val="single" w:sz="4" w:space="0" w:color="000000"/>
              <w:left w:val="single" w:sz="4" w:space="0" w:color="000000"/>
              <w:bottom w:val="single" w:sz="4" w:space="0" w:color="000000"/>
              <w:right w:val="single" w:sz="4" w:space="0" w:color="000000"/>
            </w:tcBorders>
            <w:vAlign w:val="center"/>
          </w:tcPr>
          <w:p w14:paraId="3C780CDC" w14:textId="77777777" w:rsidR="002F03F5" w:rsidRPr="00AD7163" w:rsidRDefault="008F23FF" w:rsidP="008E13DB">
            <w:pPr>
              <w:pStyle w:val="TableNumber"/>
              <w:keepNext/>
              <w:keepLines/>
            </w:pPr>
            <w:r w:rsidRPr="00AD7163">
              <w:t>4.088</w:t>
            </w:r>
          </w:p>
        </w:tc>
        <w:tc>
          <w:tcPr>
            <w:tcW w:w="1118" w:type="dxa"/>
            <w:tcBorders>
              <w:top w:val="single" w:sz="4" w:space="0" w:color="000000"/>
              <w:left w:val="single" w:sz="4" w:space="0" w:color="000000"/>
              <w:bottom w:val="single" w:sz="4" w:space="0" w:color="000000"/>
              <w:right w:val="single" w:sz="4" w:space="0" w:color="000000"/>
            </w:tcBorders>
            <w:vAlign w:val="center"/>
          </w:tcPr>
          <w:p w14:paraId="3C780CDD" w14:textId="0B62B123" w:rsidR="002F03F5" w:rsidRPr="002D4482" w:rsidRDefault="006250A2" w:rsidP="008E13DB">
            <w:pPr>
              <w:pStyle w:val="TableNumber"/>
              <w:keepNext/>
              <w:keepLines/>
              <w:rPr>
                <w:highlight w:val="yellow"/>
              </w:rPr>
            </w:pPr>
            <w:r w:rsidRPr="00077CA5">
              <w:t>$</w:t>
            </w:r>
            <w:r w:rsidRPr="00077CA5">
              <w:rPr>
                <w:b/>
                <w:bCs/>
              </w:rPr>
              <w:t>Redacted</w:t>
            </w:r>
          </w:p>
        </w:tc>
        <w:tc>
          <w:tcPr>
            <w:tcW w:w="1288" w:type="dxa"/>
            <w:tcBorders>
              <w:top w:val="single" w:sz="4" w:space="0" w:color="000000"/>
              <w:left w:val="single" w:sz="4" w:space="0" w:color="000000"/>
              <w:bottom w:val="single" w:sz="4" w:space="0" w:color="000000"/>
              <w:right w:val="single" w:sz="4" w:space="0" w:color="000000"/>
            </w:tcBorders>
            <w:vAlign w:val="center"/>
          </w:tcPr>
          <w:p w14:paraId="3C780CDE" w14:textId="47FCD49B" w:rsidR="002F03F5" w:rsidRPr="002D4482" w:rsidRDefault="006250A2" w:rsidP="008E13DB">
            <w:pPr>
              <w:pStyle w:val="TableNumber"/>
              <w:keepNext/>
              <w:keepLines/>
              <w:rPr>
                <w:highlight w:val="yellow"/>
              </w:rPr>
            </w:pPr>
            <w:r w:rsidRPr="00077CA5">
              <w:t>$</w:t>
            </w:r>
            <w:r w:rsidRPr="00077CA5">
              <w:rPr>
                <w:b/>
                <w:bCs/>
              </w:rPr>
              <w:t>Redacted</w:t>
            </w:r>
            <w:r>
              <w:rPr>
                <w:b/>
                <w:bCs/>
                <w:vertAlign w:val="superscript"/>
              </w:rPr>
              <w:t>1</w:t>
            </w:r>
          </w:p>
        </w:tc>
        <w:tc>
          <w:tcPr>
            <w:tcW w:w="879" w:type="dxa"/>
            <w:tcBorders>
              <w:top w:val="single" w:sz="4" w:space="0" w:color="000000"/>
              <w:left w:val="single" w:sz="4" w:space="0" w:color="000000"/>
              <w:bottom w:val="single" w:sz="4" w:space="0" w:color="000000"/>
              <w:right w:val="single" w:sz="4" w:space="0" w:color="000000"/>
            </w:tcBorders>
            <w:vAlign w:val="center"/>
          </w:tcPr>
          <w:p w14:paraId="3C780CDF" w14:textId="0035C785" w:rsidR="002F03F5" w:rsidRPr="006250A2" w:rsidRDefault="008F23FF" w:rsidP="008E13DB">
            <w:pPr>
              <w:pStyle w:val="TableNumber"/>
              <w:keepNext/>
              <w:keepLines/>
              <w:jc w:val="left"/>
            </w:pPr>
            <w:r w:rsidRPr="006250A2">
              <w:t>-</w:t>
            </w:r>
            <w:r w:rsidR="004A02A7">
              <w:rPr>
                <w:b/>
                <w:bCs/>
              </w:rPr>
              <w:t xml:space="preserve"> Redacted</w:t>
            </w:r>
            <w:r w:rsidR="004A02A7">
              <w:t>%</w:t>
            </w:r>
          </w:p>
        </w:tc>
      </w:tr>
      <w:tr w:rsidR="002F03F5" w14:paraId="3C780CE8" w14:textId="77777777" w:rsidTr="00FC7CAF">
        <w:tc>
          <w:tcPr>
            <w:tcW w:w="301" w:type="dxa"/>
            <w:tcBorders>
              <w:top w:val="single" w:sz="4" w:space="0" w:color="000000"/>
              <w:left w:val="single" w:sz="4" w:space="0" w:color="000000"/>
              <w:bottom w:val="single" w:sz="4" w:space="0" w:color="000000"/>
              <w:right w:val="single" w:sz="4" w:space="0" w:color="000000"/>
            </w:tcBorders>
          </w:tcPr>
          <w:p w14:paraId="3C780CE1" w14:textId="77777777" w:rsidR="002F03F5" w:rsidRDefault="008F23FF" w:rsidP="008E13DB">
            <w:pPr>
              <w:pStyle w:val="TableText"/>
              <w:keepNext/>
              <w:keepLines/>
            </w:pPr>
            <w:r>
              <w:t>A3</w:t>
            </w:r>
          </w:p>
        </w:tc>
        <w:tc>
          <w:tcPr>
            <w:tcW w:w="3734" w:type="dxa"/>
            <w:tcBorders>
              <w:top w:val="single" w:sz="4" w:space="0" w:color="000000"/>
              <w:left w:val="single" w:sz="4" w:space="0" w:color="000000"/>
              <w:bottom w:val="single" w:sz="4" w:space="0" w:color="000000"/>
              <w:right w:val="single" w:sz="4" w:space="0" w:color="000000"/>
            </w:tcBorders>
          </w:tcPr>
          <w:p w14:paraId="3C780CE2" w14:textId="67D59226" w:rsidR="002F03F5" w:rsidRDefault="008F23FF" w:rsidP="008E13DB">
            <w:pPr>
              <w:pStyle w:val="TableText"/>
              <w:keepNext/>
              <w:keepLines/>
            </w:pPr>
            <w:r>
              <w:t>NNT assume testing as per LIBRETTO-531 = 3.87</w:t>
            </w:r>
          </w:p>
        </w:tc>
        <w:tc>
          <w:tcPr>
            <w:tcW w:w="807" w:type="dxa"/>
            <w:tcBorders>
              <w:top w:val="single" w:sz="4" w:space="0" w:color="000000"/>
              <w:left w:val="single" w:sz="4" w:space="0" w:color="000000"/>
              <w:bottom w:val="single" w:sz="4" w:space="0" w:color="000000"/>
              <w:right w:val="single" w:sz="4" w:space="0" w:color="000000"/>
            </w:tcBorders>
            <w:vAlign w:val="center"/>
          </w:tcPr>
          <w:p w14:paraId="3C780CE3" w14:textId="77777777" w:rsidR="002F03F5" w:rsidRPr="00AD7163" w:rsidRDefault="008F23FF" w:rsidP="008E13DB">
            <w:pPr>
              <w:pStyle w:val="TableNumber"/>
              <w:keepNext/>
              <w:keepLines/>
              <w:jc w:val="left"/>
            </w:pPr>
            <w:r w:rsidRPr="00AD7163">
              <w:t>4.875</w:t>
            </w:r>
          </w:p>
        </w:tc>
        <w:tc>
          <w:tcPr>
            <w:tcW w:w="808" w:type="dxa"/>
            <w:tcBorders>
              <w:top w:val="single" w:sz="4" w:space="0" w:color="000000"/>
              <w:left w:val="single" w:sz="4" w:space="0" w:color="000000"/>
              <w:bottom w:val="single" w:sz="4" w:space="0" w:color="000000"/>
              <w:right w:val="single" w:sz="4" w:space="0" w:color="000000"/>
            </w:tcBorders>
            <w:vAlign w:val="center"/>
          </w:tcPr>
          <w:p w14:paraId="3C780CE4" w14:textId="77777777" w:rsidR="002F03F5" w:rsidRPr="00AD7163" w:rsidRDefault="008F23FF" w:rsidP="008E13DB">
            <w:pPr>
              <w:pStyle w:val="TableNumber"/>
              <w:keepNext/>
              <w:keepLines/>
            </w:pPr>
            <w:r w:rsidRPr="00AD7163">
              <w:t>4.088</w:t>
            </w:r>
          </w:p>
        </w:tc>
        <w:tc>
          <w:tcPr>
            <w:tcW w:w="1118" w:type="dxa"/>
            <w:tcBorders>
              <w:top w:val="single" w:sz="4" w:space="0" w:color="000000"/>
              <w:left w:val="single" w:sz="4" w:space="0" w:color="000000"/>
              <w:bottom w:val="single" w:sz="4" w:space="0" w:color="000000"/>
              <w:right w:val="single" w:sz="4" w:space="0" w:color="000000"/>
            </w:tcBorders>
            <w:vAlign w:val="center"/>
          </w:tcPr>
          <w:p w14:paraId="3C780CE5" w14:textId="405FA66E" w:rsidR="002F03F5" w:rsidRPr="002D4482" w:rsidRDefault="006250A2" w:rsidP="008E13DB">
            <w:pPr>
              <w:pStyle w:val="TableNumber"/>
              <w:keepNext/>
              <w:keepLines/>
              <w:rPr>
                <w:highlight w:val="yellow"/>
              </w:rPr>
            </w:pPr>
            <w:r w:rsidRPr="00077CA5">
              <w:t>$</w:t>
            </w:r>
            <w:r w:rsidRPr="00077CA5">
              <w:rPr>
                <w:b/>
                <w:bCs/>
              </w:rPr>
              <w:t>Redacted</w:t>
            </w:r>
          </w:p>
        </w:tc>
        <w:tc>
          <w:tcPr>
            <w:tcW w:w="1288" w:type="dxa"/>
            <w:tcBorders>
              <w:top w:val="single" w:sz="4" w:space="0" w:color="000000"/>
              <w:left w:val="single" w:sz="4" w:space="0" w:color="000000"/>
              <w:bottom w:val="single" w:sz="4" w:space="0" w:color="000000"/>
              <w:right w:val="single" w:sz="4" w:space="0" w:color="000000"/>
            </w:tcBorders>
            <w:vAlign w:val="center"/>
          </w:tcPr>
          <w:p w14:paraId="3C780CE6" w14:textId="3A1F4917" w:rsidR="002F03F5" w:rsidRPr="002D4482" w:rsidRDefault="006250A2" w:rsidP="008E13DB">
            <w:pPr>
              <w:pStyle w:val="TableNumber"/>
              <w:keepNext/>
              <w:keepLines/>
              <w:rPr>
                <w:highlight w:val="yellow"/>
              </w:rPr>
            </w:pPr>
            <w:r w:rsidRPr="00077CA5">
              <w:t>$</w:t>
            </w:r>
            <w:r w:rsidRPr="00077CA5">
              <w:rPr>
                <w:b/>
                <w:bCs/>
              </w:rPr>
              <w:t>Redacted</w:t>
            </w:r>
            <w:r>
              <w:rPr>
                <w:b/>
                <w:bCs/>
                <w:vertAlign w:val="superscript"/>
              </w:rPr>
              <w:t>1</w:t>
            </w:r>
          </w:p>
        </w:tc>
        <w:tc>
          <w:tcPr>
            <w:tcW w:w="879" w:type="dxa"/>
            <w:tcBorders>
              <w:top w:val="single" w:sz="4" w:space="0" w:color="000000"/>
              <w:left w:val="single" w:sz="4" w:space="0" w:color="000000"/>
              <w:bottom w:val="single" w:sz="4" w:space="0" w:color="000000"/>
              <w:right w:val="single" w:sz="4" w:space="0" w:color="000000"/>
            </w:tcBorders>
            <w:vAlign w:val="center"/>
          </w:tcPr>
          <w:p w14:paraId="3C780CE7" w14:textId="6D8AD05D" w:rsidR="002F03F5" w:rsidRPr="006250A2" w:rsidRDefault="008F23FF" w:rsidP="008E13DB">
            <w:pPr>
              <w:pStyle w:val="TableNumber"/>
              <w:keepNext/>
              <w:keepLines/>
              <w:jc w:val="left"/>
            </w:pPr>
            <w:r w:rsidRPr="006250A2">
              <w:t>+</w:t>
            </w:r>
            <w:r w:rsidR="004A02A7">
              <w:rPr>
                <w:b/>
                <w:bCs/>
              </w:rPr>
              <w:t xml:space="preserve"> Redacted</w:t>
            </w:r>
            <w:r w:rsidR="004A02A7">
              <w:t>%</w:t>
            </w:r>
          </w:p>
        </w:tc>
      </w:tr>
      <w:tr w:rsidR="002F03F5" w14:paraId="3C780CF0" w14:textId="77777777" w:rsidTr="00FC7CAF">
        <w:tc>
          <w:tcPr>
            <w:tcW w:w="301" w:type="dxa"/>
            <w:tcBorders>
              <w:top w:val="single" w:sz="4" w:space="0" w:color="000000"/>
              <w:left w:val="single" w:sz="4" w:space="0" w:color="000000"/>
              <w:bottom w:val="single" w:sz="4" w:space="0" w:color="000000"/>
              <w:right w:val="single" w:sz="4" w:space="0" w:color="000000"/>
            </w:tcBorders>
          </w:tcPr>
          <w:p w14:paraId="3C780CE9" w14:textId="77777777" w:rsidR="002F03F5" w:rsidRDefault="008F23FF" w:rsidP="008E13DB">
            <w:pPr>
              <w:pStyle w:val="TableText"/>
              <w:keepNext/>
              <w:keepLines/>
            </w:pPr>
            <w:r>
              <w:t>A4</w:t>
            </w:r>
          </w:p>
        </w:tc>
        <w:tc>
          <w:tcPr>
            <w:tcW w:w="3734" w:type="dxa"/>
            <w:tcBorders>
              <w:top w:val="single" w:sz="4" w:space="0" w:color="000000"/>
              <w:left w:val="single" w:sz="4" w:space="0" w:color="000000"/>
              <w:bottom w:val="single" w:sz="4" w:space="0" w:color="000000"/>
              <w:right w:val="single" w:sz="4" w:space="0" w:color="000000"/>
            </w:tcBorders>
          </w:tcPr>
          <w:p w14:paraId="3C780CEA" w14:textId="07549B31" w:rsidR="002F03F5" w:rsidRDefault="008F23FF" w:rsidP="008E13DB">
            <w:pPr>
              <w:pStyle w:val="TableText"/>
              <w:keepNext/>
              <w:keepLines/>
            </w:pPr>
            <w:r>
              <w:rPr>
                <w:i/>
                <w:iCs/>
              </w:rPr>
              <w:t>RET</w:t>
            </w:r>
            <w:r>
              <w:t xml:space="preserve"> variant testing MBS fee = $682.35</w:t>
            </w:r>
          </w:p>
        </w:tc>
        <w:tc>
          <w:tcPr>
            <w:tcW w:w="807" w:type="dxa"/>
            <w:tcBorders>
              <w:top w:val="single" w:sz="4" w:space="0" w:color="000000"/>
              <w:left w:val="single" w:sz="4" w:space="0" w:color="000000"/>
              <w:bottom w:val="single" w:sz="4" w:space="0" w:color="000000"/>
              <w:right w:val="single" w:sz="4" w:space="0" w:color="000000"/>
            </w:tcBorders>
          </w:tcPr>
          <w:p w14:paraId="3C780CEB" w14:textId="77777777" w:rsidR="002F03F5" w:rsidRPr="00AD7163" w:rsidRDefault="008F23FF" w:rsidP="008E13DB">
            <w:pPr>
              <w:pStyle w:val="TableNumber"/>
              <w:keepNext/>
              <w:keepLines/>
              <w:jc w:val="left"/>
            </w:pPr>
            <w:r w:rsidRPr="00AD7163">
              <w:t>4.875</w:t>
            </w:r>
          </w:p>
        </w:tc>
        <w:tc>
          <w:tcPr>
            <w:tcW w:w="808" w:type="dxa"/>
            <w:tcBorders>
              <w:top w:val="single" w:sz="4" w:space="0" w:color="000000"/>
              <w:left w:val="single" w:sz="4" w:space="0" w:color="000000"/>
              <w:bottom w:val="single" w:sz="4" w:space="0" w:color="000000"/>
              <w:right w:val="single" w:sz="4" w:space="0" w:color="000000"/>
            </w:tcBorders>
          </w:tcPr>
          <w:p w14:paraId="3C780CEC" w14:textId="77777777" w:rsidR="002F03F5" w:rsidRPr="00AD7163" w:rsidRDefault="008F23FF" w:rsidP="008E13DB">
            <w:pPr>
              <w:pStyle w:val="TableNumber"/>
              <w:keepNext/>
              <w:keepLines/>
            </w:pPr>
            <w:r w:rsidRPr="00AD7163">
              <w:t>4.088</w:t>
            </w:r>
          </w:p>
        </w:tc>
        <w:tc>
          <w:tcPr>
            <w:tcW w:w="1118" w:type="dxa"/>
            <w:tcBorders>
              <w:top w:val="single" w:sz="4" w:space="0" w:color="000000"/>
              <w:left w:val="single" w:sz="4" w:space="0" w:color="000000"/>
              <w:bottom w:val="single" w:sz="4" w:space="0" w:color="000000"/>
              <w:right w:val="single" w:sz="4" w:space="0" w:color="000000"/>
            </w:tcBorders>
          </w:tcPr>
          <w:p w14:paraId="3C780CED" w14:textId="7E3058D1" w:rsidR="002F03F5" w:rsidRPr="002D4482" w:rsidRDefault="006250A2" w:rsidP="008E13DB">
            <w:pPr>
              <w:pStyle w:val="TableNumber"/>
              <w:keepNext/>
              <w:keepLines/>
              <w:rPr>
                <w:highlight w:val="yellow"/>
              </w:rPr>
            </w:pPr>
            <w:r w:rsidRPr="00077CA5">
              <w:t>$</w:t>
            </w:r>
            <w:r w:rsidRPr="00077CA5">
              <w:rPr>
                <w:b/>
                <w:bCs/>
              </w:rPr>
              <w:t>Redacted</w:t>
            </w:r>
          </w:p>
        </w:tc>
        <w:tc>
          <w:tcPr>
            <w:tcW w:w="1288" w:type="dxa"/>
            <w:tcBorders>
              <w:top w:val="single" w:sz="4" w:space="0" w:color="000000"/>
              <w:left w:val="single" w:sz="4" w:space="0" w:color="000000"/>
              <w:bottom w:val="single" w:sz="4" w:space="0" w:color="000000"/>
              <w:right w:val="single" w:sz="4" w:space="0" w:color="000000"/>
            </w:tcBorders>
          </w:tcPr>
          <w:p w14:paraId="3C780CEE" w14:textId="1969CBE6" w:rsidR="002F03F5" w:rsidRPr="002D4482" w:rsidRDefault="006250A2" w:rsidP="008E13DB">
            <w:pPr>
              <w:pStyle w:val="TableNumber"/>
              <w:keepNext/>
              <w:keepLines/>
              <w:rPr>
                <w:highlight w:val="yellow"/>
              </w:rPr>
            </w:pPr>
            <w:r w:rsidRPr="00077CA5">
              <w:t>$</w:t>
            </w:r>
            <w:r w:rsidRPr="00077CA5">
              <w:rPr>
                <w:b/>
                <w:bCs/>
              </w:rPr>
              <w:t>Redacted</w:t>
            </w:r>
            <w:r>
              <w:rPr>
                <w:b/>
                <w:bCs/>
                <w:vertAlign w:val="superscript"/>
              </w:rPr>
              <w:t>1</w:t>
            </w:r>
          </w:p>
        </w:tc>
        <w:tc>
          <w:tcPr>
            <w:tcW w:w="879" w:type="dxa"/>
            <w:tcBorders>
              <w:top w:val="single" w:sz="4" w:space="0" w:color="000000"/>
              <w:left w:val="single" w:sz="4" w:space="0" w:color="000000"/>
              <w:bottom w:val="single" w:sz="4" w:space="0" w:color="000000"/>
              <w:right w:val="single" w:sz="4" w:space="0" w:color="000000"/>
            </w:tcBorders>
          </w:tcPr>
          <w:p w14:paraId="3C780CEF" w14:textId="01FDABB0" w:rsidR="002F03F5" w:rsidRPr="006250A2" w:rsidRDefault="008F23FF" w:rsidP="008E13DB">
            <w:pPr>
              <w:pStyle w:val="TableNumber"/>
              <w:keepNext/>
              <w:keepLines/>
              <w:jc w:val="left"/>
            </w:pPr>
            <w:r w:rsidRPr="006250A2">
              <w:t>+</w:t>
            </w:r>
            <w:r w:rsidR="004A02A7">
              <w:rPr>
                <w:b/>
                <w:bCs/>
              </w:rPr>
              <w:t xml:space="preserve"> Redacted</w:t>
            </w:r>
            <w:r w:rsidR="004A02A7">
              <w:t>%</w:t>
            </w:r>
          </w:p>
        </w:tc>
      </w:tr>
    </w:tbl>
    <w:p w14:paraId="3C780CF1" w14:textId="77777777" w:rsidR="002F03F5" w:rsidRDefault="008F23FF" w:rsidP="008E13DB">
      <w:pPr>
        <w:pStyle w:val="TableFooter"/>
        <w:keepNext/>
        <w:keepLines/>
        <w:rPr>
          <w:sz w:val="20"/>
        </w:rPr>
      </w:pPr>
      <w:r>
        <w:t>Source: Table 3-26, pp146 7 of the submission; additional analysis conducted during the evaluation</w:t>
      </w:r>
    </w:p>
    <w:p w14:paraId="3C780CF2" w14:textId="77777777" w:rsidR="002F03F5" w:rsidRDefault="008F23FF" w:rsidP="008E13DB">
      <w:pPr>
        <w:pStyle w:val="TableFooter"/>
        <w:keepNext/>
        <w:keepLines/>
      </w:pPr>
      <w:r>
        <w:t>ICER = incremental cost effectiveness ratio; Inc = incremental; MBS = Medicare Benefits Schedule; NNT = number needed to treat; QALY = quality adjusted life year</w:t>
      </w:r>
    </w:p>
    <w:p w14:paraId="3C780CF3" w14:textId="77777777" w:rsidR="002F03F5" w:rsidRDefault="008F23FF" w:rsidP="008E13DB">
      <w:pPr>
        <w:pStyle w:val="TableFooter"/>
        <w:keepNext/>
        <w:keepLines/>
      </w:pPr>
      <w:r>
        <w:rPr>
          <w:vertAlign w:val="superscript"/>
        </w:rPr>
        <w:t>a</w:t>
      </w:r>
      <w:r>
        <w:t xml:space="preserve"> %Δ = percentage change from base case ICER</w:t>
      </w:r>
    </w:p>
    <w:p w14:paraId="724A6FB8" w14:textId="77777777" w:rsidR="006250A2" w:rsidRPr="004D072A" w:rsidRDefault="006250A2" w:rsidP="006250A2">
      <w:pPr>
        <w:pStyle w:val="TableFooter"/>
        <w:rPr>
          <w:i/>
          <w:iCs/>
        </w:rPr>
      </w:pPr>
      <w:r w:rsidRPr="004D072A">
        <w:rPr>
          <w:i/>
          <w:iCs/>
        </w:rPr>
        <w:t>The redacted values correspond to the following ranges:</w:t>
      </w:r>
    </w:p>
    <w:p w14:paraId="5E896133" w14:textId="59638ABA" w:rsidR="006250A2" w:rsidRPr="00573295" w:rsidRDefault="006250A2" w:rsidP="00573295">
      <w:pPr>
        <w:pStyle w:val="TableFooter"/>
        <w:rPr>
          <w:i/>
          <w:iCs/>
        </w:rPr>
      </w:pPr>
      <w:r>
        <w:rPr>
          <w:i/>
          <w:iCs/>
          <w:vertAlign w:val="superscript"/>
        </w:rPr>
        <w:t>1</w:t>
      </w:r>
      <w:r w:rsidRPr="004D072A">
        <w:rPr>
          <w:i/>
          <w:iCs/>
        </w:rPr>
        <w:t xml:space="preserve"> $55,000 to &lt; $75,000</w:t>
      </w:r>
    </w:p>
    <w:p w14:paraId="3C780CF5" w14:textId="0034461E" w:rsidR="002F03F5" w:rsidRPr="002A0545" w:rsidRDefault="008F23FF" w:rsidP="002A0545">
      <w:pPr>
        <w:pStyle w:val="MSACESParagraph"/>
        <w:spacing w:before="240"/>
        <w:jc w:val="left"/>
        <w:rPr>
          <w:rFonts w:ascii="Franklin Gothic Book" w:hAnsi="Franklin Gothic Book"/>
          <w:sz w:val="22"/>
        </w:rPr>
      </w:pPr>
      <w:r w:rsidRPr="002A0545">
        <w:rPr>
          <w:rFonts w:ascii="Franklin Gothic Book" w:hAnsi="Franklin Gothic Book"/>
          <w:sz w:val="22"/>
        </w:rPr>
        <w:t xml:space="preserve">See Section 6 of the </w:t>
      </w:r>
      <w:r w:rsidR="00C77641" w:rsidRPr="002A0545">
        <w:rPr>
          <w:rFonts w:ascii="Franklin Gothic Book" w:hAnsi="Franklin Gothic Book"/>
          <w:sz w:val="22"/>
        </w:rPr>
        <w:t>Economics Sub-Committee: Advice</w:t>
      </w:r>
      <w:r w:rsidRPr="002A0545">
        <w:rPr>
          <w:rFonts w:ascii="Franklin Gothic Book" w:hAnsi="Franklin Gothic Book"/>
          <w:sz w:val="22"/>
        </w:rPr>
        <w:t xml:space="preserve"> for PBAC for a detailed description of the economic evaluation.</w:t>
      </w:r>
    </w:p>
    <w:p w14:paraId="3C780CF6" w14:textId="77777777" w:rsidR="002F03F5" w:rsidRPr="002A0545" w:rsidRDefault="008F23FF" w:rsidP="00601076">
      <w:pPr>
        <w:pStyle w:val="MSACHeading1"/>
        <w:numPr>
          <w:ilvl w:val="0"/>
          <w:numId w:val="15"/>
        </w:numPr>
        <w:ind w:hanging="720"/>
        <w:rPr>
          <w:rFonts w:ascii="Franklin Gothic Medium" w:hAnsi="Franklin Gothic Medium"/>
          <w:b w:val="0"/>
          <w:bCs w:val="0"/>
          <w:sz w:val="32"/>
          <w:szCs w:val="32"/>
        </w:rPr>
      </w:pPr>
      <w:bookmarkStart w:id="44" w:name="_Toc219898312"/>
      <w:r w:rsidRPr="002A0545">
        <w:rPr>
          <w:rFonts w:ascii="Franklin Gothic Medium" w:hAnsi="Franklin Gothic Medium"/>
          <w:b w:val="0"/>
          <w:bCs w:val="0"/>
          <w:sz w:val="32"/>
          <w:szCs w:val="32"/>
        </w:rPr>
        <w:t>Financial/budgetary impacts</w:t>
      </w:r>
      <w:bookmarkEnd w:id="44"/>
    </w:p>
    <w:p w14:paraId="3C780CF7" w14:textId="45E957A7" w:rsidR="002F03F5" w:rsidRPr="002A0545" w:rsidRDefault="008F23FF" w:rsidP="002A0545">
      <w:pPr>
        <w:pStyle w:val="MSACESParagraph"/>
        <w:jc w:val="left"/>
        <w:rPr>
          <w:rFonts w:ascii="Franklin Gothic Book" w:hAnsi="Franklin Gothic Book"/>
          <w:color w:val="0066FF"/>
          <w:sz w:val="22"/>
        </w:rPr>
      </w:pPr>
      <w:r w:rsidRPr="002A0545">
        <w:rPr>
          <w:rFonts w:ascii="Franklin Gothic Book" w:hAnsi="Franklin Gothic Book"/>
          <w:sz w:val="22"/>
        </w:rPr>
        <w:t>The submission adopted an epidemiological approach to estimating the financial implications of</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testing. The submission’s base case assumed that</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testing was performed at diagnosis of MTC irrespective of stage of disease (Option 2). The submission also presented a scenario analysis that assumed</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variant testing was performed at diagnosis or progression to stage III/IV MTC (Option 1).</w:t>
      </w:r>
    </w:p>
    <w:p w14:paraId="3C780CF8" w14:textId="77777777"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submission estimated incident MTC patients based on the prevalence of MTC in thyroid cancers being 4% and the incident thyroid cancer cases from the Australian Institute of Health and Welfare (AIHW). The submission assumed there would be a proportion of patients diagnosed at stage III/IV MTC (54%) and a proportion of stage I/II MTC patients who progressed to stage III (12%) or stage IV MTC (21%) each year, with these assumptions based on the Australian study Papachristos 2023. Progression to stage III was only assumed to occur in the first two years. </w:t>
      </w:r>
    </w:p>
    <w:p w14:paraId="3C780CF9" w14:textId="77777777"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test populations were comprised of:</w:t>
      </w:r>
    </w:p>
    <w:p w14:paraId="3C780CFA" w14:textId="23D4719E" w:rsidR="002F03F5" w:rsidRPr="002A0545" w:rsidRDefault="008F23FF" w:rsidP="002A0545">
      <w:pPr>
        <w:pStyle w:val="MainBodyBulletPoint"/>
        <w:rPr>
          <w:rFonts w:ascii="Franklin Gothic Book" w:hAnsi="Franklin Gothic Book"/>
        </w:rPr>
      </w:pPr>
      <w:r w:rsidRPr="002A0545">
        <w:rPr>
          <w:rFonts w:ascii="Franklin Gothic Book" w:hAnsi="Franklin Gothic Book"/>
        </w:rPr>
        <w:t>Option 2 (base case): incident MTC (any stage) patients between 2026 and 2031 and all prevalent stage I/II MTC patients diagnosed between 2021 and 2025 who later progressed to stage III/IV during 2026 to 2031 and had no known germline</w:t>
      </w:r>
      <w:r w:rsidRPr="002A0545">
        <w:rPr>
          <w:rFonts w:ascii="Franklin Gothic Book" w:hAnsi="Franklin Gothic Book"/>
          <w:i/>
        </w:rPr>
        <w:t xml:space="preserve"> </w:t>
      </w:r>
      <w:r w:rsidR="00B14353" w:rsidRPr="00B14353">
        <w:rPr>
          <w:rFonts w:ascii="Franklin Gothic Book" w:hAnsi="Franklin Gothic Book"/>
          <w:i/>
          <w:iCs/>
        </w:rPr>
        <w:t>RET</w:t>
      </w:r>
      <w:r w:rsidRPr="002A0545">
        <w:rPr>
          <w:rFonts w:ascii="Franklin Gothic Book" w:hAnsi="Franklin Gothic Book"/>
          <w:i/>
          <w:iCs/>
        </w:rPr>
        <w:t xml:space="preserve"> </w:t>
      </w:r>
      <w:r w:rsidRPr="002A0545">
        <w:rPr>
          <w:rFonts w:ascii="Franklin Gothic Book" w:hAnsi="Franklin Gothic Book"/>
        </w:rPr>
        <w:t xml:space="preserve">variant. </w:t>
      </w:r>
    </w:p>
    <w:p w14:paraId="3C780CFB" w14:textId="77777777" w:rsidR="002F03F5" w:rsidRPr="002A0545" w:rsidRDefault="008F23FF" w:rsidP="002A0545">
      <w:pPr>
        <w:pStyle w:val="MainBodyBulletPoint"/>
        <w:rPr>
          <w:rFonts w:ascii="Franklin Gothic Book" w:hAnsi="Franklin Gothic Book"/>
        </w:rPr>
      </w:pPr>
      <w:r w:rsidRPr="002A0545">
        <w:rPr>
          <w:rFonts w:ascii="Franklin Gothic Book" w:hAnsi="Franklin Gothic Book"/>
        </w:rPr>
        <w:t>Option 1: incident stage III/IV MTC patients between 2026 and 2031 and prevalent stage I/II MTC patients diagnosed in 2021 to 2025 who later progressed to stage III/IV MTC during 2026 and 2031.</w:t>
      </w:r>
    </w:p>
    <w:p w14:paraId="3C780CFC" w14:textId="28178CF9"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lastRenderedPageBreak/>
        <w:t>The commentary considered the testing populations were underestimated as the submission did not include all prevalent patients who were diagnosed with MTC and alive prior to 2026. In addition, the commentary noted the submission assumed that prevalent patients had undergone germline</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iCs/>
          <w:sz w:val="22"/>
        </w:rPr>
        <w:t xml:space="preserve"> </w:t>
      </w:r>
      <w:r w:rsidRPr="002A0545">
        <w:rPr>
          <w:rFonts w:ascii="Franklin Gothic Book" w:hAnsi="Franklin Gothic Book"/>
          <w:sz w:val="22"/>
        </w:rPr>
        <w:t xml:space="preserve">variant testing and only those without a known germline variant would receive somatic testing (75%). The commentary noted that based on MBS service data, MBS item 73339 was claimed a total of 156 times between 2020/21 and 2024/25 at the time of the evaluation (out of 831 estimated incident MTC cases from 2021 to 2025 in the submission [18.8%, 156/831] although, as noted above, the denominator was considered underestimated). The commentary acknowledged that germline testing is also performed at state/territory funded clinics and hospitals, but the number of germline tests was not apparent. </w:t>
      </w:r>
    </w:p>
    <w:p w14:paraId="3C780CFD" w14:textId="2A87E661"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submission assumed that only patients with progressive and symptomatic stage III/IV MTC (as informed by </w:t>
      </w:r>
      <w:proofErr w:type="spellStart"/>
      <w:r w:rsidRPr="002A0545">
        <w:rPr>
          <w:rFonts w:ascii="Franklin Gothic Book" w:hAnsi="Franklin Gothic Book"/>
          <w:sz w:val="22"/>
        </w:rPr>
        <w:t>Kreissl</w:t>
      </w:r>
      <w:proofErr w:type="spellEnd"/>
      <w:r w:rsidRPr="002A0545">
        <w:rPr>
          <w:rFonts w:ascii="Franklin Gothic Book" w:hAnsi="Franklin Gothic Book"/>
          <w:sz w:val="22"/>
        </w:rPr>
        <w:t xml:space="preserve"> 2020 [57.2%]) were eligible for selpercatinib</w:t>
      </w:r>
      <w:r w:rsidRPr="002A0545">
        <w:rPr>
          <w:rFonts w:ascii="Franklin Gothic Book" w:hAnsi="Franklin Gothic Book"/>
          <w:i/>
          <w:iCs/>
          <w:sz w:val="22"/>
        </w:rPr>
        <w:t>.</w:t>
      </w:r>
      <w:r w:rsidRPr="002A0545">
        <w:rPr>
          <w:rFonts w:ascii="Franklin Gothic Book" w:hAnsi="Franklin Gothic Book"/>
          <w:sz w:val="22"/>
        </w:rPr>
        <w:t xml:space="preserve"> The prevalence of</w:t>
      </w:r>
      <w:r w:rsidRPr="002A0545">
        <w:rPr>
          <w:rFonts w:ascii="Franklin Gothic Book" w:hAnsi="Franklin Gothic Book"/>
          <w:i/>
          <w:sz w:val="22"/>
        </w:rPr>
        <w:t xml:space="preserve"> </w:t>
      </w:r>
      <w:r w:rsidR="00B14353" w:rsidRPr="00B14353">
        <w:rPr>
          <w:rFonts w:ascii="Franklin Gothic Book" w:hAnsi="Franklin Gothic Book"/>
          <w:i/>
          <w:iCs/>
          <w:sz w:val="22"/>
        </w:rPr>
        <w:t>RET</w:t>
      </w:r>
      <w:r w:rsidRPr="002A0545">
        <w:rPr>
          <w:rFonts w:ascii="Franklin Gothic Book" w:hAnsi="Franklin Gothic Book"/>
          <w:i/>
          <w:sz w:val="22"/>
        </w:rPr>
        <w:t xml:space="preserve"> </w:t>
      </w:r>
      <w:r w:rsidRPr="002A0545">
        <w:rPr>
          <w:rFonts w:ascii="Franklin Gothic Book" w:hAnsi="Franklin Gothic Book"/>
          <w:sz w:val="22"/>
        </w:rPr>
        <w:t xml:space="preserve">variant was assumed to be 70%. The proportion of patients receiving each dosing regimen of selpercatinib was informed by the Sponsor’s data on file. Treatment persistence was informed by the </w:t>
      </w:r>
      <w:proofErr w:type="spellStart"/>
      <w:r w:rsidRPr="002A0545">
        <w:rPr>
          <w:rFonts w:ascii="Franklin Gothic Book" w:hAnsi="Franklin Gothic Book"/>
          <w:sz w:val="22"/>
        </w:rPr>
        <w:t>ToT</w:t>
      </w:r>
      <w:proofErr w:type="spellEnd"/>
      <w:r w:rsidRPr="002A0545">
        <w:rPr>
          <w:rFonts w:ascii="Franklin Gothic Book" w:hAnsi="Franklin Gothic Book"/>
          <w:sz w:val="22"/>
        </w:rPr>
        <w:t xml:space="preserve"> curve in the model (based on PFS). Uptake rate of both test and treatment was assumed to be 100% of eligible patients. </w:t>
      </w:r>
    </w:p>
    <w:p w14:paraId="3C780CFE" w14:textId="7B8513AB"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submission stated there were </w:t>
      </w:r>
      <w:r w:rsidR="00D320CF" w:rsidRPr="00430728">
        <w:rPr>
          <w:rFonts w:ascii="Franklin Gothic Book" w:hAnsi="Franklin Gothic Book"/>
          <w:sz w:val="22"/>
        </w:rPr>
        <w:t>&lt; 500</w:t>
      </w:r>
      <w:r w:rsidRPr="002A0545">
        <w:rPr>
          <w:rFonts w:ascii="Franklin Gothic Book" w:hAnsi="Franklin Gothic Book"/>
          <w:sz w:val="22"/>
        </w:rPr>
        <w:t xml:space="preserve"> grandfathered patients from a compassionate access program and self-paying patients. Grandfathered patients were assumed to be part of the prevalent population, though it was considered not reasonable by the commentary to include these patients in the test population as they would have already been tested </w:t>
      </w:r>
      <w:proofErr w:type="gramStart"/>
      <w:r w:rsidRPr="002A0545">
        <w:rPr>
          <w:rFonts w:ascii="Franklin Gothic Book" w:hAnsi="Franklin Gothic Book"/>
          <w:sz w:val="22"/>
        </w:rPr>
        <w:t>in order to</w:t>
      </w:r>
      <w:proofErr w:type="gramEnd"/>
      <w:r w:rsidRPr="002A0545">
        <w:rPr>
          <w:rFonts w:ascii="Franklin Gothic Book" w:hAnsi="Franklin Gothic Book"/>
          <w:sz w:val="22"/>
        </w:rPr>
        <w:t xml:space="preserve"> be receiving selpercatinib treatment.</w:t>
      </w:r>
    </w:p>
    <w:p w14:paraId="3C780CFF" w14:textId="77777777"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commentary considered the population eligible for treatment was underestimated since the submission did not capture all prevalent MTC patients who progressed to stage III/IV and were alive in the years prior to 2026; the submission assumed only patients with progressive and symptomatic MTC were eligible despite the requested population not being exclusive to those with progressive disease; and the proportion of patients diagnosed with stage III/IV MTC from Papachristos 2023 excluded patients who were not indicated for surgery despite these patients forming part of the requested population.</w:t>
      </w:r>
    </w:p>
    <w:p w14:paraId="3C780D00" w14:textId="77777777"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In addition, the commentary considered the submission’s estimation of patients who progressed to stage III/IV MTC may not be appropriate since the submission did not adjust the proportions reported in Papachristos 2023 to reflect yearly progression and overestimated progression each year. The proportion who experienced distant recurrence (21%) in Papachristos 2023 included patients with stage III disease, which the commentary considered could potentially double count patients who progressed to stage IV in the base case. Further, the submission inappropriately assumed no patients progressed to stage III MTC after Year 2 which underestimated progression after Year 2. </w:t>
      </w:r>
    </w:p>
    <w:p w14:paraId="3C780D01" w14:textId="0E5F5754"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 xml:space="preserve">The commentary considered that treatment utilisation was also potentially underestimated, since the submission assumed over 90% of patients were treated at lower selpercatinib doses, compared to 46% of patients in LIBRETTO-531 who were reported to have a dose reduction. In addition, the proportion of patients on treatment based on the modelled </w:t>
      </w:r>
      <w:proofErr w:type="spellStart"/>
      <w:r w:rsidRPr="002A0545">
        <w:rPr>
          <w:rFonts w:ascii="Franklin Gothic Book" w:hAnsi="Franklin Gothic Book"/>
          <w:sz w:val="22"/>
        </w:rPr>
        <w:t>ToT</w:t>
      </w:r>
      <w:proofErr w:type="spellEnd"/>
      <w:r w:rsidRPr="002A0545">
        <w:rPr>
          <w:rFonts w:ascii="Franklin Gothic Book" w:hAnsi="Franklin Gothic Book"/>
          <w:sz w:val="22"/>
        </w:rPr>
        <w:t xml:space="preserve"> (as informed by LIBRETTO-531) was potentially underestimated compared to clinical practice since the requested treatment population potentially represented patients who had more favourable prognosis and hence longer treatment durations.</w:t>
      </w:r>
    </w:p>
    <w:p w14:paraId="3C780D02" w14:textId="77777777"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Alternative estimates were calculated by the commentary to address the issues above and attempt to better capture the population eligible for testing and treatment in practice. The following changes were made by the commentary while maintaining the assumption that testing occurred at diagnosis of MTC:</w:t>
      </w:r>
    </w:p>
    <w:p w14:paraId="3C780D03" w14:textId="28782B19" w:rsidR="002F03F5" w:rsidRPr="002A0545" w:rsidRDefault="008F23FF" w:rsidP="002A0545">
      <w:pPr>
        <w:pStyle w:val="MainBodyBulletPoint"/>
        <w:rPr>
          <w:rFonts w:ascii="Franklin Gothic Book" w:hAnsi="Franklin Gothic Book"/>
        </w:rPr>
      </w:pPr>
      <w:r w:rsidRPr="002A0545">
        <w:rPr>
          <w:rFonts w:ascii="Franklin Gothic Book" w:hAnsi="Franklin Gothic Book"/>
        </w:rPr>
        <w:t xml:space="preserve">Assumed that all incident MTC patients between 2021 and 2025 were still alive in 2026 and contributed to the total </w:t>
      </w:r>
      <w:r w:rsidR="00627080">
        <w:rPr>
          <w:rFonts w:ascii="Franklin Gothic Book" w:hAnsi="Franklin Gothic Book"/>
        </w:rPr>
        <w:t xml:space="preserve">number of </w:t>
      </w:r>
      <w:r w:rsidRPr="002A0545">
        <w:rPr>
          <w:rFonts w:ascii="Franklin Gothic Book" w:hAnsi="Franklin Gothic Book"/>
        </w:rPr>
        <w:t xml:space="preserve">prevalent MTC patients eligible for testing. </w:t>
      </w:r>
    </w:p>
    <w:p w14:paraId="3C780D04" w14:textId="32609339" w:rsidR="002F03F5" w:rsidRPr="002A0545" w:rsidRDefault="008F23FF" w:rsidP="002A0545">
      <w:pPr>
        <w:pStyle w:val="MainBodyBulletPoint"/>
        <w:rPr>
          <w:rFonts w:ascii="Franklin Gothic Book" w:hAnsi="Franklin Gothic Book"/>
        </w:rPr>
      </w:pPr>
      <w:r w:rsidRPr="002A0545">
        <w:rPr>
          <w:rFonts w:ascii="Franklin Gothic Book" w:hAnsi="Franklin Gothic Book"/>
        </w:rPr>
        <w:lastRenderedPageBreak/>
        <w:t xml:space="preserve">Assumed that all incident MTC patients diagnosed at or progressed to stage III/IV between 2021 and 2025 were still alive in 2026 and contributed to the total </w:t>
      </w:r>
      <w:r w:rsidR="00D504D0">
        <w:rPr>
          <w:rFonts w:ascii="Franklin Gothic Book" w:hAnsi="Franklin Gothic Book"/>
        </w:rPr>
        <w:t xml:space="preserve">number of </w:t>
      </w:r>
      <w:r w:rsidRPr="002A0545">
        <w:rPr>
          <w:rFonts w:ascii="Franklin Gothic Book" w:hAnsi="Franklin Gothic Book"/>
        </w:rPr>
        <w:t xml:space="preserve">prevalent stage III/IV MTC patients eligible for treatment. </w:t>
      </w:r>
    </w:p>
    <w:p w14:paraId="3C780D05" w14:textId="4C1CE5F5" w:rsidR="002F03F5" w:rsidRPr="002A0545" w:rsidRDefault="008F23FF" w:rsidP="002A0545">
      <w:pPr>
        <w:pStyle w:val="MainBodyBulletPoint"/>
        <w:numPr>
          <w:ilvl w:val="1"/>
          <w:numId w:val="3"/>
        </w:numPr>
        <w:rPr>
          <w:rFonts w:ascii="Franklin Gothic Book" w:hAnsi="Franklin Gothic Book"/>
        </w:rPr>
      </w:pPr>
      <w:r w:rsidRPr="002A0545">
        <w:rPr>
          <w:rFonts w:ascii="Franklin Gothic Book" w:hAnsi="Franklin Gothic Book"/>
        </w:rPr>
        <w:t xml:space="preserve">The commentary acknowledged that the true prevalent population could not be estimated with the information provided in the submission (i.e. all prevalent MTC patients alive up to 2026 not just between 2021 and 2025), and the populations eligible for testing and treatment remain underestimated. There might be an offset effect given these assumptions considered all patients were alive at 2026; however, given the indolent nature of MTC, this </w:t>
      </w:r>
      <w:r w:rsidR="00D77381">
        <w:rPr>
          <w:rFonts w:ascii="Franklin Gothic Book" w:hAnsi="Franklin Gothic Book"/>
        </w:rPr>
        <w:t>effect</w:t>
      </w:r>
      <w:r w:rsidRPr="002A0545">
        <w:rPr>
          <w:rFonts w:ascii="Franklin Gothic Book" w:hAnsi="Franklin Gothic Book"/>
        </w:rPr>
        <w:t xml:space="preserve"> might be small. </w:t>
      </w:r>
    </w:p>
    <w:p w14:paraId="3C780D06" w14:textId="77777777" w:rsidR="002F03F5" w:rsidRPr="002A0545" w:rsidRDefault="008F23FF" w:rsidP="002A0545">
      <w:pPr>
        <w:pStyle w:val="MainBodyBulletPoint"/>
        <w:rPr>
          <w:rFonts w:ascii="Franklin Gothic Book" w:hAnsi="Franklin Gothic Book"/>
        </w:rPr>
      </w:pPr>
      <w:r w:rsidRPr="002A0545">
        <w:rPr>
          <w:rFonts w:ascii="Franklin Gothic Book" w:hAnsi="Franklin Gothic Book"/>
        </w:rPr>
        <w:t>Assumed that the proportion of patients who had local or distant recurrence reflected a yearly proportion and applied in all years. In Papachristos 2023, 12% of patients experienced local recurrence over 48 months and 21% experienced distant recurrence over 72 months. The yearly proportion who experienced local recurrence and distant recurrence was crudely estimated to be 3% and 3.50%, respectively.</w:t>
      </w:r>
    </w:p>
    <w:p w14:paraId="3C780D07" w14:textId="05F999FE" w:rsidR="002F03F5" w:rsidRPr="002A0545" w:rsidRDefault="008F23FF" w:rsidP="002A0545">
      <w:pPr>
        <w:pStyle w:val="MainBodyBulletPoint"/>
        <w:rPr>
          <w:rFonts w:ascii="Franklin Gothic Book" w:hAnsi="Franklin Gothic Book"/>
        </w:rPr>
      </w:pPr>
      <w:r w:rsidRPr="002A0545">
        <w:rPr>
          <w:rFonts w:ascii="Franklin Gothic Book" w:hAnsi="Franklin Gothic Book"/>
        </w:rPr>
        <w:t>Did not assume that prevalent patients received germline</w:t>
      </w:r>
      <w:r w:rsidRPr="002A0545">
        <w:rPr>
          <w:rFonts w:ascii="Franklin Gothic Book" w:hAnsi="Franklin Gothic Book"/>
          <w:i/>
        </w:rPr>
        <w:t xml:space="preserve"> </w:t>
      </w:r>
      <w:r w:rsidRPr="002A0545">
        <w:rPr>
          <w:rFonts w:ascii="Franklin Gothic Book" w:hAnsi="Franklin Gothic Book"/>
          <w:i/>
          <w:iCs/>
        </w:rPr>
        <w:t>RET</w:t>
      </w:r>
      <w:r w:rsidRPr="002A0545">
        <w:rPr>
          <w:rFonts w:ascii="Franklin Gothic Book" w:hAnsi="Franklin Gothic Book"/>
          <w:i/>
        </w:rPr>
        <w:t xml:space="preserve"> </w:t>
      </w:r>
      <w:r w:rsidRPr="002A0545">
        <w:rPr>
          <w:rFonts w:ascii="Franklin Gothic Book" w:hAnsi="Franklin Gothic Book"/>
        </w:rPr>
        <w:t>variant testing (based on low use of current MBS items).</w:t>
      </w:r>
      <w:r w:rsidRPr="002A0545">
        <w:rPr>
          <w:rFonts w:ascii="Franklin Gothic Book" w:hAnsi="Franklin Gothic Book"/>
          <w:i/>
          <w:iCs/>
        </w:rPr>
        <w:t xml:space="preserve"> </w:t>
      </w:r>
      <w:r w:rsidRPr="002A0545">
        <w:rPr>
          <w:rFonts w:ascii="Franklin Gothic Book" w:hAnsi="Franklin Gothic Book"/>
        </w:rPr>
        <w:t>The commentary noted that germline testing is offered at state/territory funded services, however, this estimate was not apparent during the evaluation. Assuming no germline testing in prevalent patients presented a conservative estimate of patient numbers (if germline testing was assumed, patient numbers would decrease</w:t>
      </w:r>
      <w:r w:rsidR="00A37644">
        <w:rPr>
          <w:rFonts w:ascii="Franklin Gothic Book" w:hAnsi="Franklin Gothic Book"/>
        </w:rPr>
        <w:t>;</w:t>
      </w:r>
      <w:r w:rsidRPr="002A0545">
        <w:rPr>
          <w:rFonts w:ascii="Franklin Gothic Book" w:hAnsi="Franklin Gothic Book"/>
        </w:rPr>
        <w:t xml:space="preserve"> the magnitude however is not clear).</w:t>
      </w:r>
    </w:p>
    <w:p w14:paraId="3C780D08" w14:textId="5ACDDF9B" w:rsidR="002F03F5" w:rsidRPr="002A0545" w:rsidRDefault="008F23FF" w:rsidP="002A0545">
      <w:pPr>
        <w:pStyle w:val="MainBodyBulletPoint"/>
        <w:rPr>
          <w:rFonts w:ascii="Franklin Gothic Book" w:hAnsi="Franklin Gothic Book"/>
        </w:rPr>
      </w:pPr>
      <w:r w:rsidRPr="002A0545">
        <w:rPr>
          <w:rFonts w:ascii="Franklin Gothic Book" w:hAnsi="Franklin Gothic Book"/>
        </w:rPr>
        <w:t>Did not assume the</w:t>
      </w:r>
      <w:r w:rsidR="00D320CF">
        <w:rPr>
          <w:rFonts w:ascii="Franklin Gothic Book" w:hAnsi="Franklin Gothic Book"/>
        </w:rPr>
        <w:t xml:space="preserve"> &lt; 500</w:t>
      </w:r>
      <w:r w:rsidRPr="002A0545">
        <w:rPr>
          <w:rFonts w:ascii="Franklin Gothic Book" w:hAnsi="Franklin Gothic Book"/>
        </w:rPr>
        <w:t xml:space="preserve"> grandfathered patients were included in the prevalent test population as they would have received testing already (but were included in the treated prevalent population). </w:t>
      </w:r>
    </w:p>
    <w:p w14:paraId="3C780D09" w14:textId="77777777" w:rsidR="002F03F5" w:rsidRPr="002A0545" w:rsidRDefault="008F23FF" w:rsidP="002A0545">
      <w:pPr>
        <w:pStyle w:val="MainBodyBulletPoint"/>
        <w:rPr>
          <w:rFonts w:ascii="Franklin Gothic Book" w:hAnsi="Franklin Gothic Book"/>
        </w:rPr>
      </w:pPr>
      <w:r w:rsidRPr="002A0545">
        <w:rPr>
          <w:rFonts w:ascii="Franklin Gothic Book" w:hAnsi="Franklin Gothic Book"/>
        </w:rPr>
        <w:t xml:space="preserve">Did not assume that treatment was exclusive to patients with progressive and symptomatic disease. </w:t>
      </w:r>
    </w:p>
    <w:p w14:paraId="3C780D0A" w14:textId="16655A0C" w:rsidR="002F03F5" w:rsidRPr="002A0545" w:rsidRDefault="008F23FF" w:rsidP="002A0545">
      <w:pPr>
        <w:pStyle w:val="MainBodyBulletPoint"/>
        <w:rPr>
          <w:rFonts w:ascii="Franklin Gothic Book" w:hAnsi="Franklin Gothic Book"/>
        </w:rPr>
      </w:pPr>
      <w:r w:rsidRPr="002A0545">
        <w:rPr>
          <w:rFonts w:ascii="Franklin Gothic Book" w:hAnsi="Franklin Gothic Book"/>
        </w:rPr>
        <w:t>Assumed that the proportion of patients at each respective selpercatinib dose (160 mg, 120 mg, 80 mg, and 40 mg BID) was informed by the LIBRETTO-531 trial</w:t>
      </w:r>
    </w:p>
    <w:p w14:paraId="3C780D0B" w14:textId="54CF651F" w:rsidR="002F03F5" w:rsidRPr="002A0545" w:rsidRDefault="008F23FF" w:rsidP="002A0545">
      <w:pPr>
        <w:pStyle w:val="MSACESParagraph"/>
        <w:jc w:val="left"/>
        <w:rPr>
          <w:rFonts w:ascii="Franklin Gothic Book" w:hAnsi="Franklin Gothic Book"/>
          <w:sz w:val="22"/>
        </w:rPr>
      </w:pPr>
      <w:r w:rsidRPr="002A0545">
        <w:rPr>
          <w:rFonts w:ascii="Franklin Gothic Book" w:hAnsi="Franklin Gothic Book"/>
          <w:sz w:val="22"/>
        </w:rPr>
        <w:t>The estimated use and financial implications of somatic</w:t>
      </w:r>
      <w:r w:rsidRPr="002A0545">
        <w:rPr>
          <w:rFonts w:ascii="Franklin Gothic Book" w:hAnsi="Franklin Gothic Book"/>
          <w:i/>
          <w:sz w:val="22"/>
        </w:rPr>
        <w:t xml:space="preserve"> </w:t>
      </w:r>
      <w:r w:rsidRPr="002A0545">
        <w:rPr>
          <w:rFonts w:ascii="Franklin Gothic Book" w:hAnsi="Franklin Gothic Book"/>
          <w:i/>
          <w:iCs/>
          <w:sz w:val="22"/>
        </w:rPr>
        <w:t xml:space="preserve">RET </w:t>
      </w:r>
      <w:r w:rsidRPr="002A0545">
        <w:rPr>
          <w:rFonts w:ascii="Franklin Gothic Book" w:hAnsi="Franklin Gothic Book"/>
          <w:sz w:val="22"/>
        </w:rPr>
        <w:t>variant testing and selpercatinib treatment to the MBS in the submission and those estimated by the commentary under both testing scenarios (Option 1 and 2) are presented in</w:t>
      </w:r>
      <w:r w:rsidR="007066DA">
        <w:rPr>
          <w:rFonts w:ascii="Franklin Gothic Book" w:hAnsi="Franklin Gothic Book"/>
          <w:sz w:val="22"/>
        </w:rPr>
        <w:t xml:space="preserve"> </w:t>
      </w:r>
      <w:r w:rsidR="007066DA" w:rsidRPr="007066DA">
        <w:rPr>
          <w:rFonts w:ascii="Franklin Gothic Book" w:hAnsi="Franklin Gothic Book"/>
          <w:sz w:val="22"/>
        </w:rPr>
        <w:fldChar w:fldCharType="begin"/>
      </w:r>
      <w:r w:rsidR="007066DA" w:rsidRPr="007066DA">
        <w:rPr>
          <w:rFonts w:ascii="Franklin Gothic Book" w:hAnsi="Franklin Gothic Book"/>
          <w:sz w:val="22"/>
        </w:rPr>
        <w:instrText xml:space="preserve"> REF _Ref226643745 \h  \* MERGEFORMAT </w:instrText>
      </w:r>
      <w:r w:rsidR="007066DA" w:rsidRPr="007066DA">
        <w:rPr>
          <w:rFonts w:ascii="Franklin Gothic Book" w:hAnsi="Franklin Gothic Book"/>
          <w:sz w:val="22"/>
        </w:rPr>
      </w:r>
      <w:r w:rsidR="007066DA" w:rsidRPr="007066DA">
        <w:rPr>
          <w:rFonts w:ascii="Franklin Gothic Book" w:hAnsi="Franklin Gothic Book"/>
          <w:sz w:val="22"/>
        </w:rPr>
        <w:fldChar w:fldCharType="separate"/>
      </w:r>
      <w:r w:rsidR="007066DA" w:rsidRPr="00687588">
        <w:rPr>
          <w:rFonts w:ascii="Franklin Gothic Book" w:hAnsi="Franklin Gothic Book"/>
          <w:sz w:val="22"/>
        </w:rPr>
        <w:t xml:space="preserve">Table </w:t>
      </w:r>
      <w:r w:rsidR="007066DA" w:rsidRPr="00687588">
        <w:rPr>
          <w:rFonts w:ascii="Franklin Gothic Book" w:hAnsi="Franklin Gothic Book"/>
          <w:noProof/>
          <w:sz w:val="22"/>
        </w:rPr>
        <w:t>13</w:t>
      </w:r>
      <w:r w:rsidR="007066DA" w:rsidRPr="007066DA">
        <w:rPr>
          <w:rFonts w:ascii="Franklin Gothic Book" w:hAnsi="Franklin Gothic Book"/>
          <w:sz w:val="22"/>
        </w:rPr>
        <w:fldChar w:fldCharType="end"/>
      </w:r>
      <w:r w:rsidRPr="002A0545">
        <w:rPr>
          <w:rFonts w:ascii="Franklin Gothic Book" w:hAnsi="Franklin Gothic Book"/>
          <w:sz w:val="22"/>
        </w:rPr>
        <w:t>.</w:t>
      </w:r>
    </w:p>
    <w:p w14:paraId="3C780D0C" w14:textId="53BF5E7B" w:rsidR="002F03F5" w:rsidRDefault="007066DA" w:rsidP="00687588">
      <w:pPr>
        <w:pStyle w:val="Caption"/>
        <w:tabs>
          <w:tab w:val="clear" w:pos="1418"/>
        </w:tabs>
        <w:ind w:left="0" w:firstLine="0"/>
      </w:pPr>
      <w:bookmarkStart w:id="45" w:name="_Ref226643745"/>
      <w:r>
        <w:lastRenderedPageBreak/>
        <w:t xml:space="preserve">Table </w:t>
      </w:r>
      <w:r>
        <w:fldChar w:fldCharType="begin"/>
      </w:r>
      <w:r>
        <w:instrText>SEQ Table \* ARABIC</w:instrText>
      </w:r>
      <w:r>
        <w:fldChar w:fldCharType="separate"/>
      </w:r>
      <w:r w:rsidR="005B2039">
        <w:rPr>
          <w:noProof/>
        </w:rPr>
        <w:t>13</w:t>
      </w:r>
      <w:r>
        <w:fldChar w:fldCharType="end"/>
      </w:r>
      <w:bookmarkEnd w:id="45"/>
      <w:r>
        <w:t xml:space="preserve"> </w:t>
      </w:r>
      <w:r w:rsidR="008F23FF">
        <w:t>Estimated use and financial implications of somatic</w:t>
      </w:r>
      <w:r w:rsidR="008F23FF">
        <w:rPr>
          <w:i/>
        </w:rPr>
        <w:t xml:space="preserve"> </w:t>
      </w:r>
      <w:r w:rsidR="00B14353" w:rsidRPr="00B14353">
        <w:rPr>
          <w:i/>
        </w:rPr>
        <w:t>RET</w:t>
      </w:r>
      <w:r w:rsidR="008F23FF">
        <w:rPr>
          <w:i/>
        </w:rPr>
        <w:t xml:space="preserve"> </w:t>
      </w:r>
      <w:r w:rsidR="008F23FF">
        <w:t>testing and selpercatinib treatment</w:t>
      </w:r>
      <w:r w:rsidR="000D14AD">
        <w:t xml:space="preserve"> </w:t>
      </w:r>
      <w:r w:rsidR="00F70768">
        <w:t xml:space="preserve">  </w:t>
      </w:r>
      <w:r w:rsidR="008F23FF">
        <w:t>to the MBS in the submission and by the commentary according to testing Options 1 (at stage III/IV) and Option 2 (at diagnosis)</w:t>
      </w:r>
    </w:p>
    <w:tbl>
      <w:tblPr>
        <w:tblW w:w="4950" w:type="pct"/>
        <w:tblLayout w:type="fixed"/>
        <w:tblCellMar>
          <w:left w:w="28" w:type="dxa"/>
          <w:right w:w="28" w:type="dxa"/>
        </w:tblCellMar>
        <w:tblLook w:val="04A0" w:firstRow="1" w:lastRow="0" w:firstColumn="1" w:lastColumn="0" w:noHBand="0" w:noVBand="1"/>
      </w:tblPr>
      <w:tblGrid>
        <w:gridCol w:w="2594"/>
        <w:gridCol w:w="1055"/>
        <w:gridCol w:w="1056"/>
        <w:gridCol w:w="1057"/>
        <w:gridCol w:w="1054"/>
        <w:gridCol w:w="1055"/>
        <w:gridCol w:w="1055"/>
      </w:tblGrid>
      <w:tr w:rsidR="002F03F5" w14:paraId="3C780D14" w14:textId="77777777" w:rsidTr="007E520F">
        <w:trPr>
          <w:cantSplit/>
          <w:tblHeader/>
        </w:trPr>
        <w:tc>
          <w:tcPr>
            <w:tcW w:w="2594" w:type="dxa"/>
            <w:tcBorders>
              <w:top w:val="single" w:sz="4" w:space="0" w:color="000000"/>
              <w:left w:val="single" w:sz="4" w:space="0" w:color="000000"/>
              <w:bottom w:val="single" w:sz="4" w:space="0" w:color="000000"/>
              <w:right w:val="single" w:sz="4" w:space="0" w:color="000000"/>
            </w:tcBorders>
            <w:vAlign w:val="center"/>
          </w:tcPr>
          <w:p w14:paraId="3C780D0D" w14:textId="77777777" w:rsidR="002F03F5" w:rsidRDefault="002F03F5">
            <w:pPr>
              <w:pStyle w:val="TableText"/>
              <w:keepNext/>
              <w:jc w:val="center"/>
              <w:rPr>
                <w:b/>
              </w:rPr>
            </w:pPr>
          </w:p>
        </w:tc>
        <w:tc>
          <w:tcPr>
            <w:tcW w:w="1055" w:type="dxa"/>
            <w:tcBorders>
              <w:top w:val="single" w:sz="4" w:space="0" w:color="000000"/>
              <w:left w:val="single" w:sz="4" w:space="0" w:color="000000"/>
              <w:bottom w:val="single" w:sz="4" w:space="0" w:color="000000"/>
              <w:right w:val="single" w:sz="4" w:space="0" w:color="000000"/>
            </w:tcBorders>
            <w:vAlign w:val="center"/>
          </w:tcPr>
          <w:p w14:paraId="3C780D0E" w14:textId="77777777" w:rsidR="002F03F5" w:rsidRDefault="008F23FF">
            <w:pPr>
              <w:pStyle w:val="TableText"/>
              <w:keepNext/>
              <w:jc w:val="center"/>
              <w:rPr>
                <w:b/>
              </w:rPr>
            </w:pPr>
            <w:r>
              <w:rPr>
                <w:b/>
              </w:rPr>
              <w:t>Year 1</w:t>
            </w:r>
          </w:p>
        </w:tc>
        <w:tc>
          <w:tcPr>
            <w:tcW w:w="1056" w:type="dxa"/>
            <w:tcBorders>
              <w:top w:val="single" w:sz="4" w:space="0" w:color="000000"/>
              <w:left w:val="single" w:sz="4" w:space="0" w:color="000000"/>
              <w:bottom w:val="single" w:sz="4" w:space="0" w:color="000000"/>
              <w:right w:val="single" w:sz="4" w:space="0" w:color="000000"/>
            </w:tcBorders>
            <w:vAlign w:val="center"/>
          </w:tcPr>
          <w:p w14:paraId="3C780D0F" w14:textId="77777777" w:rsidR="002F03F5" w:rsidRDefault="008F23FF">
            <w:pPr>
              <w:pStyle w:val="TableText"/>
              <w:keepNext/>
              <w:jc w:val="center"/>
              <w:rPr>
                <w:b/>
              </w:rPr>
            </w:pPr>
            <w:r>
              <w:rPr>
                <w:b/>
              </w:rPr>
              <w:t>Year 2</w:t>
            </w:r>
          </w:p>
        </w:tc>
        <w:tc>
          <w:tcPr>
            <w:tcW w:w="1057" w:type="dxa"/>
            <w:tcBorders>
              <w:top w:val="single" w:sz="4" w:space="0" w:color="000000"/>
              <w:left w:val="single" w:sz="4" w:space="0" w:color="000000"/>
              <w:bottom w:val="single" w:sz="4" w:space="0" w:color="000000"/>
              <w:right w:val="single" w:sz="4" w:space="0" w:color="000000"/>
            </w:tcBorders>
            <w:vAlign w:val="center"/>
          </w:tcPr>
          <w:p w14:paraId="3C780D10" w14:textId="77777777" w:rsidR="002F03F5" w:rsidRDefault="008F23FF">
            <w:pPr>
              <w:pStyle w:val="TableText"/>
              <w:keepNext/>
              <w:jc w:val="center"/>
              <w:rPr>
                <w:b/>
              </w:rPr>
            </w:pPr>
            <w:r>
              <w:rPr>
                <w:b/>
              </w:rPr>
              <w:t>Year 3</w:t>
            </w:r>
          </w:p>
        </w:tc>
        <w:tc>
          <w:tcPr>
            <w:tcW w:w="1054" w:type="dxa"/>
            <w:tcBorders>
              <w:top w:val="single" w:sz="4" w:space="0" w:color="000000"/>
              <w:left w:val="single" w:sz="4" w:space="0" w:color="000000"/>
              <w:bottom w:val="single" w:sz="4" w:space="0" w:color="000000"/>
              <w:right w:val="single" w:sz="4" w:space="0" w:color="000000"/>
            </w:tcBorders>
            <w:vAlign w:val="center"/>
          </w:tcPr>
          <w:p w14:paraId="3C780D11" w14:textId="77777777" w:rsidR="002F03F5" w:rsidRDefault="008F23FF">
            <w:pPr>
              <w:pStyle w:val="TableText"/>
              <w:keepNext/>
              <w:jc w:val="center"/>
              <w:rPr>
                <w:b/>
              </w:rPr>
            </w:pPr>
            <w:r>
              <w:rPr>
                <w:b/>
              </w:rPr>
              <w:t>Year 4</w:t>
            </w:r>
          </w:p>
        </w:tc>
        <w:tc>
          <w:tcPr>
            <w:tcW w:w="1055" w:type="dxa"/>
            <w:tcBorders>
              <w:top w:val="single" w:sz="4" w:space="0" w:color="000000"/>
              <w:left w:val="single" w:sz="4" w:space="0" w:color="000000"/>
              <w:bottom w:val="single" w:sz="4" w:space="0" w:color="000000"/>
              <w:right w:val="single" w:sz="4" w:space="0" w:color="000000"/>
            </w:tcBorders>
            <w:vAlign w:val="center"/>
          </w:tcPr>
          <w:p w14:paraId="3C780D12" w14:textId="77777777" w:rsidR="002F03F5" w:rsidRDefault="008F23FF">
            <w:pPr>
              <w:pStyle w:val="TableText"/>
              <w:keepNext/>
              <w:jc w:val="center"/>
              <w:rPr>
                <w:b/>
              </w:rPr>
            </w:pPr>
            <w:r>
              <w:rPr>
                <w:b/>
              </w:rPr>
              <w:t>Year 5</w:t>
            </w:r>
          </w:p>
        </w:tc>
        <w:tc>
          <w:tcPr>
            <w:tcW w:w="1055" w:type="dxa"/>
            <w:tcBorders>
              <w:top w:val="single" w:sz="4" w:space="0" w:color="000000"/>
              <w:left w:val="single" w:sz="4" w:space="0" w:color="000000"/>
              <w:bottom w:val="single" w:sz="4" w:space="0" w:color="000000"/>
              <w:right w:val="single" w:sz="4" w:space="0" w:color="000000"/>
            </w:tcBorders>
          </w:tcPr>
          <w:p w14:paraId="3C780D13" w14:textId="77777777" w:rsidR="002F03F5" w:rsidRDefault="008F23FF">
            <w:pPr>
              <w:pStyle w:val="TableText"/>
              <w:keepNext/>
              <w:jc w:val="center"/>
              <w:rPr>
                <w:b/>
              </w:rPr>
            </w:pPr>
            <w:r>
              <w:rPr>
                <w:b/>
              </w:rPr>
              <w:t>Year 6</w:t>
            </w:r>
          </w:p>
        </w:tc>
      </w:tr>
      <w:tr w:rsidR="002F03F5" w14:paraId="3C780D16" w14:textId="77777777" w:rsidTr="007E520F">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0D15" w14:textId="6F98811A" w:rsidR="002F03F5" w:rsidRDefault="008F23FF">
            <w:pPr>
              <w:pStyle w:val="TableText"/>
              <w:keepNext/>
              <w:rPr>
                <w:b/>
              </w:rPr>
            </w:pPr>
            <w:r>
              <w:rPr>
                <w:b/>
              </w:rPr>
              <w:t>Estimated extent of use of somatic</w:t>
            </w:r>
            <w:r>
              <w:rPr>
                <w:b/>
                <w:i/>
              </w:rPr>
              <w:t xml:space="preserve"> </w:t>
            </w:r>
            <w:r w:rsidR="00B14353" w:rsidRPr="00B14353">
              <w:rPr>
                <w:b/>
                <w:i/>
                <w:iCs/>
              </w:rPr>
              <w:t>RET</w:t>
            </w:r>
            <w:r>
              <w:rPr>
                <w:b/>
                <w:i/>
                <w:iCs/>
              </w:rPr>
              <w:t xml:space="preserve"> </w:t>
            </w:r>
            <w:r>
              <w:rPr>
                <w:b/>
              </w:rPr>
              <w:t>variant testing</w:t>
            </w:r>
          </w:p>
        </w:tc>
      </w:tr>
      <w:tr w:rsidR="000E3F42" w14:paraId="3C780D1E"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17" w14:textId="77777777" w:rsidR="000E3F42" w:rsidRDefault="000E3F42" w:rsidP="000E3F42">
            <w:pPr>
              <w:pStyle w:val="TableText"/>
              <w:keepNext/>
            </w:pPr>
            <w:r>
              <w:t>Number of patients tested if tested at diagnosis of MTC (Option 2)</w:t>
            </w:r>
          </w:p>
        </w:tc>
        <w:tc>
          <w:tcPr>
            <w:tcW w:w="1055" w:type="dxa"/>
            <w:tcBorders>
              <w:top w:val="single" w:sz="4" w:space="0" w:color="000000"/>
              <w:left w:val="single" w:sz="4" w:space="0" w:color="000000"/>
              <w:bottom w:val="single" w:sz="4" w:space="0" w:color="000000"/>
              <w:right w:val="single" w:sz="4" w:space="0" w:color="000000"/>
            </w:tcBorders>
          </w:tcPr>
          <w:p w14:paraId="3C780D18" w14:textId="22A138CB" w:rsidR="000E3F42" w:rsidRDefault="000E3F42" w:rsidP="000E3F42">
            <w:pPr>
              <w:pStyle w:val="TableNumber"/>
              <w:rPr>
                <w:vertAlign w:val="superscript"/>
              </w:rPr>
            </w:pPr>
            <w:r w:rsidRPr="00877878">
              <w:rPr>
                <w:b/>
                <w:bCs/>
              </w:rPr>
              <w:t>Redacted</w:t>
            </w:r>
            <w:r w:rsidRPr="00877878">
              <w:rPr>
                <w:vertAlign w:val="superscript"/>
              </w:rPr>
              <w:t>1</w:t>
            </w:r>
          </w:p>
        </w:tc>
        <w:tc>
          <w:tcPr>
            <w:tcW w:w="1056" w:type="dxa"/>
            <w:tcBorders>
              <w:top w:val="single" w:sz="4" w:space="0" w:color="000000"/>
              <w:left w:val="single" w:sz="4" w:space="0" w:color="000000"/>
              <w:bottom w:val="single" w:sz="4" w:space="0" w:color="000000"/>
              <w:right w:val="single" w:sz="4" w:space="0" w:color="000000"/>
            </w:tcBorders>
          </w:tcPr>
          <w:p w14:paraId="3C780D19" w14:textId="1E0C8FCD" w:rsidR="000E3F42" w:rsidRDefault="000E3F42" w:rsidP="000E3F42">
            <w:pPr>
              <w:pStyle w:val="TableNumber"/>
            </w:pPr>
            <w:r w:rsidRPr="00877878">
              <w:rPr>
                <w:b/>
                <w:bCs/>
              </w:rPr>
              <w:t>Redacted</w:t>
            </w:r>
            <w:r w:rsidRPr="00877878">
              <w:rPr>
                <w:vertAlign w:val="superscript"/>
              </w:rPr>
              <w:t>1</w:t>
            </w:r>
          </w:p>
        </w:tc>
        <w:tc>
          <w:tcPr>
            <w:tcW w:w="1057" w:type="dxa"/>
            <w:tcBorders>
              <w:top w:val="single" w:sz="4" w:space="0" w:color="000000"/>
              <w:left w:val="single" w:sz="4" w:space="0" w:color="000000"/>
              <w:bottom w:val="single" w:sz="4" w:space="0" w:color="000000"/>
              <w:right w:val="single" w:sz="4" w:space="0" w:color="000000"/>
            </w:tcBorders>
          </w:tcPr>
          <w:p w14:paraId="3C780D1A" w14:textId="62F56CF5" w:rsidR="000E3F42" w:rsidRDefault="000E3F42" w:rsidP="000E3F42">
            <w:pPr>
              <w:pStyle w:val="TableNumber"/>
            </w:pPr>
            <w:r w:rsidRPr="00877878">
              <w:rPr>
                <w:b/>
                <w:bCs/>
              </w:rPr>
              <w:t>Redacted</w:t>
            </w:r>
            <w:r w:rsidRPr="00877878">
              <w:rPr>
                <w:vertAlign w:val="superscript"/>
              </w:rPr>
              <w:t>1</w:t>
            </w:r>
          </w:p>
        </w:tc>
        <w:tc>
          <w:tcPr>
            <w:tcW w:w="1054" w:type="dxa"/>
            <w:tcBorders>
              <w:top w:val="single" w:sz="4" w:space="0" w:color="000000"/>
              <w:left w:val="single" w:sz="4" w:space="0" w:color="000000"/>
              <w:bottom w:val="single" w:sz="4" w:space="0" w:color="000000"/>
              <w:right w:val="single" w:sz="4" w:space="0" w:color="000000"/>
            </w:tcBorders>
          </w:tcPr>
          <w:p w14:paraId="3C780D1B" w14:textId="7C61E9C3" w:rsidR="000E3F42" w:rsidRDefault="000E3F42" w:rsidP="000E3F42">
            <w:pPr>
              <w:pStyle w:val="TableNumber"/>
            </w:pPr>
            <w:r w:rsidRPr="00877878">
              <w:rPr>
                <w:b/>
                <w:bCs/>
              </w:rPr>
              <w:t>Redacted</w:t>
            </w:r>
            <w:r w:rsidRPr="00877878">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1C" w14:textId="5351DA38" w:rsidR="000E3F42" w:rsidRDefault="000E3F42" w:rsidP="000E3F42">
            <w:pPr>
              <w:pStyle w:val="TableNumber"/>
            </w:pPr>
            <w:r w:rsidRPr="00877878">
              <w:rPr>
                <w:b/>
                <w:bCs/>
              </w:rPr>
              <w:t>Redacted</w:t>
            </w:r>
            <w:r w:rsidRPr="00877878">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1D" w14:textId="062D8444" w:rsidR="000E3F42" w:rsidRDefault="000E3F42" w:rsidP="000E3F42">
            <w:pPr>
              <w:pStyle w:val="TableNumber"/>
            </w:pPr>
            <w:r w:rsidRPr="00877878">
              <w:rPr>
                <w:b/>
                <w:bCs/>
              </w:rPr>
              <w:t>Redacted</w:t>
            </w:r>
            <w:r w:rsidRPr="00877878">
              <w:rPr>
                <w:vertAlign w:val="superscript"/>
              </w:rPr>
              <w:t>1</w:t>
            </w:r>
          </w:p>
        </w:tc>
      </w:tr>
      <w:tr w:rsidR="000E3F42" w14:paraId="3C780D26"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1F" w14:textId="77777777" w:rsidR="000E3F42" w:rsidRDefault="000E3F42" w:rsidP="000E3F42">
            <w:pPr>
              <w:pStyle w:val="TableText"/>
              <w:keepNext/>
            </w:pPr>
            <w:r>
              <w:t>Number of patients tested if tested at stage III/IV MTC (Option 1)</w:t>
            </w:r>
          </w:p>
        </w:tc>
        <w:tc>
          <w:tcPr>
            <w:tcW w:w="1055" w:type="dxa"/>
            <w:tcBorders>
              <w:top w:val="single" w:sz="4" w:space="0" w:color="000000"/>
              <w:left w:val="single" w:sz="4" w:space="0" w:color="000000"/>
              <w:bottom w:val="single" w:sz="4" w:space="0" w:color="000000"/>
              <w:right w:val="single" w:sz="4" w:space="0" w:color="000000"/>
            </w:tcBorders>
          </w:tcPr>
          <w:p w14:paraId="3C780D20" w14:textId="1B37EA17" w:rsidR="000E3F42" w:rsidRDefault="000E3F42" w:rsidP="000E3F42">
            <w:pPr>
              <w:pStyle w:val="TableNumber"/>
            </w:pPr>
            <w:r w:rsidRPr="00877878">
              <w:rPr>
                <w:b/>
                <w:bCs/>
              </w:rPr>
              <w:t>Redacted</w:t>
            </w:r>
            <w:r w:rsidRPr="00877878">
              <w:rPr>
                <w:vertAlign w:val="superscript"/>
              </w:rPr>
              <w:t>1</w:t>
            </w:r>
          </w:p>
        </w:tc>
        <w:tc>
          <w:tcPr>
            <w:tcW w:w="1056" w:type="dxa"/>
            <w:tcBorders>
              <w:top w:val="single" w:sz="4" w:space="0" w:color="000000"/>
              <w:left w:val="single" w:sz="4" w:space="0" w:color="000000"/>
              <w:bottom w:val="single" w:sz="4" w:space="0" w:color="000000"/>
              <w:right w:val="single" w:sz="4" w:space="0" w:color="000000"/>
            </w:tcBorders>
          </w:tcPr>
          <w:p w14:paraId="3C780D21" w14:textId="4B1C2F79" w:rsidR="000E3F42" w:rsidRDefault="000E3F42" w:rsidP="000E3F42">
            <w:pPr>
              <w:pStyle w:val="TableNumber"/>
            </w:pPr>
            <w:r w:rsidRPr="00877878">
              <w:rPr>
                <w:b/>
                <w:bCs/>
              </w:rPr>
              <w:t>Redacted</w:t>
            </w:r>
            <w:r w:rsidRPr="00877878">
              <w:rPr>
                <w:vertAlign w:val="superscript"/>
              </w:rPr>
              <w:t>1</w:t>
            </w:r>
          </w:p>
        </w:tc>
        <w:tc>
          <w:tcPr>
            <w:tcW w:w="1057" w:type="dxa"/>
            <w:tcBorders>
              <w:top w:val="single" w:sz="4" w:space="0" w:color="000000"/>
              <w:left w:val="single" w:sz="4" w:space="0" w:color="000000"/>
              <w:bottom w:val="single" w:sz="4" w:space="0" w:color="000000"/>
              <w:right w:val="single" w:sz="4" w:space="0" w:color="000000"/>
            </w:tcBorders>
          </w:tcPr>
          <w:p w14:paraId="3C780D22" w14:textId="13561ADD" w:rsidR="000E3F42" w:rsidRDefault="000E3F42" w:rsidP="000E3F42">
            <w:pPr>
              <w:pStyle w:val="TableNumber"/>
            </w:pPr>
            <w:r w:rsidRPr="00877878">
              <w:rPr>
                <w:b/>
                <w:bCs/>
              </w:rPr>
              <w:t>Redacted</w:t>
            </w:r>
            <w:r w:rsidRPr="00877878">
              <w:rPr>
                <w:vertAlign w:val="superscript"/>
              </w:rPr>
              <w:t>1</w:t>
            </w:r>
          </w:p>
        </w:tc>
        <w:tc>
          <w:tcPr>
            <w:tcW w:w="1054" w:type="dxa"/>
            <w:tcBorders>
              <w:top w:val="single" w:sz="4" w:space="0" w:color="000000"/>
              <w:left w:val="single" w:sz="4" w:space="0" w:color="000000"/>
              <w:bottom w:val="single" w:sz="4" w:space="0" w:color="000000"/>
              <w:right w:val="single" w:sz="4" w:space="0" w:color="000000"/>
            </w:tcBorders>
          </w:tcPr>
          <w:p w14:paraId="3C780D23" w14:textId="695144F5" w:rsidR="000E3F42" w:rsidRDefault="000E3F42" w:rsidP="000E3F42">
            <w:pPr>
              <w:pStyle w:val="TableNumber"/>
            </w:pPr>
            <w:r w:rsidRPr="00877878">
              <w:rPr>
                <w:b/>
                <w:bCs/>
              </w:rPr>
              <w:t>Redacted</w:t>
            </w:r>
            <w:r w:rsidRPr="00877878">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24" w14:textId="6DCF5F71" w:rsidR="000E3F42" w:rsidRDefault="000E3F42" w:rsidP="000E3F42">
            <w:pPr>
              <w:pStyle w:val="TableNumber"/>
            </w:pPr>
            <w:r w:rsidRPr="00877878">
              <w:rPr>
                <w:b/>
                <w:bCs/>
              </w:rPr>
              <w:t>Redacted</w:t>
            </w:r>
            <w:r w:rsidRPr="00877878">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25" w14:textId="478D563B" w:rsidR="000E3F42" w:rsidRDefault="000E3F42" w:rsidP="000E3F42">
            <w:pPr>
              <w:pStyle w:val="TableNumber"/>
            </w:pPr>
            <w:r w:rsidRPr="00877878">
              <w:rPr>
                <w:b/>
                <w:bCs/>
              </w:rPr>
              <w:t>Redacted</w:t>
            </w:r>
            <w:r w:rsidRPr="00877878">
              <w:rPr>
                <w:vertAlign w:val="superscript"/>
              </w:rPr>
              <w:t>1</w:t>
            </w:r>
          </w:p>
        </w:tc>
      </w:tr>
      <w:tr w:rsidR="007E520F" w14:paraId="3C780D2E"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27" w14:textId="77777777" w:rsidR="007E520F" w:rsidRDefault="007E520F" w:rsidP="007E520F">
            <w:pPr>
              <w:pStyle w:val="TableText"/>
              <w:keepNext/>
            </w:pPr>
            <w:r>
              <w:t>Number of patients treated</w:t>
            </w:r>
          </w:p>
        </w:tc>
        <w:tc>
          <w:tcPr>
            <w:tcW w:w="1055" w:type="dxa"/>
            <w:tcBorders>
              <w:top w:val="single" w:sz="4" w:space="0" w:color="000000"/>
              <w:left w:val="single" w:sz="4" w:space="0" w:color="000000"/>
              <w:bottom w:val="single" w:sz="4" w:space="0" w:color="000000"/>
              <w:right w:val="single" w:sz="4" w:space="0" w:color="000000"/>
            </w:tcBorders>
            <w:vAlign w:val="center"/>
          </w:tcPr>
          <w:p w14:paraId="3C780D28" w14:textId="1431E9BB" w:rsidR="007E520F" w:rsidRPr="00430728" w:rsidRDefault="007E520F" w:rsidP="007E520F">
            <w:pPr>
              <w:pStyle w:val="TableNumber"/>
              <w:rPr>
                <w:highlight w:val="yellow"/>
              </w:rPr>
            </w:pPr>
            <w:r w:rsidRPr="00430728">
              <w:rPr>
                <w:b/>
                <w:bCs/>
              </w:rPr>
              <w:t>Redacted</w:t>
            </w:r>
            <w:r w:rsidRPr="00430728">
              <w:rPr>
                <w:vertAlign w:val="superscript"/>
              </w:rPr>
              <w:t>1</w:t>
            </w:r>
          </w:p>
        </w:tc>
        <w:tc>
          <w:tcPr>
            <w:tcW w:w="1056" w:type="dxa"/>
            <w:tcBorders>
              <w:top w:val="single" w:sz="4" w:space="0" w:color="000000"/>
              <w:left w:val="single" w:sz="4" w:space="0" w:color="000000"/>
              <w:bottom w:val="single" w:sz="4" w:space="0" w:color="000000"/>
              <w:right w:val="single" w:sz="4" w:space="0" w:color="000000"/>
            </w:tcBorders>
          </w:tcPr>
          <w:p w14:paraId="3C780D29" w14:textId="59E06BAC" w:rsidR="007E520F" w:rsidRPr="00430728" w:rsidRDefault="007E520F" w:rsidP="007E520F">
            <w:pPr>
              <w:pStyle w:val="TableNumber"/>
              <w:rPr>
                <w:highlight w:val="yellow"/>
              </w:rPr>
            </w:pPr>
            <w:r w:rsidRPr="006A00E8">
              <w:rPr>
                <w:b/>
                <w:bCs/>
              </w:rPr>
              <w:t>Redacted</w:t>
            </w:r>
            <w:r w:rsidRPr="006A00E8">
              <w:rPr>
                <w:vertAlign w:val="superscript"/>
              </w:rPr>
              <w:t>1</w:t>
            </w:r>
          </w:p>
        </w:tc>
        <w:tc>
          <w:tcPr>
            <w:tcW w:w="1057" w:type="dxa"/>
            <w:tcBorders>
              <w:top w:val="single" w:sz="4" w:space="0" w:color="000000"/>
              <w:left w:val="single" w:sz="4" w:space="0" w:color="000000"/>
              <w:bottom w:val="single" w:sz="4" w:space="0" w:color="000000"/>
              <w:right w:val="single" w:sz="4" w:space="0" w:color="000000"/>
            </w:tcBorders>
          </w:tcPr>
          <w:p w14:paraId="3C780D2A" w14:textId="118F7CEE" w:rsidR="007E520F" w:rsidRPr="00430728" w:rsidRDefault="007E520F" w:rsidP="007E520F">
            <w:pPr>
              <w:pStyle w:val="TableNumber"/>
              <w:rPr>
                <w:highlight w:val="yellow"/>
              </w:rPr>
            </w:pPr>
            <w:r w:rsidRPr="006A00E8">
              <w:rPr>
                <w:b/>
                <w:bCs/>
              </w:rPr>
              <w:t>Redacted</w:t>
            </w:r>
            <w:r w:rsidRPr="006A00E8">
              <w:rPr>
                <w:vertAlign w:val="superscript"/>
              </w:rPr>
              <w:t>1</w:t>
            </w:r>
          </w:p>
        </w:tc>
        <w:tc>
          <w:tcPr>
            <w:tcW w:w="1054" w:type="dxa"/>
            <w:tcBorders>
              <w:top w:val="single" w:sz="4" w:space="0" w:color="000000"/>
              <w:left w:val="single" w:sz="4" w:space="0" w:color="000000"/>
              <w:bottom w:val="single" w:sz="4" w:space="0" w:color="000000"/>
              <w:right w:val="single" w:sz="4" w:space="0" w:color="000000"/>
            </w:tcBorders>
          </w:tcPr>
          <w:p w14:paraId="3C780D2B" w14:textId="48B868F6" w:rsidR="007E520F" w:rsidRPr="00430728" w:rsidRDefault="005B39B7" w:rsidP="007E520F">
            <w:pPr>
              <w:pStyle w:val="TableNumber"/>
              <w:rPr>
                <w:highlight w:val="yellow"/>
              </w:rPr>
            </w:pPr>
            <w:r>
              <w:t>$</w:t>
            </w:r>
            <w:r w:rsidR="007E520F" w:rsidRPr="006A00E8">
              <w:rPr>
                <w:b/>
                <w:bCs/>
              </w:rPr>
              <w:t>Redacted</w:t>
            </w:r>
            <w:r w:rsidR="007E520F" w:rsidRPr="006A00E8">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2C" w14:textId="659F8F8A" w:rsidR="007E520F" w:rsidRPr="00430728" w:rsidRDefault="007E520F" w:rsidP="007E520F">
            <w:pPr>
              <w:pStyle w:val="TableNumber"/>
              <w:rPr>
                <w:highlight w:val="yellow"/>
              </w:rPr>
            </w:pPr>
            <w:r w:rsidRPr="006A00E8">
              <w:rPr>
                <w:b/>
                <w:bCs/>
              </w:rPr>
              <w:t>Redacted</w:t>
            </w:r>
            <w:r w:rsidRPr="006A00E8">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2D" w14:textId="355289BC" w:rsidR="007E520F" w:rsidRPr="00430728" w:rsidRDefault="007E520F" w:rsidP="007E520F">
            <w:pPr>
              <w:pStyle w:val="TableNumber"/>
              <w:rPr>
                <w:highlight w:val="yellow"/>
              </w:rPr>
            </w:pPr>
            <w:r w:rsidRPr="006A00E8">
              <w:rPr>
                <w:b/>
                <w:bCs/>
              </w:rPr>
              <w:t>Redacted</w:t>
            </w:r>
            <w:r w:rsidRPr="006A00E8">
              <w:rPr>
                <w:vertAlign w:val="superscript"/>
              </w:rPr>
              <w:t>1</w:t>
            </w:r>
          </w:p>
        </w:tc>
      </w:tr>
      <w:tr w:rsidR="002F03F5" w14:paraId="3C780D30" w14:textId="77777777" w:rsidTr="007E520F">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0D2F" w14:textId="77777777" w:rsidR="002F03F5" w:rsidRDefault="008F23FF">
            <w:pPr>
              <w:pStyle w:val="TableText"/>
              <w:keepNext/>
              <w:rPr>
                <w:b/>
                <w:bCs/>
                <w:vertAlign w:val="superscript"/>
              </w:rPr>
            </w:pPr>
            <w:r>
              <w:rPr>
                <w:b/>
                <w:bCs/>
              </w:rPr>
              <w:t>Financial implications</w:t>
            </w:r>
            <w:r>
              <w:rPr>
                <w:b/>
              </w:rPr>
              <w:t xml:space="preserve"> to the MBS and </w:t>
            </w:r>
            <w:proofErr w:type="spellStart"/>
            <w:r>
              <w:rPr>
                <w:b/>
              </w:rPr>
              <w:t>PBS</w:t>
            </w:r>
            <w:r>
              <w:rPr>
                <w:b/>
                <w:vertAlign w:val="superscript"/>
              </w:rPr>
              <w:t>a</w:t>
            </w:r>
            <w:proofErr w:type="spellEnd"/>
          </w:p>
        </w:tc>
      </w:tr>
      <w:tr w:rsidR="00003930" w14:paraId="3C780D38"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31" w14:textId="77777777" w:rsidR="00003930" w:rsidRDefault="00003930" w:rsidP="00003930">
            <w:pPr>
              <w:pStyle w:val="TableText"/>
              <w:keepNext/>
              <w:rPr>
                <w:vertAlign w:val="superscript"/>
              </w:rPr>
            </w:pPr>
            <w:r>
              <w:t>Testing cost to MBS (Option 2)</w:t>
            </w:r>
          </w:p>
        </w:tc>
        <w:tc>
          <w:tcPr>
            <w:tcW w:w="1055" w:type="dxa"/>
            <w:tcBorders>
              <w:top w:val="single" w:sz="4" w:space="0" w:color="000000"/>
              <w:left w:val="single" w:sz="4" w:space="0" w:color="000000"/>
              <w:bottom w:val="single" w:sz="4" w:space="0" w:color="000000"/>
              <w:right w:val="single" w:sz="4" w:space="0" w:color="000000"/>
            </w:tcBorders>
            <w:vAlign w:val="center"/>
          </w:tcPr>
          <w:p w14:paraId="3C780D32" w14:textId="3A7ABAA7" w:rsidR="00003930" w:rsidRPr="00430728" w:rsidRDefault="005B39B7" w:rsidP="00003930">
            <w:pPr>
              <w:pStyle w:val="TableNumber"/>
              <w:rPr>
                <w:highlight w:val="yellow"/>
              </w:rPr>
            </w:pPr>
            <w:r>
              <w:t>$</w:t>
            </w:r>
            <w:r w:rsidR="00003930" w:rsidRPr="00077CA5">
              <w:rPr>
                <w:b/>
                <w:bCs/>
              </w:rPr>
              <w:t>Redacted</w:t>
            </w:r>
            <w:r w:rsidR="00003930">
              <w:rPr>
                <w:vertAlign w:val="superscript"/>
              </w:rPr>
              <w:t>2</w:t>
            </w:r>
          </w:p>
        </w:tc>
        <w:tc>
          <w:tcPr>
            <w:tcW w:w="1056" w:type="dxa"/>
            <w:tcBorders>
              <w:top w:val="single" w:sz="4" w:space="0" w:color="000000"/>
              <w:left w:val="single" w:sz="4" w:space="0" w:color="000000"/>
              <w:bottom w:val="single" w:sz="4" w:space="0" w:color="000000"/>
              <w:right w:val="single" w:sz="4" w:space="0" w:color="000000"/>
            </w:tcBorders>
          </w:tcPr>
          <w:p w14:paraId="3C780D33" w14:textId="11576BD7"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7" w:type="dxa"/>
            <w:tcBorders>
              <w:top w:val="single" w:sz="4" w:space="0" w:color="000000"/>
              <w:left w:val="single" w:sz="4" w:space="0" w:color="000000"/>
              <w:bottom w:val="single" w:sz="4" w:space="0" w:color="000000"/>
              <w:right w:val="single" w:sz="4" w:space="0" w:color="000000"/>
            </w:tcBorders>
          </w:tcPr>
          <w:p w14:paraId="3C780D34" w14:textId="61D0E268"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4" w:type="dxa"/>
            <w:tcBorders>
              <w:top w:val="single" w:sz="4" w:space="0" w:color="000000"/>
              <w:left w:val="single" w:sz="4" w:space="0" w:color="000000"/>
              <w:bottom w:val="single" w:sz="4" w:space="0" w:color="000000"/>
              <w:right w:val="single" w:sz="4" w:space="0" w:color="000000"/>
            </w:tcBorders>
          </w:tcPr>
          <w:p w14:paraId="3C780D35" w14:textId="258A9EAD"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36" w14:textId="51F62618"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37" w14:textId="6B2038FD"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r>
      <w:tr w:rsidR="00003930" w14:paraId="3C780D40" w14:textId="77777777" w:rsidTr="007E520F">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39" w14:textId="77777777" w:rsidR="00003930" w:rsidRDefault="00003930" w:rsidP="00003930">
            <w:pPr>
              <w:pStyle w:val="TableText"/>
              <w:keepNext/>
            </w:pPr>
            <w:r>
              <w:t>Testing cost to MBS (Option 1)</w:t>
            </w:r>
          </w:p>
        </w:tc>
        <w:tc>
          <w:tcPr>
            <w:tcW w:w="1055" w:type="dxa"/>
            <w:tcBorders>
              <w:top w:val="single" w:sz="4" w:space="0" w:color="000000"/>
              <w:left w:val="single" w:sz="4" w:space="0" w:color="000000"/>
              <w:bottom w:val="single" w:sz="4" w:space="0" w:color="000000"/>
              <w:right w:val="single" w:sz="4" w:space="0" w:color="000000"/>
            </w:tcBorders>
          </w:tcPr>
          <w:p w14:paraId="3C780D3A" w14:textId="4E372CAF" w:rsidR="00003930" w:rsidRPr="00430728" w:rsidRDefault="005B39B7" w:rsidP="00003930">
            <w:pPr>
              <w:pStyle w:val="TableNumber"/>
              <w:rPr>
                <w:highlight w:val="yellow"/>
              </w:rPr>
            </w:pPr>
            <w:r>
              <w:t>$</w:t>
            </w:r>
            <w:r w:rsidR="00003930" w:rsidRPr="00C91329">
              <w:rPr>
                <w:b/>
                <w:bCs/>
              </w:rPr>
              <w:t>Redacted</w:t>
            </w:r>
            <w:r w:rsidR="00003930" w:rsidRPr="00C91329">
              <w:rPr>
                <w:vertAlign w:val="superscript"/>
              </w:rPr>
              <w:t>2</w:t>
            </w:r>
          </w:p>
        </w:tc>
        <w:tc>
          <w:tcPr>
            <w:tcW w:w="1056" w:type="dxa"/>
            <w:tcBorders>
              <w:top w:val="single" w:sz="4" w:space="0" w:color="000000"/>
              <w:left w:val="single" w:sz="4" w:space="0" w:color="000000"/>
              <w:bottom w:val="single" w:sz="4" w:space="0" w:color="000000"/>
              <w:right w:val="single" w:sz="4" w:space="0" w:color="000000"/>
            </w:tcBorders>
          </w:tcPr>
          <w:p w14:paraId="3C780D3B" w14:textId="35BA0945"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7" w:type="dxa"/>
            <w:tcBorders>
              <w:top w:val="single" w:sz="4" w:space="0" w:color="000000"/>
              <w:left w:val="single" w:sz="4" w:space="0" w:color="000000"/>
              <w:bottom w:val="single" w:sz="4" w:space="0" w:color="000000"/>
              <w:right w:val="single" w:sz="4" w:space="0" w:color="000000"/>
            </w:tcBorders>
          </w:tcPr>
          <w:p w14:paraId="3C780D3C" w14:textId="3D0271C9"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4" w:type="dxa"/>
            <w:tcBorders>
              <w:top w:val="single" w:sz="4" w:space="0" w:color="000000"/>
              <w:left w:val="single" w:sz="4" w:space="0" w:color="000000"/>
              <w:bottom w:val="single" w:sz="4" w:space="0" w:color="000000"/>
              <w:right w:val="single" w:sz="4" w:space="0" w:color="000000"/>
            </w:tcBorders>
          </w:tcPr>
          <w:p w14:paraId="3C780D3D" w14:textId="21D3FE11"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3E" w14:textId="5CC6A80B"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3F" w14:textId="4C298DFB"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r>
      <w:tr w:rsidR="00003930" w14:paraId="3C780D48"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41" w14:textId="77777777" w:rsidR="00003930" w:rsidRDefault="00003930" w:rsidP="00003930">
            <w:pPr>
              <w:pStyle w:val="TableText"/>
              <w:keepNext/>
              <w:rPr>
                <w:vertAlign w:val="superscript"/>
              </w:rPr>
            </w:pPr>
            <w:r>
              <w:t xml:space="preserve">Total ECG </w:t>
            </w:r>
            <w:proofErr w:type="spellStart"/>
            <w:r>
              <w:t>costs</w:t>
            </w:r>
            <w:r>
              <w:rPr>
                <w:vertAlign w:val="superscript"/>
              </w:rPr>
              <w:t>b</w:t>
            </w:r>
            <w:proofErr w:type="spellEnd"/>
          </w:p>
        </w:tc>
        <w:tc>
          <w:tcPr>
            <w:tcW w:w="1055" w:type="dxa"/>
            <w:tcBorders>
              <w:top w:val="single" w:sz="4" w:space="0" w:color="000000"/>
              <w:left w:val="single" w:sz="4" w:space="0" w:color="000000"/>
              <w:bottom w:val="single" w:sz="4" w:space="0" w:color="000000"/>
              <w:right w:val="single" w:sz="4" w:space="0" w:color="000000"/>
            </w:tcBorders>
          </w:tcPr>
          <w:p w14:paraId="3C780D42" w14:textId="7138A3CE" w:rsidR="00003930" w:rsidRPr="00430728" w:rsidRDefault="005B39B7" w:rsidP="00003930">
            <w:pPr>
              <w:pStyle w:val="TableNumber"/>
              <w:rPr>
                <w:highlight w:val="yellow"/>
              </w:rPr>
            </w:pPr>
            <w:r>
              <w:t>$</w:t>
            </w:r>
            <w:r w:rsidR="00003930" w:rsidRPr="00C91329">
              <w:rPr>
                <w:b/>
                <w:bCs/>
              </w:rPr>
              <w:t>Redacted</w:t>
            </w:r>
            <w:r w:rsidR="00003930" w:rsidRPr="00C91329">
              <w:rPr>
                <w:vertAlign w:val="superscript"/>
              </w:rPr>
              <w:t>2</w:t>
            </w:r>
          </w:p>
        </w:tc>
        <w:tc>
          <w:tcPr>
            <w:tcW w:w="1056" w:type="dxa"/>
            <w:tcBorders>
              <w:top w:val="single" w:sz="4" w:space="0" w:color="000000"/>
              <w:left w:val="single" w:sz="4" w:space="0" w:color="000000"/>
              <w:bottom w:val="single" w:sz="4" w:space="0" w:color="000000"/>
              <w:right w:val="single" w:sz="4" w:space="0" w:color="000000"/>
            </w:tcBorders>
          </w:tcPr>
          <w:p w14:paraId="3C780D43" w14:textId="24F11CEF"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7" w:type="dxa"/>
            <w:tcBorders>
              <w:top w:val="single" w:sz="4" w:space="0" w:color="000000"/>
              <w:left w:val="single" w:sz="4" w:space="0" w:color="000000"/>
              <w:bottom w:val="single" w:sz="4" w:space="0" w:color="000000"/>
              <w:right w:val="single" w:sz="4" w:space="0" w:color="000000"/>
            </w:tcBorders>
          </w:tcPr>
          <w:p w14:paraId="3C780D44" w14:textId="50EFC37B"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4" w:type="dxa"/>
            <w:tcBorders>
              <w:top w:val="single" w:sz="4" w:space="0" w:color="000000"/>
              <w:left w:val="single" w:sz="4" w:space="0" w:color="000000"/>
              <w:bottom w:val="single" w:sz="4" w:space="0" w:color="000000"/>
              <w:right w:val="single" w:sz="4" w:space="0" w:color="000000"/>
            </w:tcBorders>
          </w:tcPr>
          <w:p w14:paraId="3C780D45" w14:textId="192B2A8A"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46" w14:textId="280BB658"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47" w14:textId="645F0903"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r>
      <w:tr w:rsidR="00003930" w14:paraId="3C780D50" w14:textId="77777777" w:rsidTr="007E520F">
        <w:trPr>
          <w:cantSplit/>
        </w:trPr>
        <w:tc>
          <w:tcPr>
            <w:tcW w:w="2594" w:type="dxa"/>
            <w:tcBorders>
              <w:top w:val="single" w:sz="4" w:space="0" w:color="000000"/>
              <w:left w:val="single" w:sz="4" w:space="0" w:color="000000"/>
              <w:bottom w:val="single" w:sz="4" w:space="0" w:color="000000"/>
              <w:right w:val="single" w:sz="4" w:space="0" w:color="000000"/>
            </w:tcBorders>
          </w:tcPr>
          <w:p w14:paraId="3C780D49" w14:textId="77777777" w:rsidR="00003930" w:rsidRDefault="00003930" w:rsidP="00003930">
            <w:pPr>
              <w:pStyle w:val="TableText"/>
              <w:keepNext/>
            </w:pPr>
            <w:r>
              <w:t>Net MBS costs (Option 2)</w:t>
            </w:r>
          </w:p>
        </w:tc>
        <w:tc>
          <w:tcPr>
            <w:tcW w:w="1055" w:type="dxa"/>
            <w:tcBorders>
              <w:top w:val="single" w:sz="4" w:space="0" w:color="000000"/>
              <w:left w:val="single" w:sz="4" w:space="0" w:color="000000"/>
              <w:bottom w:val="single" w:sz="4" w:space="0" w:color="000000"/>
              <w:right w:val="single" w:sz="4" w:space="0" w:color="000000"/>
            </w:tcBorders>
          </w:tcPr>
          <w:p w14:paraId="3C780D4A" w14:textId="2CE99707" w:rsidR="00003930" w:rsidRPr="00430728" w:rsidRDefault="005B39B7" w:rsidP="00003930">
            <w:pPr>
              <w:pStyle w:val="TableNumber"/>
              <w:rPr>
                <w:highlight w:val="yellow"/>
              </w:rPr>
            </w:pPr>
            <w:r>
              <w:t>$</w:t>
            </w:r>
            <w:r w:rsidR="00003930" w:rsidRPr="00C91329">
              <w:rPr>
                <w:b/>
                <w:bCs/>
              </w:rPr>
              <w:t>Redacted</w:t>
            </w:r>
            <w:r w:rsidR="00003930" w:rsidRPr="00C91329">
              <w:rPr>
                <w:vertAlign w:val="superscript"/>
              </w:rPr>
              <w:t>2</w:t>
            </w:r>
          </w:p>
        </w:tc>
        <w:tc>
          <w:tcPr>
            <w:tcW w:w="1056" w:type="dxa"/>
            <w:tcBorders>
              <w:top w:val="single" w:sz="4" w:space="0" w:color="000000"/>
              <w:left w:val="single" w:sz="4" w:space="0" w:color="000000"/>
              <w:bottom w:val="single" w:sz="4" w:space="0" w:color="000000"/>
              <w:right w:val="single" w:sz="4" w:space="0" w:color="000000"/>
            </w:tcBorders>
          </w:tcPr>
          <w:p w14:paraId="3C780D4B" w14:textId="1853A057"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7" w:type="dxa"/>
            <w:tcBorders>
              <w:top w:val="single" w:sz="4" w:space="0" w:color="000000"/>
              <w:left w:val="single" w:sz="4" w:space="0" w:color="000000"/>
              <w:bottom w:val="single" w:sz="4" w:space="0" w:color="000000"/>
              <w:right w:val="single" w:sz="4" w:space="0" w:color="000000"/>
            </w:tcBorders>
          </w:tcPr>
          <w:p w14:paraId="3C780D4C" w14:textId="5B3AF74E"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4" w:type="dxa"/>
            <w:tcBorders>
              <w:top w:val="single" w:sz="4" w:space="0" w:color="000000"/>
              <w:left w:val="single" w:sz="4" w:space="0" w:color="000000"/>
              <w:bottom w:val="single" w:sz="4" w:space="0" w:color="000000"/>
              <w:right w:val="single" w:sz="4" w:space="0" w:color="000000"/>
            </w:tcBorders>
          </w:tcPr>
          <w:p w14:paraId="3C780D4D" w14:textId="002E530A"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4E" w14:textId="0C346919"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4F" w14:textId="51B09BFB" w:rsidR="00003930" w:rsidRPr="00430728" w:rsidRDefault="005B39B7" w:rsidP="00003930">
            <w:pPr>
              <w:pStyle w:val="TableNumber"/>
              <w:rPr>
                <w:highlight w:val="yellow"/>
              </w:rPr>
            </w:pPr>
            <w:r>
              <w:t>$</w:t>
            </w:r>
            <w:r w:rsidR="00003930" w:rsidRPr="001C6F97">
              <w:rPr>
                <w:b/>
                <w:bCs/>
              </w:rPr>
              <w:t>Redacted</w:t>
            </w:r>
            <w:r w:rsidR="00003930" w:rsidRPr="001C6F97">
              <w:rPr>
                <w:vertAlign w:val="superscript"/>
              </w:rPr>
              <w:t>2</w:t>
            </w:r>
          </w:p>
        </w:tc>
      </w:tr>
      <w:tr w:rsidR="005B39B7" w14:paraId="3C780D58"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51" w14:textId="77777777" w:rsidR="005B39B7" w:rsidRDefault="005B39B7" w:rsidP="005B39B7">
            <w:pPr>
              <w:pStyle w:val="TableText"/>
              <w:keepNext/>
            </w:pPr>
            <w:r>
              <w:t>Net cost to PBS/RPBS</w:t>
            </w:r>
          </w:p>
        </w:tc>
        <w:tc>
          <w:tcPr>
            <w:tcW w:w="1055" w:type="dxa"/>
            <w:tcBorders>
              <w:top w:val="single" w:sz="4" w:space="0" w:color="000000"/>
              <w:left w:val="single" w:sz="4" w:space="0" w:color="000000"/>
              <w:bottom w:val="single" w:sz="4" w:space="0" w:color="000000"/>
              <w:right w:val="single" w:sz="4" w:space="0" w:color="000000"/>
            </w:tcBorders>
          </w:tcPr>
          <w:p w14:paraId="3C780D52" w14:textId="7F5CC15D" w:rsidR="005B39B7" w:rsidRPr="00430728" w:rsidRDefault="005B39B7" w:rsidP="005B39B7">
            <w:pPr>
              <w:pStyle w:val="TableNumber"/>
              <w:rPr>
                <w:highlight w:val="yellow"/>
              </w:rPr>
            </w:pPr>
            <w:r>
              <w:t>$</w:t>
            </w:r>
            <w:r w:rsidRPr="00C91329">
              <w:rPr>
                <w:b/>
                <w:bCs/>
              </w:rPr>
              <w:t>Redacted</w:t>
            </w:r>
            <w:r w:rsidRPr="00C91329">
              <w:rPr>
                <w:vertAlign w:val="superscript"/>
              </w:rPr>
              <w:t>2</w:t>
            </w:r>
          </w:p>
        </w:tc>
        <w:tc>
          <w:tcPr>
            <w:tcW w:w="1056" w:type="dxa"/>
            <w:tcBorders>
              <w:top w:val="single" w:sz="4" w:space="0" w:color="000000"/>
              <w:left w:val="single" w:sz="4" w:space="0" w:color="000000"/>
              <w:bottom w:val="single" w:sz="4" w:space="0" w:color="000000"/>
              <w:right w:val="single" w:sz="4" w:space="0" w:color="000000"/>
            </w:tcBorders>
            <w:vAlign w:val="center"/>
          </w:tcPr>
          <w:p w14:paraId="3C780D53" w14:textId="247311DC" w:rsidR="005B39B7" w:rsidRPr="00430728" w:rsidRDefault="005B39B7" w:rsidP="005B39B7">
            <w:pPr>
              <w:pStyle w:val="TableNumber"/>
              <w:rPr>
                <w:highlight w:val="yellow"/>
              </w:rPr>
            </w:pPr>
            <w:r>
              <w:t>$</w:t>
            </w:r>
            <w:r w:rsidRPr="00077CA5">
              <w:rPr>
                <w:b/>
                <w:bCs/>
              </w:rPr>
              <w:t>Redacted</w:t>
            </w:r>
            <w:r>
              <w:rPr>
                <w:vertAlign w:val="superscript"/>
              </w:rPr>
              <w:t>2</w:t>
            </w:r>
          </w:p>
        </w:tc>
        <w:tc>
          <w:tcPr>
            <w:tcW w:w="1057" w:type="dxa"/>
            <w:tcBorders>
              <w:top w:val="single" w:sz="4" w:space="0" w:color="000000"/>
              <w:left w:val="single" w:sz="4" w:space="0" w:color="000000"/>
              <w:bottom w:val="single" w:sz="4" w:space="0" w:color="000000"/>
              <w:right w:val="single" w:sz="4" w:space="0" w:color="000000"/>
            </w:tcBorders>
            <w:vAlign w:val="center"/>
          </w:tcPr>
          <w:p w14:paraId="3C780D54" w14:textId="6D80EF2C" w:rsidR="005B39B7" w:rsidRPr="00430728" w:rsidRDefault="005B39B7" w:rsidP="005B39B7">
            <w:pPr>
              <w:pStyle w:val="TableNumber"/>
              <w:rPr>
                <w:highlight w:val="yellow"/>
              </w:rPr>
            </w:pPr>
            <w:r>
              <w:t>$</w:t>
            </w:r>
            <w:r w:rsidRPr="00077CA5">
              <w:rPr>
                <w:b/>
                <w:bCs/>
              </w:rPr>
              <w:t>Redacted</w:t>
            </w:r>
            <w:r>
              <w:rPr>
                <w:vertAlign w:val="superscript"/>
              </w:rPr>
              <w:t>3</w:t>
            </w:r>
          </w:p>
        </w:tc>
        <w:tc>
          <w:tcPr>
            <w:tcW w:w="1054" w:type="dxa"/>
            <w:tcBorders>
              <w:top w:val="single" w:sz="4" w:space="0" w:color="000000"/>
              <w:left w:val="single" w:sz="4" w:space="0" w:color="000000"/>
              <w:bottom w:val="single" w:sz="4" w:space="0" w:color="000000"/>
              <w:right w:val="single" w:sz="4" w:space="0" w:color="000000"/>
            </w:tcBorders>
          </w:tcPr>
          <w:p w14:paraId="3C780D55" w14:textId="06646B6A" w:rsidR="005B39B7" w:rsidRPr="00430728" w:rsidRDefault="005B39B7" w:rsidP="005B39B7">
            <w:pPr>
              <w:pStyle w:val="TableNumber"/>
              <w:rPr>
                <w:highlight w:val="yellow"/>
              </w:rPr>
            </w:pPr>
            <w:r>
              <w:t>$</w:t>
            </w:r>
            <w:r w:rsidRPr="002C5D96">
              <w:rPr>
                <w:b/>
                <w:bCs/>
              </w:rPr>
              <w:t>Redacted</w:t>
            </w:r>
            <w:r w:rsidRPr="002C5D96">
              <w:rPr>
                <w:vertAlign w:val="superscript"/>
              </w:rPr>
              <w:t>3</w:t>
            </w:r>
          </w:p>
        </w:tc>
        <w:tc>
          <w:tcPr>
            <w:tcW w:w="1055" w:type="dxa"/>
            <w:tcBorders>
              <w:top w:val="single" w:sz="4" w:space="0" w:color="000000"/>
              <w:left w:val="single" w:sz="4" w:space="0" w:color="000000"/>
              <w:bottom w:val="single" w:sz="4" w:space="0" w:color="000000"/>
              <w:right w:val="single" w:sz="4" w:space="0" w:color="000000"/>
            </w:tcBorders>
          </w:tcPr>
          <w:p w14:paraId="3C780D56" w14:textId="557981DF" w:rsidR="005B39B7" w:rsidRPr="00430728" w:rsidRDefault="005B39B7" w:rsidP="005B39B7">
            <w:pPr>
              <w:pStyle w:val="TableNumber"/>
              <w:rPr>
                <w:highlight w:val="yellow"/>
              </w:rPr>
            </w:pPr>
            <w:r>
              <w:t>$</w:t>
            </w:r>
            <w:r w:rsidRPr="002C5D96">
              <w:rPr>
                <w:b/>
                <w:bCs/>
              </w:rPr>
              <w:t>Redacted</w:t>
            </w:r>
            <w:r w:rsidRPr="002C5D96">
              <w:rPr>
                <w:vertAlign w:val="superscript"/>
              </w:rPr>
              <w:t>3</w:t>
            </w:r>
          </w:p>
        </w:tc>
        <w:tc>
          <w:tcPr>
            <w:tcW w:w="1055" w:type="dxa"/>
            <w:tcBorders>
              <w:top w:val="single" w:sz="4" w:space="0" w:color="000000"/>
              <w:left w:val="single" w:sz="4" w:space="0" w:color="000000"/>
              <w:bottom w:val="single" w:sz="4" w:space="0" w:color="000000"/>
              <w:right w:val="single" w:sz="4" w:space="0" w:color="000000"/>
            </w:tcBorders>
            <w:vAlign w:val="center"/>
          </w:tcPr>
          <w:p w14:paraId="3C780D57" w14:textId="317822FA" w:rsidR="005B39B7" w:rsidRPr="00430728" w:rsidRDefault="005B39B7" w:rsidP="005B39B7">
            <w:pPr>
              <w:pStyle w:val="TableNumber"/>
              <w:rPr>
                <w:highlight w:val="yellow"/>
              </w:rPr>
            </w:pPr>
            <w:r>
              <w:t>$</w:t>
            </w:r>
            <w:r w:rsidRPr="00077CA5">
              <w:rPr>
                <w:b/>
                <w:bCs/>
              </w:rPr>
              <w:t>Redacted</w:t>
            </w:r>
            <w:r>
              <w:rPr>
                <w:vertAlign w:val="superscript"/>
              </w:rPr>
              <w:t>4</w:t>
            </w:r>
          </w:p>
        </w:tc>
      </w:tr>
      <w:tr w:rsidR="002F03F5" w14:paraId="3C780D5A" w14:textId="77777777" w:rsidTr="007E520F">
        <w:trPr>
          <w:cantSplit/>
        </w:trPr>
        <w:tc>
          <w:tcPr>
            <w:tcW w:w="8926" w:type="dxa"/>
            <w:gridSpan w:val="7"/>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C780D59" w14:textId="77777777" w:rsidR="002F03F5" w:rsidRDefault="008F23FF">
            <w:pPr>
              <w:pStyle w:val="TableText"/>
              <w:keepNext/>
              <w:jc w:val="center"/>
              <w:rPr>
                <w:b/>
              </w:rPr>
            </w:pPr>
            <w:r>
              <w:rPr>
                <w:b/>
              </w:rPr>
              <w:t>Alternative estimates conducted by the commentary</w:t>
            </w:r>
          </w:p>
        </w:tc>
      </w:tr>
      <w:tr w:rsidR="002F03F5" w14:paraId="3C780D5C" w14:textId="77777777" w:rsidTr="007E520F">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0D5B" w14:textId="489DBC47" w:rsidR="002F03F5" w:rsidRDefault="008F23FF">
            <w:pPr>
              <w:pStyle w:val="TableText"/>
              <w:keepNext/>
              <w:rPr>
                <w:b/>
              </w:rPr>
            </w:pPr>
            <w:r>
              <w:rPr>
                <w:b/>
              </w:rPr>
              <w:t>Estimated extent of use of somatic</w:t>
            </w:r>
            <w:r>
              <w:rPr>
                <w:b/>
                <w:i/>
              </w:rPr>
              <w:t xml:space="preserve"> </w:t>
            </w:r>
            <w:r w:rsidR="00B14353" w:rsidRPr="00B14353">
              <w:rPr>
                <w:b/>
                <w:i/>
                <w:iCs/>
              </w:rPr>
              <w:t>RET</w:t>
            </w:r>
            <w:r>
              <w:rPr>
                <w:b/>
                <w:i/>
                <w:iCs/>
              </w:rPr>
              <w:t xml:space="preserve"> </w:t>
            </w:r>
            <w:r>
              <w:rPr>
                <w:b/>
              </w:rPr>
              <w:t>variant testing</w:t>
            </w:r>
          </w:p>
        </w:tc>
      </w:tr>
      <w:tr w:rsidR="007E520F" w14:paraId="3C780D64"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5D" w14:textId="77777777" w:rsidR="007E520F" w:rsidRDefault="007E520F" w:rsidP="007E520F">
            <w:pPr>
              <w:pStyle w:val="TableText"/>
              <w:keepNext/>
            </w:pPr>
            <w:r>
              <w:t>Number of patients tested if tested at diagnosis of MTC (Option 2)</w:t>
            </w:r>
          </w:p>
        </w:tc>
        <w:tc>
          <w:tcPr>
            <w:tcW w:w="1055" w:type="dxa"/>
            <w:tcBorders>
              <w:top w:val="single" w:sz="4" w:space="0" w:color="000000"/>
              <w:left w:val="single" w:sz="4" w:space="0" w:color="000000"/>
              <w:bottom w:val="single" w:sz="4" w:space="0" w:color="000000"/>
              <w:right w:val="single" w:sz="4" w:space="0" w:color="000000"/>
            </w:tcBorders>
            <w:vAlign w:val="center"/>
          </w:tcPr>
          <w:p w14:paraId="3C780D5E" w14:textId="57EB4766" w:rsidR="007E520F" w:rsidRPr="00430728" w:rsidRDefault="005B39B7" w:rsidP="007E520F">
            <w:pPr>
              <w:pStyle w:val="TableNumber"/>
              <w:rPr>
                <w:highlight w:val="yellow"/>
                <w:vertAlign w:val="superscript"/>
              </w:rPr>
            </w:pPr>
            <w:r w:rsidRPr="00077CA5">
              <w:rPr>
                <w:b/>
                <w:bCs/>
              </w:rPr>
              <w:t>Redacted</w:t>
            </w:r>
            <w:r>
              <w:rPr>
                <w:vertAlign w:val="superscript"/>
              </w:rPr>
              <w:t>5</w:t>
            </w:r>
          </w:p>
        </w:tc>
        <w:tc>
          <w:tcPr>
            <w:tcW w:w="1056" w:type="dxa"/>
            <w:tcBorders>
              <w:top w:val="single" w:sz="4" w:space="0" w:color="000000"/>
              <w:left w:val="single" w:sz="4" w:space="0" w:color="000000"/>
              <w:bottom w:val="single" w:sz="4" w:space="0" w:color="000000"/>
              <w:right w:val="single" w:sz="4" w:space="0" w:color="000000"/>
            </w:tcBorders>
          </w:tcPr>
          <w:p w14:paraId="3C780D5F" w14:textId="781EE7E5"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7" w:type="dxa"/>
            <w:tcBorders>
              <w:top w:val="single" w:sz="4" w:space="0" w:color="000000"/>
              <w:left w:val="single" w:sz="4" w:space="0" w:color="000000"/>
              <w:bottom w:val="single" w:sz="4" w:space="0" w:color="000000"/>
              <w:right w:val="single" w:sz="4" w:space="0" w:color="000000"/>
            </w:tcBorders>
          </w:tcPr>
          <w:p w14:paraId="3C780D60" w14:textId="54B34635"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4" w:type="dxa"/>
            <w:tcBorders>
              <w:top w:val="single" w:sz="4" w:space="0" w:color="000000"/>
              <w:left w:val="single" w:sz="4" w:space="0" w:color="000000"/>
              <w:bottom w:val="single" w:sz="4" w:space="0" w:color="000000"/>
              <w:right w:val="single" w:sz="4" w:space="0" w:color="000000"/>
            </w:tcBorders>
          </w:tcPr>
          <w:p w14:paraId="3C780D61" w14:textId="7C994F91"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62" w14:textId="208E7898"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63" w14:textId="14B53012" w:rsidR="007E520F" w:rsidRPr="00430728" w:rsidRDefault="007E520F" w:rsidP="007E520F">
            <w:pPr>
              <w:pStyle w:val="TableNumber"/>
              <w:rPr>
                <w:highlight w:val="yellow"/>
              </w:rPr>
            </w:pPr>
            <w:r w:rsidRPr="006B185D">
              <w:rPr>
                <w:b/>
                <w:bCs/>
              </w:rPr>
              <w:t>Redacted</w:t>
            </w:r>
            <w:r w:rsidRPr="006B185D">
              <w:rPr>
                <w:vertAlign w:val="superscript"/>
              </w:rPr>
              <w:t>1</w:t>
            </w:r>
          </w:p>
        </w:tc>
      </w:tr>
      <w:tr w:rsidR="007E520F" w14:paraId="3C780D6C"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65" w14:textId="77777777" w:rsidR="007E520F" w:rsidRDefault="007E520F" w:rsidP="007E520F">
            <w:pPr>
              <w:pStyle w:val="TableText"/>
              <w:keepNext/>
            </w:pPr>
            <w:r>
              <w:t>Number of patients tested if tested at stage III/IV MTC (Option 1)</w:t>
            </w:r>
          </w:p>
        </w:tc>
        <w:tc>
          <w:tcPr>
            <w:tcW w:w="1055" w:type="dxa"/>
            <w:tcBorders>
              <w:top w:val="single" w:sz="4" w:space="0" w:color="000000"/>
              <w:left w:val="single" w:sz="4" w:space="0" w:color="000000"/>
              <w:bottom w:val="single" w:sz="4" w:space="0" w:color="000000"/>
              <w:right w:val="single" w:sz="4" w:space="0" w:color="000000"/>
            </w:tcBorders>
            <w:vAlign w:val="center"/>
          </w:tcPr>
          <w:p w14:paraId="3C780D66" w14:textId="0F6DC9C6" w:rsidR="007E520F" w:rsidRPr="00430728" w:rsidRDefault="005B39B7" w:rsidP="007E520F">
            <w:pPr>
              <w:pStyle w:val="TableNumber"/>
              <w:rPr>
                <w:highlight w:val="yellow"/>
                <w:vertAlign w:val="superscript"/>
              </w:rPr>
            </w:pPr>
            <w:r w:rsidRPr="00077CA5">
              <w:rPr>
                <w:b/>
                <w:bCs/>
              </w:rPr>
              <w:t>Redacted</w:t>
            </w:r>
            <w:r w:rsidRPr="00430728">
              <w:rPr>
                <w:vertAlign w:val="superscript"/>
              </w:rPr>
              <w:t>5</w:t>
            </w:r>
          </w:p>
        </w:tc>
        <w:tc>
          <w:tcPr>
            <w:tcW w:w="1056" w:type="dxa"/>
            <w:tcBorders>
              <w:top w:val="single" w:sz="4" w:space="0" w:color="000000"/>
              <w:left w:val="single" w:sz="4" w:space="0" w:color="000000"/>
              <w:bottom w:val="single" w:sz="4" w:space="0" w:color="000000"/>
              <w:right w:val="single" w:sz="4" w:space="0" w:color="000000"/>
            </w:tcBorders>
          </w:tcPr>
          <w:p w14:paraId="3C780D67" w14:textId="732B7221"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7" w:type="dxa"/>
            <w:tcBorders>
              <w:top w:val="single" w:sz="4" w:space="0" w:color="000000"/>
              <w:left w:val="single" w:sz="4" w:space="0" w:color="000000"/>
              <w:bottom w:val="single" w:sz="4" w:space="0" w:color="000000"/>
              <w:right w:val="single" w:sz="4" w:space="0" w:color="000000"/>
            </w:tcBorders>
          </w:tcPr>
          <w:p w14:paraId="3C780D68" w14:textId="64C65DFD"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4" w:type="dxa"/>
            <w:tcBorders>
              <w:top w:val="single" w:sz="4" w:space="0" w:color="000000"/>
              <w:left w:val="single" w:sz="4" w:space="0" w:color="000000"/>
              <w:bottom w:val="single" w:sz="4" w:space="0" w:color="000000"/>
              <w:right w:val="single" w:sz="4" w:space="0" w:color="000000"/>
            </w:tcBorders>
          </w:tcPr>
          <w:p w14:paraId="3C780D69" w14:textId="6AEFC4B7"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6A" w14:textId="0B5A82B7"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6B" w14:textId="2A555F0E" w:rsidR="007E520F" w:rsidRPr="00430728" w:rsidRDefault="007E520F" w:rsidP="007E520F">
            <w:pPr>
              <w:pStyle w:val="TableNumber"/>
              <w:rPr>
                <w:highlight w:val="yellow"/>
              </w:rPr>
            </w:pPr>
            <w:r w:rsidRPr="006B185D">
              <w:rPr>
                <w:b/>
                <w:bCs/>
              </w:rPr>
              <w:t>Redacted</w:t>
            </w:r>
            <w:r w:rsidRPr="006B185D">
              <w:rPr>
                <w:vertAlign w:val="superscript"/>
              </w:rPr>
              <w:t>1</w:t>
            </w:r>
          </w:p>
        </w:tc>
      </w:tr>
      <w:tr w:rsidR="007E520F" w14:paraId="3C780D74"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6D" w14:textId="77777777" w:rsidR="007E520F" w:rsidRDefault="007E520F" w:rsidP="007E520F">
            <w:pPr>
              <w:pStyle w:val="TableText"/>
              <w:keepNext/>
            </w:pPr>
            <w:r>
              <w:t>Number of patients treated</w:t>
            </w:r>
          </w:p>
        </w:tc>
        <w:tc>
          <w:tcPr>
            <w:tcW w:w="1055" w:type="dxa"/>
            <w:tcBorders>
              <w:top w:val="single" w:sz="4" w:space="0" w:color="000000"/>
              <w:left w:val="single" w:sz="4" w:space="0" w:color="000000"/>
              <w:bottom w:val="single" w:sz="4" w:space="0" w:color="000000"/>
              <w:right w:val="single" w:sz="4" w:space="0" w:color="000000"/>
            </w:tcBorders>
            <w:vAlign w:val="center"/>
          </w:tcPr>
          <w:p w14:paraId="3C780D6E" w14:textId="282C54E2" w:rsidR="007E520F" w:rsidRPr="00430728" w:rsidRDefault="007E520F" w:rsidP="007E520F">
            <w:pPr>
              <w:pStyle w:val="TableNumber"/>
              <w:rPr>
                <w:highlight w:val="yellow"/>
              </w:rPr>
            </w:pPr>
            <w:r w:rsidRPr="00077CA5">
              <w:rPr>
                <w:b/>
                <w:bCs/>
              </w:rPr>
              <w:t>Redacted</w:t>
            </w:r>
            <w:r w:rsidRPr="00077CA5">
              <w:rPr>
                <w:vertAlign w:val="superscript"/>
              </w:rPr>
              <w:t>1</w:t>
            </w:r>
          </w:p>
        </w:tc>
        <w:tc>
          <w:tcPr>
            <w:tcW w:w="1056" w:type="dxa"/>
            <w:tcBorders>
              <w:top w:val="single" w:sz="4" w:space="0" w:color="000000"/>
              <w:left w:val="single" w:sz="4" w:space="0" w:color="000000"/>
              <w:bottom w:val="single" w:sz="4" w:space="0" w:color="000000"/>
              <w:right w:val="single" w:sz="4" w:space="0" w:color="000000"/>
            </w:tcBorders>
          </w:tcPr>
          <w:p w14:paraId="3C780D6F" w14:textId="47C12FCD"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7" w:type="dxa"/>
            <w:tcBorders>
              <w:top w:val="single" w:sz="4" w:space="0" w:color="000000"/>
              <w:left w:val="single" w:sz="4" w:space="0" w:color="000000"/>
              <w:bottom w:val="single" w:sz="4" w:space="0" w:color="000000"/>
              <w:right w:val="single" w:sz="4" w:space="0" w:color="000000"/>
            </w:tcBorders>
          </w:tcPr>
          <w:p w14:paraId="3C780D70" w14:textId="03DFD23A"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4" w:type="dxa"/>
            <w:tcBorders>
              <w:top w:val="single" w:sz="4" w:space="0" w:color="000000"/>
              <w:left w:val="single" w:sz="4" w:space="0" w:color="000000"/>
              <w:bottom w:val="single" w:sz="4" w:space="0" w:color="000000"/>
              <w:right w:val="single" w:sz="4" w:space="0" w:color="000000"/>
            </w:tcBorders>
          </w:tcPr>
          <w:p w14:paraId="3C780D71" w14:textId="2E3A7E35"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72" w14:textId="150871C7" w:rsidR="007E520F" w:rsidRPr="00430728" w:rsidRDefault="007E520F" w:rsidP="007E520F">
            <w:pPr>
              <w:pStyle w:val="TableNumber"/>
              <w:rPr>
                <w:highlight w:val="yellow"/>
              </w:rPr>
            </w:pPr>
            <w:r w:rsidRPr="006B185D">
              <w:rPr>
                <w:b/>
                <w:bCs/>
              </w:rPr>
              <w:t>Redacted</w:t>
            </w:r>
            <w:r w:rsidRPr="006B185D">
              <w:rPr>
                <w:vertAlign w:val="superscript"/>
              </w:rPr>
              <w:t>1</w:t>
            </w:r>
          </w:p>
        </w:tc>
        <w:tc>
          <w:tcPr>
            <w:tcW w:w="1055" w:type="dxa"/>
            <w:tcBorders>
              <w:top w:val="single" w:sz="4" w:space="0" w:color="000000"/>
              <w:left w:val="single" w:sz="4" w:space="0" w:color="000000"/>
              <w:bottom w:val="single" w:sz="4" w:space="0" w:color="000000"/>
              <w:right w:val="single" w:sz="4" w:space="0" w:color="000000"/>
            </w:tcBorders>
          </w:tcPr>
          <w:p w14:paraId="3C780D73" w14:textId="00018D74" w:rsidR="007E520F" w:rsidRPr="00430728" w:rsidRDefault="007E520F" w:rsidP="007E520F">
            <w:pPr>
              <w:pStyle w:val="TableNumber"/>
              <w:rPr>
                <w:highlight w:val="yellow"/>
              </w:rPr>
            </w:pPr>
            <w:r w:rsidRPr="006B185D">
              <w:rPr>
                <w:b/>
                <w:bCs/>
              </w:rPr>
              <w:t>Redacted</w:t>
            </w:r>
            <w:r w:rsidRPr="006B185D">
              <w:rPr>
                <w:vertAlign w:val="superscript"/>
              </w:rPr>
              <w:t>1</w:t>
            </w:r>
          </w:p>
        </w:tc>
      </w:tr>
      <w:tr w:rsidR="002F03F5" w14:paraId="3C780D76" w14:textId="77777777" w:rsidTr="007E520F">
        <w:trPr>
          <w:cantSplit/>
        </w:trPr>
        <w:tc>
          <w:tcPr>
            <w:tcW w:w="8926" w:type="dxa"/>
            <w:gridSpan w:val="7"/>
            <w:tcBorders>
              <w:top w:val="single" w:sz="4" w:space="0" w:color="000000"/>
              <w:left w:val="single" w:sz="4" w:space="0" w:color="000000"/>
              <w:bottom w:val="single" w:sz="4" w:space="0" w:color="000000"/>
              <w:right w:val="single" w:sz="4" w:space="0" w:color="000000"/>
            </w:tcBorders>
            <w:vAlign w:val="center"/>
          </w:tcPr>
          <w:p w14:paraId="3C780D75" w14:textId="77777777" w:rsidR="002F03F5" w:rsidRDefault="008F23FF">
            <w:pPr>
              <w:pStyle w:val="TableText"/>
              <w:keepNext/>
              <w:rPr>
                <w:b/>
                <w:bCs/>
              </w:rPr>
            </w:pPr>
            <w:r>
              <w:rPr>
                <w:b/>
                <w:bCs/>
              </w:rPr>
              <w:t>Financial implications to the MBS</w:t>
            </w:r>
            <w:r>
              <w:rPr>
                <w:b/>
              </w:rPr>
              <w:t xml:space="preserve"> </w:t>
            </w:r>
            <w:r>
              <w:rPr>
                <w:b/>
                <w:bCs/>
              </w:rPr>
              <w:t xml:space="preserve">and </w:t>
            </w:r>
            <w:proofErr w:type="spellStart"/>
            <w:r>
              <w:rPr>
                <w:b/>
                <w:bCs/>
              </w:rPr>
              <w:t>PBS</w:t>
            </w:r>
            <w:r>
              <w:rPr>
                <w:vertAlign w:val="superscript"/>
              </w:rPr>
              <w:t>a</w:t>
            </w:r>
            <w:proofErr w:type="spellEnd"/>
          </w:p>
        </w:tc>
      </w:tr>
      <w:tr w:rsidR="005B39B7" w14:paraId="3C780D7E" w14:textId="77777777" w:rsidTr="007E520F">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77" w14:textId="77777777" w:rsidR="005B39B7" w:rsidRDefault="005B39B7" w:rsidP="005B39B7">
            <w:pPr>
              <w:pStyle w:val="TableText"/>
              <w:keepNext/>
            </w:pPr>
            <w:r>
              <w:t>Testing cost to MBS (Option 2)</w:t>
            </w:r>
          </w:p>
        </w:tc>
        <w:tc>
          <w:tcPr>
            <w:tcW w:w="1055" w:type="dxa"/>
            <w:tcBorders>
              <w:top w:val="single" w:sz="4" w:space="0" w:color="000000"/>
              <w:left w:val="single" w:sz="4" w:space="0" w:color="000000"/>
              <w:bottom w:val="single" w:sz="4" w:space="0" w:color="000000"/>
              <w:right w:val="single" w:sz="4" w:space="0" w:color="000000"/>
            </w:tcBorders>
          </w:tcPr>
          <w:p w14:paraId="3C780D78" w14:textId="1167EFBF"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6" w:type="dxa"/>
            <w:tcBorders>
              <w:top w:val="single" w:sz="4" w:space="0" w:color="000000"/>
              <w:left w:val="single" w:sz="4" w:space="0" w:color="000000"/>
              <w:bottom w:val="single" w:sz="4" w:space="0" w:color="000000"/>
              <w:right w:val="single" w:sz="4" w:space="0" w:color="000000"/>
            </w:tcBorders>
          </w:tcPr>
          <w:p w14:paraId="3C780D79" w14:textId="2ACDCE47"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7" w:type="dxa"/>
            <w:tcBorders>
              <w:top w:val="single" w:sz="4" w:space="0" w:color="000000"/>
              <w:left w:val="single" w:sz="4" w:space="0" w:color="000000"/>
              <w:bottom w:val="single" w:sz="4" w:space="0" w:color="000000"/>
              <w:right w:val="single" w:sz="4" w:space="0" w:color="000000"/>
            </w:tcBorders>
          </w:tcPr>
          <w:p w14:paraId="3C780D7A" w14:textId="4CF1AE7F"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4" w:type="dxa"/>
            <w:tcBorders>
              <w:top w:val="single" w:sz="4" w:space="0" w:color="000000"/>
              <w:left w:val="single" w:sz="4" w:space="0" w:color="000000"/>
              <w:bottom w:val="single" w:sz="4" w:space="0" w:color="000000"/>
              <w:right w:val="single" w:sz="4" w:space="0" w:color="000000"/>
            </w:tcBorders>
          </w:tcPr>
          <w:p w14:paraId="3C780D7B" w14:textId="02D4DA13"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7C" w14:textId="630F28E8"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7D" w14:textId="67681373"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r>
      <w:tr w:rsidR="005B39B7" w14:paraId="3C780D86" w14:textId="77777777" w:rsidTr="007E520F">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7F" w14:textId="77777777" w:rsidR="005B39B7" w:rsidRDefault="005B39B7" w:rsidP="005B39B7">
            <w:pPr>
              <w:pStyle w:val="TableText"/>
              <w:keepNext/>
            </w:pPr>
            <w:r>
              <w:t>Testing cost to MBS (Option 1)</w:t>
            </w:r>
          </w:p>
        </w:tc>
        <w:tc>
          <w:tcPr>
            <w:tcW w:w="1055" w:type="dxa"/>
            <w:tcBorders>
              <w:top w:val="single" w:sz="4" w:space="0" w:color="000000"/>
              <w:left w:val="single" w:sz="4" w:space="0" w:color="000000"/>
              <w:bottom w:val="single" w:sz="4" w:space="0" w:color="000000"/>
              <w:right w:val="single" w:sz="4" w:space="0" w:color="000000"/>
            </w:tcBorders>
          </w:tcPr>
          <w:p w14:paraId="3C780D80" w14:textId="0FB5C1B3"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6" w:type="dxa"/>
            <w:tcBorders>
              <w:top w:val="single" w:sz="4" w:space="0" w:color="000000"/>
              <w:left w:val="single" w:sz="4" w:space="0" w:color="000000"/>
              <w:bottom w:val="single" w:sz="4" w:space="0" w:color="000000"/>
              <w:right w:val="single" w:sz="4" w:space="0" w:color="000000"/>
            </w:tcBorders>
          </w:tcPr>
          <w:p w14:paraId="3C780D81" w14:textId="422EFFC8"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7" w:type="dxa"/>
            <w:tcBorders>
              <w:top w:val="single" w:sz="4" w:space="0" w:color="000000"/>
              <w:left w:val="single" w:sz="4" w:space="0" w:color="000000"/>
              <w:bottom w:val="single" w:sz="4" w:space="0" w:color="000000"/>
              <w:right w:val="single" w:sz="4" w:space="0" w:color="000000"/>
            </w:tcBorders>
          </w:tcPr>
          <w:p w14:paraId="3C780D82" w14:textId="4248D4F8"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4" w:type="dxa"/>
            <w:tcBorders>
              <w:top w:val="single" w:sz="4" w:space="0" w:color="000000"/>
              <w:left w:val="single" w:sz="4" w:space="0" w:color="000000"/>
              <w:bottom w:val="single" w:sz="4" w:space="0" w:color="000000"/>
              <w:right w:val="single" w:sz="4" w:space="0" w:color="000000"/>
            </w:tcBorders>
          </w:tcPr>
          <w:p w14:paraId="3C780D83" w14:textId="71BA2305"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84" w14:textId="47F42A60"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85" w14:textId="113CC5DC"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r>
      <w:tr w:rsidR="005B39B7" w14:paraId="3C780D8E"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87" w14:textId="77777777" w:rsidR="005B39B7" w:rsidRDefault="005B39B7" w:rsidP="005B39B7">
            <w:pPr>
              <w:pStyle w:val="TableText"/>
              <w:keepNext/>
            </w:pPr>
            <w:r>
              <w:t>Total ECG costs</w:t>
            </w:r>
          </w:p>
        </w:tc>
        <w:tc>
          <w:tcPr>
            <w:tcW w:w="1055" w:type="dxa"/>
            <w:tcBorders>
              <w:top w:val="single" w:sz="4" w:space="0" w:color="000000"/>
              <w:left w:val="single" w:sz="4" w:space="0" w:color="000000"/>
              <w:bottom w:val="single" w:sz="4" w:space="0" w:color="000000"/>
              <w:right w:val="single" w:sz="4" w:space="0" w:color="000000"/>
            </w:tcBorders>
          </w:tcPr>
          <w:p w14:paraId="3C780D88" w14:textId="72DB985A"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6" w:type="dxa"/>
            <w:tcBorders>
              <w:top w:val="single" w:sz="4" w:space="0" w:color="000000"/>
              <w:left w:val="single" w:sz="4" w:space="0" w:color="000000"/>
              <w:bottom w:val="single" w:sz="4" w:space="0" w:color="000000"/>
              <w:right w:val="single" w:sz="4" w:space="0" w:color="000000"/>
            </w:tcBorders>
          </w:tcPr>
          <w:p w14:paraId="3C780D89" w14:textId="0CDAD4DC"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7" w:type="dxa"/>
            <w:tcBorders>
              <w:top w:val="single" w:sz="4" w:space="0" w:color="000000"/>
              <w:left w:val="single" w:sz="4" w:space="0" w:color="000000"/>
              <w:bottom w:val="single" w:sz="4" w:space="0" w:color="000000"/>
              <w:right w:val="single" w:sz="4" w:space="0" w:color="000000"/>
            </w:tcBorders>
          </w:tcPr>
          <w:p w14:paraId="3C780D8A" w14:textId="04FB1224"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4" w:type="dxa"/>
            <w:tcBorders>
              <w:top w:val="single" w:sz="4" w:space="0" w:color="000000"/>
              <w:left w:val="single" w:sz="4" w:space="0" w:color="000000"/>
              <w:bottom w:val="single" w:sz="4" w:space="0" w:color="000000"/>
              <w:right w:val="single" w:sz="4" w:space="0" w:color="000000"/>
            </w:tcBorders>
          </w:tcPr>
          <w:p w14:paraId="3C780D8B" w14:textId="147FA3BA"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8C" w14:textId="2C6280C4"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8D" w14:textId="29188A00"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r>
      <w:tr w:rsidR="005B39B7" w14:paraId="3C780D96" w14:textId="77777777" w:rsidTr="00430728">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8F" w14:textId="77777777" w:rsidR="005B39B7" w:rsidRDefault="005B39B7" w:rsidP="005B39B7">
            <w:pPr>
              <w:pStyle w:val="TableText"/>
              <w:keepNext/>
            </w:pPr>
            <w:r>
              <w:t>Net MBS costs (Option 2)</w:t>
            </w:r>
          </w:p>
        </w:tc>
        <w:tc>
          <w:tcPr>
            <w:tcW w:w="1055" w:type="dxa"/>
            <w:tcBorders>
              <w:top w:val="single" w:sz="4" w:space="0" w:color="000000"/>
              <w:left w:val="single" w:sz="4" w:space="0" w:color="000000"/>
              <w:bottom w:val="single" w:sz="4" w:space="0" w:color="000000"/>
              <w:right w:val="single" w:sz="4" w:space="0" w:color="000000"/>
            </w:tcBorders>
          </w:tcPr>
          <w:p w14:paraId="3C780D90" w14:textId="33D8045E"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6" w:type="dxa"/>
            <w:tcBorders>
              <w:top w:val="single" w:sz="4" w:space="0" w:color="000000"/>
              <w:left w:val="single" w:sz="4" w:space="0" w:color="000000"/>
              <w:bottom w:val="single" w:sz="4" w:space="0" w:color="000000"/>
              <w:right w:val="single" w:sz="4" w:space="0" w:color="000000"/>
            </w:tcBorders>
          </w:tcPr>
          <w:p w14:paraId="3C780D91" w14:textId="37337557"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7" w:type="dxa"/>
            <w:tcBorders>
              <w:top w:val="single" w:sz="4" w:space="0" w:color="000000"/>
              <w:left w:val="single" w:sz="4" w:space="0" w:color="000000"/>
              <w:bottom w:val="single" w:sz="4" w:space="0" w:color="000000"/>
              <w:right w:val="single" w:sz="4" w:space="0" w:color="000000"/>
            </w:tcBorders>
          </w:tcPr>
          <w:p w14:paraId="3C780D92" w14:textId="7824A9F5"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4" w:type="dxa"/>
            <w:tcBorders>
              <w:top w:val="single" w:sz="4" w:space="0" w:color="000000"/>
              <w:left w:val="single" w:sz="4" w:space="0" w:color="000000"/>
              <w:bottom w:val="single" w:sz="4" w:space="0" w:color="000000"/>
              <w:right w:val="single" w:sz="4" w:space="0" w:color="000000"/>
            </w:tcBorders>
          </w:tcPr>
          <w:p w14:paraId="3C780D93" w14:textId="0A2DE6C7"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94" w14:textId="056BE26F"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c>
          <w:tcPr>
            <w:tcW w:w="1055" w:type="dxa"/>
            <w:tcBorders>
              <w:top w:val="single" w:sz="4" w:space="0" w:color="000000"/>
              <w:left w:val="single" w:sz="4" w:space="0" w:color="000000"/>
              <w:bottom w:val="single" w:sz="4" w:space="0" w:color="000000"/>
              <w:right w:val="single" w:sz="4" w:space="0" w:color="000000"/>
            </w:tcBorders>
          </w:tcPr>
          <w:p w14:paraId="3C780D95" w14:textId="63A04C17" w:rsidR="005B39B7" w:rsidRPr="00430728" w:rsidRDefault="005B39B7" w:rsidP="005B39B7">
            <w:pPr>
              <w:pStyle w:val="TableNumber"/>
              <w:rPr>
                <w:highlight w:val="yellow"/>
              </w:rPr>
            </w:pPr>
            <w:r w:rsidRPr="00687B90">
              <w:t>$</w:t>
            </w:r>
            <w:r w:rsidRPr="00687B90">
              <w:rPr>
                <w:b/>
                <w:bCs/>
              </w:rPr>
              <w:t>Redacted</w:t>
            </w:r>
            <w:r w:rsidRPr="00687B90">
              <w:rPr>
                <w:vertAlign w:val="superscript"/>
              </w:rPr>
              <w:t>2</w:t>
            </w:r>
          </w:p>
        </w:tc>
      </w:tr>
      <w:tr w:rsidR="002C518E" w14:paraId="3C780D9E" w14:textId="77777777" w:rsidTr="007E520F">
        <w:trPr>
          <w:cantSplit/>
        </w:trPr>
        <w:tc>
          <w:tcPr>
            <w:tcW w:w="2594" w:type="dxa"/>
            <w:tcBorders>
              <w:top w:val="single" w:sz="4" w:space="0" w:color="000000"/>
              <w:left w:val="single" w:sz="4" w:space="0" w:color="000000"/>
              <w:bottom w:val="single" w:sz="4" w:space="0" w:color="000000"/>
              <w:right w:val="single" w:sz="4" w:space="0" w:color="000000"/>
            </w:tcBorders>
            <w:vAlign w:val="center"/>
          </w:tcPr>
          <w:p w14:paraId="3C780D97" w14:textId="77777777" w:rsidR="002C518E" w:rsidRDefault="002C518E" w:rsidP="002C518E">
            <w:pPr>
              <w:pStyle w:val="TableText"/>
              <w:keepNext/>
            </w:pPr>
            <w:r>
              <w:t>Net cost to PBS/RPBS</w:t>
            </w:r>
          </w:p>
        </w:tc>
        <w:tc>
          <w:tcPr>
            <w:tcW w:w="1055" w:type="dxa"/>
            <w:tcBorders>
              <w:top w:val="single" w:sz="4" w:space="0" w:color="000000"/>
              <w:left w:val="single" w:sz="4" w:space="0" w:color="000000"/>
              <w:bottom w:val="single" w:sz="4" w:space="0" w:color="000000"/>
              <w:right w:val="single" w:sz="4" w:space="0" w:color="000000"/>
            </w:tcBorders>
          </w:tcPr>
          <w:p w14:paraId="3C780D98" w14:textId="6BB67B98" w:rsidR="002C518E" w:rsidRPr="00430728" w:rsidRDefault="002C518E" w:rsidP="002C518E">
            <w:pPr>
              <w:pStyle w:val="TableNumber"/>
              <w:rPr>
                <w:highlight w:val="yellow"/>
              </w:rPr>
            </w:pPr>
            <w:r w:rsidRPr="00687B90">
              <w:t>$</w:t>
            </w:r>
            <w:r w:rsidRPr="00687B90">
              <w:rPr>
                <w:b/>
                <w:bCs/>
              </w:rPr>
              <w:t>Redacted</w:t>
            </w:r>
            <w:r>
              <w:rPr>
                <w:vertAlign w:val="superscript"/>
              </w:rPr>
              <w:t>6</w:t>
            </w:r>
          </w:p>
        </w:tc>
        <w:tc>
          <w:tcPr>
            <w:tcW w:w="1056" w:type="dxa"/>
            <w:tcBorders>
              <w:top w:val="single" w:sz="4" w:space="0" w:color="000000"/>
              <w:left w:val="single" w:sz="4" w:space="0" w:color="000000"/>
              <w:bottom w:val="single" w:sz="4" w:space="0" w:color="000000"/>
              <w:right w:val="single" w:sz="4" w:space="0" w:color="000000"/>
            </w:tcBorders>
          </w:tcPr>
          <w:p w14:paraId="3C780D99" w14:textId="7DA63BA6" w:rsidR="002C518E" w:rsidRPr="00430728" w:rsidRDefault="002C518E" w:rsidP="002C518E">
            <w:pPr>
              <w:pStyle w:val="TableNumber"/>
              <w:rPr>
                <w:highlight w:val="yellow"/>
              </w:rPr>
            </w:pPr>
            <w:r w:rsidRPr="00DA6D23">
              <w:t>$</w:t>
            </w:r>
            <w:r w:rsidRPr="00DA6D23">
              <w:rPr>
                <w:b/>
                <w:bCs/>
              </w:rPr>
              <w:t>Redacted</w:t>
            </w:r>
            <w:r w:rsidRPr="00DA6D23">
              <w:rPr>
                <w:vertAlign w:val="superscript"/>
              </w:rPr>
              <w:t>6</w:t>
            </w:r>
          </w:p>
        </w:tc>
        <w:tc>
          <w:tcPr>
            <w:tcW w:w="1057" w:type="dxa"/>
            <w:tcBorders>
              <w:top w:val="single" w:sz="4" w:space="0" w:color="000000"/>
              <w:left w:val="single" w:sz="4" w:space="0" w:color="000000"/>
              <w:bottom w:val="single" w:sz="4" w:space="0" w:color="000000"/>
              <w:right w:val="single" w:sz="4" w:space="0" w:color="000000"/>
            </w:tcBorders>
          </w:tcPr>
          <w:p w14:paraId="3C780D9A" w14:textId="1D31E20A" w:rsidR="002C518E" w:rsidRPr="00430728" w:rsidRDefault="002C518E" w:rsidP="002C518E">
            <w:pPr>
              <w:pStyle w:val="TableNumber"/>
              <w:rPr>
                <w:highlight w:val="yellow"/>
              </w:rPr>
            </w:pPr>
            <w:r w:rsidRPr="00DA6D23">
              <w:t>$</w:t>
            </w:r>
            <w:r w:rsidRPr="00DA6D23">
              <w:rPr>
                <w:b/>
                <w:bCs/>
              </w:rPr>
              <w:t>Redacted</w:t>
            </w:r>
            <w:r w:rsidRPr="00DA6D23">
              <w:rPr>
                <w:vertAlign w:val="superscript"/>
              </w:rPr>
              <w:t>6</w:t>
            </w:r>
          </w:p>
        </w:tc>
        <w:tc>
          <w:tcPr>
            <w:tcW w:w="1054" w:type="dxa"/>
            <w:tcBorders>
              <w:top w:val="single" w:sz="4" w:space="0" w:color="000000"/>
              <w:left w:val="single" w:sz="4" w:space="0" w:color="000000"/>
              <w:bottom w:val="single" w:sz="4" w:space="0" w:color="000000"/>
              <w:right w:val="single" w:sz="4" w:space="0" w:color="000000"/>
            </w:tcBorders>
          </w:tcPr>
          <w:p w14:paraId="3C780D9B" w14:textId="5AE04175" w:rsidR="002C518E" w:rsidRPr="00430728" w:rsidRDefault="002C518E" w:rsidP="002C518E">
            <w:pPr>
              <w:pStyle w:val="TableNumber"/>
              <w:rPr>
                <w:highlight w:val="yellow"/>
              </w:rPr>
            </w:pPr>
            <w:r w:rsidRPr="00687B90">
              <w:t>$</w:t>
            </w:r>
            <w:r w:rsidRPr="00687B90">
              <w:rPr>
                <w:b/>
                <w:bCs/>
              </w:rPr>
              <w:t>Redacted</w:t>
            </w:r>
            <w:r>
              <w:rPr>
                <w:vertAlign w:val="superscript"/>
              </w:rPr>
              <w:t>7</w:t>
            </w:r>
          </w:p>
        </w:tc>
        <w:tc>
          <w:tcPr>
            <w:tcW w:w="1055" w:type="dxa"/>
            <w:tcBorders>
              <w:top w:val="single" w:sz="4" w:space="0" w:color="000000"/>
              <w:left w:val="single" w:sz="4" w:space="0" w:color="000000"/>
              <w:bottom w:val="single" w:sz="4" w:space="0" w:color="000000"/>
              <w:right w:val="single" w:sz="4" w:space="0" w:color="000000"/>
            </w:tcBorders>
          </w:tcPr>
          <w:p w14:paraId="3C780D9C" w14:textId="04129A02" w:rsidR="002C518E" w:rsidRPr="00430728" w:rsidRDefault="002C518E" w:rsidP="002C518E">
            <w:pPr>
              <w:pStyle w:val="TableNumber"/>
              <w:rPr>
                <w:highlight w:val="yellow"/>
              </w:rPr>
            </w:pPr>
            <w:r w:rsidRPr="00E6756C">
              <w:t>$</w:t>
            </w:r>
            <w:r w:rsidRPr="00E6756C">
              <w:rPr>
                <w:b/>
                <w:bCs/>
              </w:rPr>
              <w:t>Redacted</w:t>
            </w:r>
            <w:r w:rsidRPr="00E6756C">
              <w:rPr>
                <w:vertAlign w:val="superscript"/>
              </w:rPr>
              <w:t>7</w:t>
            </w:r>
          </w:p>
        </w:tc>
        <w:tc>
          <w:tcPr>
            <w:tcW w:w="1055" w:type="dxa"/>
            <w:tcBorders>
              <w:top w:val="single" w:sz="4" w:space="0" w:color="000000"/>
              <w:left w:val="single" w:sz="4" w:space="0" w:color="000000"/>
              <w:bottom w:val="single" w:sz="4" w:space="0" w:color="000000"/>
              <w:right w:val="single" w:sz="4" w:space="0" w:color="000000"/>
            </w:tcBorders>
          </w:tcPr>
          <w:p w14:paraId="3C780D9D" w14:textId="41A8711F" w:rsidR="002C518E" w:rsidRPr="00430728" w:rsidRDefault="002C518E" w:rsidP="002C518E">
            <w:pPr>
              <w:pStyle w:val="TableNumber"/>
              <w:rPr>
                <w:highlight w:val="yellow"/>
              </w:rPr>
            </w:pPr>
            <w:r w:rsidRPr="00E6756C">
              <w:t>$</w:t>
            </w:r>
            <w:r w:rsidRPr="00E6756C">
              <w:rPr>
                <w:b/>
                <w:bCs/>
              </w:rPr>
              <w:t>Redacted</w:t>
            </w:r>
            <w:r w:rsidRPr="00E6756C">
              <w:rPr>
                <w:vertAlign w:val="superscript"/>
              </w:rPr>
              <w:t>7</w:t>
            </w:r>
          </w:p>
        </w:tc>
      </w:tr>
    </w:tbl>
    <w:p w14:paraId="3C780D9F" w14:textId="77777777" w:rsidR="002F03F5" w:rsidRDefault="008F23FF">
      <w:pPr>
        <w:pStyle w:val="TableFooter"/>
        <w:keepNext/>
      </w:pPr>
      <w:r>
        <w:t>Source: Table 4-3, p151; Table 4 14, p160; Table 4 15, p160 of the submission; calculated by the commentary using the financial workbook</w:t>
      </w:r>
    </w:p>
    <w:p w14:paraId="3C780DA0" w14:textId="77777777" w:rsidR="002F03F5" w:rsidRDefault="008F23FF">
      <w:pPr>
        <w:pStyle w:val="TableFooter"/>
        <w:keepNext/>
      </w:pPr>
      <w:r>
        <w:t>ECG = electrocardiography; MBS = Medicare Benefits Schedule; PBS = Pharmaceutical Benefits Scheme; RPBS = Repatriation Pharmaceutical Benefits Scheme</w:t>
      </w:r>
    </w:p>
    <w:p w14:paraId="3C780DA1" w14:textId="664CD71E" w:rsidR="002F03F5" w:rsidRDefault="008F23FF">
      <w:pPr>
        <w:pStyle w:val="TableFooter"/>
        <w:keepNext/>
      </w:pPr>
      <w:proofErr w:type="gramStart"/>
      <w:r>
        <w:rPr>
          <w:vertAlign w:val="superscript"/>
        </w:rPr>
        <w:t>a</w:t>
      </w:r>
      <w:proofErr w:type="gramEnd"/>
      <w:r>
        <w:t xml:space="preserve"> assumed 80% MBS benefit for</w:t>
      </w:r>
      <w:r>
        <w:rPr>
          <w:i/>
        </w:rPr>
        <w:t xml:space="preserve"> </w:t>
      </w:r>
      <w:r w:rsidR="00B14353" w:rsidRPr="00B14353">
        <w:rPr>
          <w:i/>
          <w:iCs/>
        </w:rPr>
        <w:t>RET</w:t>
      </w:r>
      <w:r>
        <w:rPr>
          <w:i/>
        </w:rPr>
        <w:t xml:space="preserve"> </w:t>
      </w:r>
      <w:r>
        <w:t>testing (proposed fee = $400 or $320 at 80% benefit)</w:t>
      </w:r>
    </w:p>
    <w:p w14:paraId="3C780DA2" w14:textId="77777777" w:rsidR="002F03F5" w:rsidRDefault="008F23FF">
      <w:pPr>
        <w:pStyle w:val="TableFooter"/>
        <w:keepNext/>
      </w:pPr>
      <w:r>
        <w:rPr>
          <w:vertAlign w:val="superscript"/>
        </w:rPr>
        <w:t>b</w:t>
      </w:r>
      <w:r>
        <w:t xml:space="preserve"> the submission assumed 80% MBS benefit for ECG testing (MBS item 11714 fee = $28.25 or $22.60 at 80% benefit) </w:t>
      </w:r>
      <w:r>
        <w:rPr>
          <w:vertAlign w:val="superscript"/>
        </w:rPr>
        <w:t xml:space="preserve"> </w:t>
      </w:r>
    </w:p>
    <w:p w14:paraId="57610867" w14:textId="77777777" w:rsidR="0064676B" w:rsidRDefault="008F23FF" w:rsidP="0064676B">
      <w:pPr>
        <w:pStyle w:val="TableFooter"/>
        <w:spacing w:after="240"/>
        <w:rPr>
          <w:i/>
        </w:rPr>
      </w:pPr>
      <w:r>
        <w:rPr>
          <w:vertAlign w:val="superscript"/>
        </w:rPr>
        <w:t>c</w:t>
      </w:r>
      <w:r>
        <w:t xml:space="preserve"> Accounted for GF patients in 2026 who already had testing</w:t>
      </w:r>
      <w:r w:rsidR="0064676B" w:rsidRPr="0064676B">
        <w:rPr>
          <w:i/>
        </w:rPr>
        <w:t xml:space="preserve"> </w:t>
      </w:r>
    </w:p>
    <w:p w14:paraId="7DE5922C" w14:textId="7CD375F4" w:rsidR="0064676B" w:rsidRPr="0064676B" w:rsidRDefault="0064676B" w:rsidP="0064676B">
      <w:pPr>
        <w:pStyle w:val="TableFooter"/>
        <w:spacing w:after="240"/>
        <w:rPr>
          <w:i/>
        </w:rPr>
      </w:pPr>
      <w:r w:rsidRPr="0064676B">
        <w:rPr>
          <w:i/>
        </w:rPr>
        <w:t>The redacted values correspond to the following ranges:</w:t>
      </w:r>
    </w:p>
    <w:p w14:paraId="6B259A18" w14:textId="77777777" w:rsidR="0064676B" w:rsidRPr="0064676B" w:rsidRDefault="0064676B" w:rsidP="00430728">
      <w:pPr>
        <w:pStyle w:val="TableFooter"/>
        <w:contextualSpacing w:val="0"/>
        <w:rPr>
          <w:i/>
        </w:rPr>
      </w:pPr>
      <w:r w:rsidRPr="0064676B">
        <w:rPr>
          <w:i/>
          <w:vertAlign w:val="superscript"/>
        </w:rPr>
        <w:t xml:space="preserve">1 </w:t>
      </w:r>
      <w:r w:rsidRPr="0064676B">
        <w:rPr>
          <w:i/>
        </w:rPr>
        <w:t>&lt; 500</w:t>
      </w:r>
    </w:p>
    <w:p w14:paraId="4C465A66" w14:textId="7FFC1EA2" w:rsidR="0064676B" w:rsidRDefault="00A736B9" w:rsidP="0064676B">
      <w:pPr>
        <w:pStyle w:val="TableFooter"/>
        <w:contextualSpacing w:val="0"/>
        <w:rPr>
          <w:i/>
        </w:rPr>
      </w:pPr>
      <w:r>
        <w:rPr>
          <w:i/>
          <w:vertAlign w:val="superscript"/>
        </w:rPr>
        <w:t>2</w:t>
      </w:r>
      <w:r w:rsidR="0064676B" w:rsidRPr="0064676B">
        <w:rPr>
          <w:i/>
        </w:rPr>
        <w:t xml:space="preserve"> $0 to &lt; $10 million</w:t>
      </w:r>
    </w:p>
    <w:p w14:paraId="4206E621" w14:textId="4CEF40A0" w:rsidR="0064676B" w:rsidRPr="0064676B" w:rsidRDefault="00003930" w:rsidP="00430728">
      <w:pPr>
        <w:pStyle w:val="TableFooter"/>
        <w:contextualSpacing w:val="0"/>
        <w:rPr>
          <w:i/>
        </w:rPr>
      </w:pPr>
      <w:r>
        <w:rPr>
          <w:i/>
          <w:vertAlign w:val="superscript"/>
        </w:rPr>
        <w:t>3</w:t>
      </w:r>
      <w:r w:rsidR="0064676B" w:rsidRPr="0064676B">
        <w:rPr>
          <w:i/>
        </w:rPr>
        <w:t xml:space="preserve"> $10 million to &lt; $20 million</w:t>
      </w:r>
    </w:p>
    <w:p w14:paraId="1DB7491F" w14:textId="47C7FB43" w:rsidR="0064676B" w:rsidRDefault="00003930" w:rsidP="0064676B">
      <w:pPr>
        <w:pStyle w:val="TableFooter"/>
        <w:contextualSpacing w:val="0"/>
        <w:rPr>
          <w:i/>
        </w:rPr>
      </w:pPr>
      <w:r>
        <w:rPr>
          <w:i/>
          <w:vertAlign w:val="superscript"/>
        </w:rPr>
        <w:t>4</w:t>
      </w:r>
      <w:r w:rsidR="0064676B" w:rsidRPr="0064676B">
        <w:rPr>
          <w:i/>
        </w:rPr>
        <w:t xml:space="preserve"> $20 million to &lt; $30 million</w:t>
      </w:r>
    </w:p>
    <w:p w14:paraId="56EEBCDB" w14:textId="688AB9F7" w:rsidR="00003930" w:rsidRPr="0064676B" w:rsidRDefault="005B39B7" w:rsidP="00003930">
      <w:pPr>
        <w:pStyle w:val="TableFooter"/>
        <w:contextualSpacing w:val="0"/>
        <w:rPr>
          <w:i/>
        </w:rPr>
      </w:pPr>
      <w:r>
        <w:rPr>
          <w:i/>
          <w:vertAlign w:val="superscript"/>
        </w:rPr>
        <w:t>5</w:t>
      </w:r>
      <w:r w:rsidR="00003930" w:rsidRPr="0064676B">
        <w:rPr>
          <w:i/>
        </w:rPr>
        <w:t xml:space="preserve"> 500 to &lt; 5,000</w:t>
      </w:r>
    </w:p>
    <w:p w14:paraId="278082D9" w14:textId="7BFAC1CC" w:rsidR="005B39B7" w:rsidRPr="0064676B" w:rsidRDefault="005B39B7" w:rsidP="005B39B7">
      <w:pPr>
        <w:pStyle w:val="TableFooter"/>
        <w:contextualSpacing w:val="0"/>
        <w:rPr>
          <w:i/>
        </w:rPr>
      </w:pPr>
      <w:r>
        <w:rPr>
          <w:i/>
          <w:vertAlign w:val="superscript"/>
        </w:rPr>
        <w:t>6</w:t>
      </w:r>
      <w:r w:rsidRPr="0064676B">
        <w:rPr>
          <w:i/>
        </w:rPr>
        <w:t xml:space="preserve"> $</w:t>
      </w:r>
      <w:r w:rsidR="002C518E">
        <w:rPr>
          <w:i/>
        </w:rPr>
        <w:t>4</w:t>
      </w:r>
      <w:r w:rsidRPr="0064676B">
        <w:rPr>
          <w:i/>
        </w:rPr>
        <w:t>0 million to &lt; $</w:t>
      </w:r>
      <w:r w:rsidR="002C518E">
        <w:rPr>
          <w:i/>
        </w:rPr>
        <w:t>5</w:t>
      </w:r>
      <w:r w:rsidRPr="0064676B">
        <w:rPr>
          <w:i/>
        </w:rPr>
        <w:t>0 million</w:t>
      </w:r>
    </w:p>
    <w:p w14:paraId="3C780DA4" w14:textId="027ACB17" w:rsidR="002F03F5" w:rsidRPr="00573295" w:rsidRDefault="005B39B7" w:rsidP="00573295">
      <w:pPr>
        <w:pStyle w:val="TableFooter"/>
        <w:spacing w:after="240"/>
        <w:contextualSpacing w:val="0"/>
        <w:rPr>
          <w:i/>
        </w:rPr>
      </w:pPr>
      <w:r>
        <w:rPr>
          <w:i/>
          <w:vertAlign w:val="superscript"/>
        </w:rPr>
        <w:t>7</w:t>
      </w:r>
      <w:r w:rsidRPr="0064676B">
        <w:rPr>
          <w:i/>
        </w:rPr>
        <w:t xml:space="preserve"> $</w:t>
      </w:r>
      <w:r w:rsidR="002C518E">
        <w:rPr>
          <w:i/>
        </w:rPr>
        <w:t>5</w:t>
      </w:r>
      <w:r w:rsidRPr="0064676B">
        <w:rPr>
          <w:i/>
        </w:rPr>
        <w:t>0 million to &lt; $</w:t>
      </w:r>
      <w:r w:rsidR="002C518E">
        <w:rPr>
          <w:i/>
        </w:rPr>
        <w:t>6</w:t>
      </w:r>
      <w:r w:rsidRPr="0064676B">
        <w:rPr>
          <w:i/>
        </w:rPr>
        <w:t>0 million</w:t>
      </w:r>
    </w:p>
    <w:p w14:paraId="3C780DA5" w14:textId="348970B0" w:rsidR="002F03F5" w:rsidRPr="00430728" w:rsidRDefault="008F23FF" w:rsidP="003C5BAC">
      <w:pPr>
        <w:pStyle w:val="3-BodyText"/>
        <w:numPr>
          <w:ilvl w:val="0"/>
          <w:numId w:val="0"/>
        </w:numPr>
        <w:spacing w:after="240"/>
        <w:ind w:hanging="11"/>
        <w:jc w:val="left"/>
        <w:rPr>
          <w:rFonts w:ascii="Franklin Gothic Book" w:hAnsi="Franklin Gothic Book"/>
          <w:sz w:val="22"/>
        </w:rPr>
      </w:pPr>
      <w:r w:rsidRPr="00430728">
        <w:rPr>
          <w:rFonts w:ascii="Franklin Gothic Book" w:hAnsi="Franklin Gothic Book"/>
          <w:sz w:val="22"/>
        </w:rPr>
        <w:t>Assuming somatic</w:t>
      </w:r>
      <w:r w:rsidRPr="00430728">
        <w:rPr>
          <w:rFonts w:ascii="Franklin Gothic Book" w:hAnsi="Franklin Gothic Book"/>
          <w:i/>
          <w:sz w:val="22"/>
        </w:rPr>
        <w:t xml:space="preserve"> </w:t>
      </w:r>
      <w:r w:rsidR="00B14353" w:rsidRPr="00430728">
        <w:rPr>
          <w:rFonts w:ascii="Franklin Gothic Book" w:hAnsi="Franklin Gothic Book"/>
          <w:i/>
          <w:iCs/>
          <w:sz w:val="22"/>
        </w:rPr>
        <w:t>RET</w:t>
      </w:r>
      <w:r w:rsidRPr="00430728">
        <w:rPr>
          <w:rFonts w:ascii="Franklin Gothic Book" w:hAnsi="Franklin Gothic Book"/>
          <w:i/>
          <w:sz w:val="22"/>
        </w:rPr>
        <w:t xml:space="preserve"> </w:t>
      </w:r>
      <w:r w:rsidRPr="00430728">
        <w:rPr>
          <w:rFonts w:ascii="Franklin Gothic Book" w:hAnsi="Franklin Gothic Book"/>
          <w:sz w:val="22"/>
        </w:rPr>
        <w:t>variant testing at diagnosis of MTC, the submission estimated the cost of testing to be $</w:t>
      </w:r>
      <w:r w:rsidR="00767A19" w:rsidRPr="00430728">
        <w:rPr>
          <w:rFonts w:ascii="Franklin Gothic Book" w:hAnsi="Franklin Gothic Book"/>
          <w:sz w:val="22"/>
        </w:rPr>
        <w:t>0 to &lt; $10 million</w:t>
      </w:r>
      <w:r w:rsidRPr="00430728">
        <w:rPr>
          <w:rFonts w:ascii="Franklin Gothic Book" w:hAnsi="Franklin Gothic Book"/>
          <w:sz w:val="22"/>
        </w:rPr>
        <w:t xml:space="preserve"> in 2026 increasing to $</w:t>
      </w:r>
      <w:r w:rsidR="00767A19" w:rsidRPr="00430728">
        <w:rPr>
          <w:rFonts w:ascii="Franklin Gothic Book" w:hAnsi="Franklin Gothic Book"/>
          <w:sz w:val="22"/>
        </w:rPr>
        <w:t>0 to &lt; $10 million</w:t>
      </w:r>
      <w:r w:rsidRPr="00430728">
        <w:rPr>
          <w:rFonts w:ascii="Franklin Gothic Book" w:hAnsi="Franklin Gothic Book"/>
          <w:sz w:val="22"/>
        </w:rPr>
        <w:t xml:space="preserve"> in 2031.</w:t>
      </w:r>
      <w:r w:rsidRPr="00430728">
        <w:rPr>
          <w:rFonts w:ascii="Franklin Gothic Book" w:hAnsi="Franklin Gothic Book"/>
          <w:i/>
          <w:iCs/>
          <w:sz w:val="22"/>
        </w:rPr>
        <w:t xml:space="preserve"> </w:t>
      </w:r>
      <w:r w:rsidRPr="00430728">
        <w:rPr>
          <w:rFonts w:ascii="Franklin Gothic Book" w:hAnsi="Franklin Gothic Book"/>
          <w:sz w:val="22"/>
        </w:rPr>
        <w:t>Assuming testing only at stage III/IV MTC, the test costs were $</w:t>
      </w:r>
      <w:r w:rsidR="00767A19" w:rsidRPr="00430728">
        <w:rPr>
          <w:rFonts w:ascii="Franklin Gothic Book" w:hAnsi="Franklin Gothic Book"/>
          <w:sz w:val="22"/>
        </w:rPr>
        <w:t>0 to &lt; $10 million</w:t>
      </w:r>
      <w:r w:rsidRPr="00430728">
        <w:rPr>
          <w:rFonts w:ascii="Franklin Gothic Book" w:hAnsi="Franklin Gothic Book"/>
          <w:sz w:val="22"/>
        </w:rPr>
        <w:t xml:space="preserve"> in 2026 increasing to </w:t>
      </w:r>
      <w:r w:rsidR="00573295">
        <w:rPr>
          <w:rFonts w:ascii="Franklin Gothic Book" w:hAnsi="Franklin Gothic Book"/>
          <w:sz w:val="22"/>
        </w:rPr>
        <w:br/>
      </w:r>
      <w:r w:rsidRPr="00430728">
        <w:rPr>
          <w:rFonts w:ascii="Franklin Gothic Book" w:hAnsi="Franklin Gothic Book"/>
          <w:sz w:val="22"/>
        </w:rPr>
        <w:t>$</w:t>
      </w:r>
      <w:r w:rsidR="00767A19" w:rsidRPr="00430728">
        <w:rPr>
          <w:rFonts w:ascii="Franklin Gothic Book" w:hAnsi="Franklin Gothic Book"/>
          <w:sz w:val="22"/>
        </w:rPr>
        <w:t xml:space="preserve">0 to &lt; $10 million </w:t>
      </w:r>
      <w:r w:rsidRPr="00430728">
        <w:rPr>
          <w:rFonts w:ascii="Franklin Gothic Book" w:hAnsi="Franklin Gothic Book"/>
          <w:sz w:val="22"/>
        </w:rPr>
        <w:t>in 2031. In addition, ECG costs associated with monitoring patients on treatment with selpercatinib was estimated to cost the MBS $</w:t>
      </w:r>
      <w:r w:rsidR="00767A19" w:rsidRPr="00430728">
        <w:rPr>
          <w:rFonts w:ascii="Franklin Gothic Book" w:hAnsi="Franklin Gothic Book"/>
          <w:sz w:val="22"/>
        </w:rPr>
        <w:t>0 to &lt; $10 million</w:t>
      </w:r>
      <w:r w:rsidRPr="00430728">
        <w:rPr>
          <w:rFonts w:ascii="Franklin Gothic Book" w:hAnsi="Franklin Gothic Book"/>
          <w:sz w:val="22"/>
        </w:rPr>
        <w:t xml:space="preserve"> in 2026 increasing to $</w:t>
      </w:r>
      <w:r w:rsidR="00767A19" w:rsidRPr="00430728">
        <w:rPr>
          <w:rFonts w:ascii="Franklin Gothic Book" w:hAnsi="Franklin Gothic Book"/>
          <w:sz w:val="22"/>
        </w:rPr>
        <w:t>0 to &lt; $10 million</w:t>
      </w:r>
      <w:r w:rsidRPr="00430728">
        <w:rPr>
          <w:rFonts w:ascii="Franklin Gothic Book" w:hAnsi="Franklin Gothic Book"/>
          <w:sz w:val="22"/>
        </w:rPr>
        <w:t xml:space="preserve"> in 2031. However, both ECG and testing costs to the MBS were calculated using an 80% benefit, which was not appropriate. As ECG testing is required for monitoring during use of selpercatinib, this is likely to be performed as an outpatient service and its financial impact therefore be calculated using an 85% benefit. However,</w:t>
      </w:r>
      <w:r w:rsidRPr="00430728">
        <w:rPr>
          <w:rFonts w:ascii="Franklin Gothic Book" w:hAnsi="Franklin Gothic Book"/>
          <w:i/>
          <w:sz w:val="22"/>
        </w:rPr>
        <w:t xml:space="preserve"> </w:t>
      </w:r>
      <w:r w:rsidR="00B14353" w:rsidRPr="00430728">
        <w:rPr>
          <w:rFonts w:ascii="Franklin Gothic Book" w:hAnsi="Franklin Gothic Book"/>
          <w:i/>
          <w:iCs/>
          <w:sz w:val="22"/>
        </w:rPr>
        <w:t>RET</w:t>
      </w:r>
      <w:r w:rsidRPr="00430728">
        <w:rPr>
          <w:rFonts w:ascii="Franklin Gothic Book" w:hAnsi="Franklin Gothic Book"/>
          <w:i/>
          <w:sz w:val="22"/>
        </w:rPr>
        <w:t xml:space="preserve"> </w:t>
      </w:r>
      <w:r w:rsidRPr="00430728">
        <w:rPr>
          <w:rFonts w:ascii="Franklin Gothic Book" w:hAnsi="Franklin Gothic Book"/>
          <w:sz w:val="22"/>
        </w:rPr>
        <w:t>testing may be performed as an in-hospital service, and in those cases would be eligible for a 75% benefit. As a result, the reliability of the financial estimates is uncertain.</w:t>
      </w:r>
    </w:p>
    <w:p w14:paraId="3C780DA6" w14:textId="20A68D09" w:rsidR="002F03F5" w:rsidRPr="002A0545" w:rsidRDefault="008F23FF" w:rsidP="002A0545">
      <w:pPr>
        <w:pStyle w:val="3-BodyText"/>
        <w:numPr>
          <w:ilvl w:val="0"/>
          <w:numId w:val="0"/>
        </w:numPr>
        <w:jc w:val="left"/>
        <w:rPr>
          <w:rFonts w:ascii="Franklin Gothic Book" w:hAnsi="Franklin Gothic Book"/>
          <w:sz w:val="22"/>
        </w:rPr>
      </w:pPr>
      <w:r w:rsidRPr="00430728">
        <w:rPr>
          <w:rFonts w:ascii="Franklin Gothic Book" w:hAnsi="Franklin Gothic Book"/>
          <w:sz w:val="22"/>
        </w:rPr>
        <w:t>Based on the alternative estimates by the commentary, assuming</w:t>
      </w:r>
      <w:r w:rsidRPr="00430728">
        <w:rPr>
          <w:rFonts w:ascii="Franklin Gothic Book" w:hAnsi="Franklin Gothic Book"/>
          <w:i/>
          <w:sz w:val="22"/>
        </w:rPr>
        <w:t xml:space="preserve"> </w:t>
      </w:r>
      <w:r w:rsidR="00B14353" w:rsidRPr="00430728">
        <w:rPr>
          <w:rFonts w:ascii="Franklin Gothic Book" w:hAnsi="Franklin Gothic Book"/>
          <w:i/>
          <w:iCs/>
          <w:sz w:val="22"/>
        </w:rPr>
        <w:t>RET</w:t>
      </w:r>
      <w:r w:rsidRPr="00430728">
        <w:rPr>
          <w:rFonts w:ascii="Franklin Gothic Book" w:hAnsi="Franklin Gothic Book"/>
          <w:i/>
          <w:sz w:val="22"/>
        </w:rPr>
        <w:t xml:space="preserve"> </w:t>
      </w:r>
      <w:r w:rsidRPr="00430728">
        <w:rPr>
          <w:rFonts w:ascii="Franklin Gothic Book" w:hAnsi="Franklin Gothic Book"/>
          <w:sz w:val="22"/>
        </w:rPr>
        <w:t>variant testing at diagnosis of MTC, the cost of testing was $</w:t>
      </w:r>
      <w:r w:rsidR="00AB1E49" w:rsidRPr="00430728">
        <w:rPr>
          <w:rFonts w:ascii="Franklin Gothic Book" w:hAnsi="Franklin Gothic Book"/>
          <w:sz w:val="22"/>
        </w:rPr>
        <w:t>0 to &lt; $10 million</w:t>
      </w:r>
      <w:r w:rsidRPr="00430728">
        <w:rPr>
          <w:rFonts w:ascii="Franklin Gothic Book" w:hAnsi="Franklin Gothic Book"/>
          <w:sz w:val="22"/>
        </w:rPr>
        <w:t xml:space="preserve"> in 2026 decreasing to </w:t>
      </w:r>
      <w:r w:rsidR="007A7091">
        <w:rPr>
          <w:rFonts w:ascii="Franklin Gothic Book" w:hAnsi="Franklin Gothic Book"/>
          <w:sz w:val="22"/>
        </w:rPr>
        <w:br/>
      </w:r>
      <w:r w:rsidRPr="00430728">
        <w:rPr>
          <w:rFonts w:ascii="Franklin Gothic Book" w:hAnsi="Franklin Gothic Book"/>
          <w:sz w:val="22"/>
        </w:rPr>
        <w:t>$</w:t>
      </w:r>
      <w:r w:rsidR="00AB1E49" w:rsidRPr="00430728">
        <w:rPr>
          <w:rFonts w:ascii="Franklin Gothic Book" w:hAnsi="Franklin Gothic Book"/>
          <w:sz w:val="22"/>
        </w:rPr>
        <w:t>0 to &lt; $10 million</w:t>
      </w:r>
      <w:r w:rsidRPr="00430728">
        <w:rPr>
          <w:rFonts w:ascii="Franklin Gothic Book" w:hAnsi="Franklin Gothic Book"/>
          <w:sz w:val="22"/>
        </w:rPr>
        <w:t xml:space="preserve"> in 2031. Assuming testing at stage III/IV MTC, the test costs were </w:t>
      </w:r>
      <w:r w:rsidR="003C5BAC">
        <w:rPr>
          <w:rFonts w:ascii="Franklin Gothic Book" w:hAnsi="Franklin Gothic Book"/>
          <w:sz w:val="22"/>
        </w:rPr>
        <w:br/>
      </w:r>
      <w:r w:rsidRPr="00430728">
        <w:rPr>
          <w:rFonts w:ascii="Franklin Gothic Book" w:hAnsi="Franklin Gothic Book"/>
          <w:sz w:val="22"/>
        </w:rPr>
        <w:t>$</w:t>
      </w:r>
      <w:r w:rsidR="00AB1E49" w:rsidRPr="00430728">
        <w:rPr>
          <w:rFonts w:ascii="Franklin Gothic Book" w:hAnsi="Franklin Gothic Book"/>
          <w:sz w:val="22"/>
        </w:rPr>
        <w:t>0 to &lt; $10 million</w:t>
      </w:r>
      <w:r w:rsidRPr="00430728">
        <w:rPr>
          <w:rFonts w:ascii="Franklin Gothic Book" w:hAnsi="Franklin Gothic Book"/>
          <w:sz w:val="22"/>
        </w:rPr>
        <w:t xml:space="preserve"> in 2026 decreasing to $</w:t>
      </w:r>
      <w:r w:rsidR="00AB1E49" w:rsidRPr="00430728">
        <w:rPr>
          <w:rFonts w:ascii="Franklin Gothic Book" w:hAnsi="Franklin Gothic Book"/>
          <w:sz w:val="22"/>
        </w:rPr>
        <w:t>0 to &lt; $10 million</w:t>
      </w:r>
      <w:r w:rsidRPr="00430728">
        <w:rPr>
          <w:rFonts w:ascii="Franklin Gothic Book" w:hAnsi="Franklin Gothic Book"/>
          <w:sz w:val="22"/>
        </w:rPr>
        <w:t xml:space="preserve"> in</w:t>
      </w:r>
      <w:r w:rsidRPr="002A0545">
        <w:rPr>
          <w:rFonts w:ascii="Franklin Gothic Book" w:hAnsi="Franklin Gothic Book"/>
          <w:sz w:val="22"/>
        </w:rPr>
        <w:t xml:space="preserve"> 2031. </w:t>
      </w:r>
    </w:p>
    <w:p w14:paraId="3C780DA7" w14:textId="77777777" w:rsidR="002F03F5" w:rsidRPr="002A0545" w:rsidRDefault="008F23FF" w:rsidP="003C5BAC">
      <w:pPr>
        <w:pStyle w:val="3-BodyText"/>
        <w:numPr>
          <w:ilvl w:val="0"/>
          <w:numId w:val="0"/>
        </w:numPr>
        <w:spacing w:after="240"/>
        <w:jc w:val="left"/>
        <w:rPr>
          <w:rFonts w:ascii="Franklin Gothic Book" w:hAnsi="Franklin Gothic Book"/>
          <w:sz w:val="22"/>
        </w:rPr>
      </w:pPr>
      <w:r w:rsidRPr="002A0545">
        <w:rPr>
          <w:rFonts w:ascii="Franklin Gothic Book" w:hAnsi="Franklin Gothic Book"/>
          <w:sz w:val="22"/>
        </w:rPr>
        <w:lastRenderedPageBreak/>
        <w:t>The commentary considered the submission’s eligible test population and costs were underestimated primarily due to the inadequate accounting for prevalent MTC patients. Noting MTC’s relatively indolent nature, the commentary considered these patients may contribute a sizeable proportion to the test population in practice. The commentary also acknowledged that patients prior to 2021 were not accounted for and may suggest that the prevalent MTC population in practice is further underestimated.</w:t>
      </w:r>
    </w:p>
    <w:p w14:paraId="11C0CA65" w14:textId="70912473" w:rsidR="008E13DB" w:rsidRPr="008E13DB" w:rsidRDefault="008F23FF" w:rsidP="008E13DB">
      <w:pPr>
        <w:pStyle w:val="MSACESParagraph"/>
        <w:jc w:val="left"/>
        <w:rPr>
          <w:rFonts w:ascii="Franklin Gothic Book" w:hAnsi="Franklin Gothic Book"/>
          <w:sz w:val="22"/>
        </w:rPr>
      </w:pPr>
      <w:r w:rsidRPr="002A0545">
        <w:rPr>
          <w:rFonts w:ascii="Franklin Gothic Book" w:hAnsi="Franklin Gothic Book"/>
          <w:sz w:val="22"/>
        </w:rPr>
        <w:t>Moreover, the commentary’s estimates crudely assumed that all prevalent patients would undergo testing in 2026, whereas in practice uptake of testing in prevalent patients diagnosed at earlier stages may be gradual.</w:t>
      </w:r>
      <w:r w:rsidR="008E13DB">
        <w:rPr>
          <w:rFonts w:ascii="Franklin Gothic Book" w:hAnsi="Franklin Gothic Book"/>
          <w:sz w:val="22"/>
        </w:rPr>
        <w:br w:type="page"/>
      </w:r>
    </w:p>
    <w:p w14:paraId="18B402D2" w14:textId="24928444" w:rsidR="002A0545" w:rsidRPr="002A0545" w:rsidRDefault="002A0545" w:rsidP="00601076">
      <w:pPr>
        <w:pStyle w:val="MSACHeading1"/>
        <w:numPr>
          <w:ilvl w:val="0"/>
          <w:numId w:val="15"/>
        </w:numPr>
        <w:ind w:hanging="720"/>
        <w:rPr>
          <w:rFonts w:ascii="Franklin Gothic Medium" w:hAnsi="Franklin Gothic Medium"/>
          <w:b w:val="0"/>
          <w:bCs w:val="0"/>
          <w:sz w:val="32"/>
          <w:szCs w:val="32"/>
        </w:rPr>
      </w:pPr>
      <w:r w:rsidRPr="002A0545">
        <w:rPr>
          <w:rFonts w:ascii="Franklin Gothic Medium" w:hAnsi="Franklin Gothic Medium"/>
          <w:b w:val="0"/>
          <w:bCs w:val="0"/>
          <w:sz w:val="32"/>
          <w:szCs w:val="32"/>
        </w:rPr>
        <w:lastRenderedPageBreak/>
        <w:t xml:space="preserve">Key issues from ESC to MSAC </w:t>
      </w:r>
    </w:p>
    <w:tbl>
      <w:tblPr>
        <w:tblW w:w="9122" w:type="dxa"/>
        <w:tblLayout w:type="fixed"/>
        <w:tblCellMar>
          <w:left w:w="28" w:type="dxa"/>
          <w:right w:w="28" w:type="dxa"/>
        </w:tblCellMar>
        <w:tblLook w:val="04A0" w:firstRow="1" w:lastRow="0" w:firstColumn="1" w:lastColumn="0" w:noHBand="0" w:noVBand="1"/>
      </w:tblPr>
      <w:tblGrid>
        <w:gridCol w:w="9122"/>
      </w:tblGrid>
      <w:tr w:rsidR="00EC43BF" w14:paraId="2B93355C" w14:textId="77777777" w:rsidTr="5E176297">
        <w:trPr>
          <w:trHeight w:val="70"/>
        </w:trPr>
        <w:tc>
          <w:tcPr>
            <w:tcW w:w="9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829F9" w14:textId="1D7F131F" w:rsidR="002A0545" w:rsidRPr="002A0545" w:rsidRDefault="002A0545">
            <w:pPr>
              <w:spacing w:before="0" w:after="0"/>
              <w:rPr>
                <w:rFonts w:eastAsiaTheme="majorEastAsia" w:cstheme="majorBidi"/>
                <w:b/>
                <w:iCs/>
                <w:spacing w:val="5"/>
                <w:kern w:val="2"/>
                <w:lang w:eastAsia="en-AU"/>
              </w:rPr>
            </w:pPr>
            <w:bookmarkStart w:id="46" w:name="_Toc22898843"/>
            <w:bookmarkStart w:id="47" w:name="_Toc22897637"/>
            <w:r w:rsidRPr="002A0545">
              <w:rPr>
                <w:rFonts w:eastAsiaTheme="majorEastAsia" w:cstheme="majorBidi"/>
                <w:b/>
                <w:iCs/>
                <w:spacing w:val="5"/>
                <w:kern w:val="2"/>
                <w:lang w:eastAsia="en-AU"/>
              </w:rPr>
              <w:t>Main issues for MSAC consideration</w:t>
            </w:r>
            <w:bookmarkEnd w:id="46"/>
            <w:bookmarkEnd w:id="47"/>
          </w:p>
          <w:p w14:paraId="2A9DC3F9" w14:textId="77777777" w:rsidR="002A0545" w:rsidRPr="002A0545" w:rsidRDefault="002A0545">
            <w:pPr>
              <w:spacing w:before="0" w:after="0"/>
              <w:rPr>
                <w:b/>
                <w:bCs/>
              </w:rPr>
            </w:pPr>
          </w:p>
          <w:p w14:paraId="3387AE5A" w14:textId="26099FE7" w:rsidR="00EC43BF" w:rsidRPr="002A0545" w:rsidRDefault="00EC43BF">
            <w:pPr>
              <w:spacing w:before="0" w:after="0"/>
              <w:rPr>
                <w:b/>
                <w:bCs/>
              </w:rPr>
            </w:pPr>
            <w:r w:rsidRPr="002A0545">
              <w:rPr>
                <w:b/>
                <w:bCs/>
              </w:rPr>
              <w:t>Clinical issues:</w:t>
            </w:r>
          </w:p>
          <w:p w14:paraId="77389479" w14:textId="67A4CCD9" w:rsidR="00EC43BF" w:rsidRPr="002A0545" w:rsidRDefault="00EC43BF">
            <w:pPr>
              <w:pStyle w:val="MainBodyBulletPoint"/>
              <w:ind w:left="390" w:right="113" w:hanging="284"/>
              <w:jc w:val="both"/>
              <w:rPr>
                <w:rFonts w:ascii="Franklin Gothic Book" w:hAnsi="Franklin Gothic Book"/>
              </w:rPr>
            </w:pPr>
            <w:r w:rsidRPr="002A0545">
              <w:rPr>
                <w:rFonts w:ascii="Franklin Gothic Book" w:hAnsi="Franklin Gothic Book"/>
                <w:i/>
              </w:rPr>
              <w:t xml:space="preserve"> </w:t>
            </w:r>
            <w:r w:rsidRPr="002A0545">
              <w:rPr>
                <w:rFonts w:ascii="Franklin Gothic Book" w:hAnsi="Franklin Gothic Book"/>
              </w:rPr>
              <w:t>Alterations at the</w:t>
            </w:r>
            <w:r w:rsidRPr="002A0545">
              <w:rPr>
                <w:rFonts w:ascii="Franklin Gothic Book" w:hAnsi="Franklin Gothic Book"/>
                <w:i/>
              </w:rPr>
              <w:t xml:space="preserve"> </w:t>
            </w:r>
            <w:r w:rsidR="00B14353" w:rsidRPr="00B14353">
              <w:rPr>
                <w:rFonts w:ascii="Franklin Gothic Book" w:hAnsi="Franklin Gothic Book"/>
                <w:i/>
                <w:iCs/>
              </w:rPr>
              <w:t>RET</w:t>
            </w:r>
            <w:r w:rsidRPr="002A0545">
              <w:rPr>
                <w:rFonts w:ascii="Franklin Gothic Book" w:hAnsi="Franklin Gothic Book"/>
                <w:i/>
              </w:rPr>
              <w:t xml:space="preserve"> </w:t>
            </w:r>
            <w:r w:rsidRPr="002A0545">
              <w:rPr>
                <w:rFonts w:ascii="Franklin Gothic Book" w:hAnsi="Franklin Gothic Book"/>
              </w:rPr>
              <w:t>gene may be correlated with more advanced disease at diagnosis and subsequent distant metastases but the evidence to suggest patients with</w:t>
            </w:r>
            <w:r w:rsidRPr="002A0545">
              <w:rPr>
                <w:rFonts w:ascii="Franklin Gothic Book" w:hAnsi="Franklin Gothic Book"/>
                <w:i/>
              </w:rPr>
              <w:t xml:space="preserve"> </w:t>
            </w:r>
            <w:r w:rsidR="00B14353" w:rsidRPr="00B14353">
              <w:rPr>
                <w:rFonts w:ascii="Franklin Gothic Book" w:hAnsi="Franklin Gothic Book"/>
                <w:i/>
                <w:iCs/>
              </w:rPr>
              <w:t>RET</w:t>
            </w:r>
            <w:r w:rsidRPr="002A0545">
              <w:rPr>
                <w:rFonts w:ascii="Franklin Gothic Book" w:hAnsi="Franklin Gothic Book"/>
                <w:i/>
              </w:rPr>
              <w:t xml:space="preserve"> </w:t>
            </w:r>
            <w:r w:rsidRPr="002A0545">
              <w:rPr>
                <w:rFonts w:ascii="Franklin Gothic Book" w:hAnsi="Franklin Gothic Book"/>
              </w:rPr>
              <w:t>variant(s)s had a worse prognosis than</w:t>
            </w:r>
            <w:r w:rsidRPr="002A0545">
              <w:rPr>
                <w:rFonts w:ascii="Franklin Gothic Book" w:hAnsi="Franklin Gothic Book"/>
                <w:i/>
              </w:rPr>
              <w:t xml:space="preserve"> </w:t>
            </w:r>
            <w:r w:rsidR="00B14353" w:rsidRPr="00B14353">
              <w:rPr>
                <w:rFonts w:ascii="Franklin Gothic Book" w:hAnsi="Franklin Gothic Book"/>
                <w:i/>
                <w:iCs/>
              </w:rPr>
              <w:t>RET</w:t>
            </w:r>
            <w:r w:rsidRPr="002A0545">
              <w:rPr>
                <w:rFonts w:ascii="Franklin Gothic Book" w:hAnsi="Franklin Gothic Book"/>
                <w:i/>
              </w:rPr>
              <w:t xml:space="preserve"> </w:t>
            </w:r>
            <w:r w:rsidRPr="002A0545">
              <w:rPr>
                <w:rFonts w:ascii="Franklin Gothic Book" w:hAnsi="Franklin Gothic Book"/>
              </w:rPr>
              <w:t>wildtype at baseline was insufficient.</w:t>
            </w:r>
          </w:p>
          <w:p w14:paraId="50A4E7BB" w14:textId="77777777" w:rsidR="00EC43BF" w:rsidRPr="002A0545" w:rsidRDefault="00EC43BF">
            <w:pPr>
              <w:spacing w:before="0" w:after="0"/>
              <w:ind w:right="113"/>
              <w:rPr>
                <w:b/>
                <w:bCs/>
              </w:rPr>
            </w:pPr>
            <w:r w:rsidRPr="002A0545">
              <w:rPr>
                <w:b/>
                <w:bCs/>
              </w:rPr>
              <w:t>Economic issues:</w:t>
            </w:r>
          </w:p>
          <w:p w14:paraId="615AE1D9" w14:textId="10842A1D" w:rsidR="00EC43BF" w:rsidRPr="002A0545" w:rsidRDefault="00B14353">
            <w:pPr>
              <w:pStyle w:val="MainBodyBulletPoint"/>
              <w:ind w:left="390" w:right="113" w:hanging="284"/>
              <w:jc w:val="both"/>
              <w:rPr>
                <w:rFonts w:ascii="Franklin Gothic Book" w:hAnsi="Franklin Gothic Book"/>
              </w:rPr>
            </w:pPr>
            <w:r w:rsidRPr="00B14353">
              <w:rPr>
                <w:rFonts w:ascii="Franklin Gothic Book" w:hAnsi="Franklin Gothic Book"/>
                <w:i/>
                <w:iCs/>
              </w:rPr>
              <w:t>RET</w:t>
            </w:r>
            <w:r w:rsidR="00EC43BF" w:rsidRPr="002A0545">
              <w:rPr>
                <w:rFonts w:ascii="Franklin Gothic Book" w:hAnsi="Franklin Gothic Book"/>
              </w:rPr>
              <w:t xml:space="preserve"> variant testing was captured as a once off cost per</w:t>
            </w:r>
            <w:r w:rsidR="00EC43BF" w:rsidRPr="002A0545">
              <w:rPr>
                <w:rFonts w:ascii="Franklin Gothic Book" w:hAnsi="Franklin Gothic Book"/>
                <w:i/>
              </w:rPr>
              <w:t xml:space="preserve"> </w:t>
            </w:r>
            <w:r w:rsidRPr="00B14353">
              <w:rPr>
                <w:rFonts w:ascii="Franklin Gothic Book" w:hAnsi="Franklin Gothic Book"/>
                <w:i/>
                <w:iCs/>
              </w:rPr>
              <w:t>RET</w:t>
            </w:r>
            <w:r w:rsidR="00EC43BF" w:rsidRPr="002A0545">
              <w:rPr>
                <w:rFonts w:ascii="Franklin Gothic Book" w:hAnsi="Franklin Gothic Book"/>
                <w:i/>
              </w:rPr>
              <w:t xml:space="preserve"> </w:t>
            </w:r>
            <w:r w:rsidR="00EC43BF" w:rsidRPr="002A0545">
              <w:rPr>
                <w:rFonts w:ascii="Franklin Gothic Book" w:hAnsi="Franklin Gothic Book"/>
              </w:rPr>
              <w:t xml:space="preserve">variant detected based on the NNT of 2.92 and the proposed Medicare Benefits Schedule (MBS) fee ($400). Due to the narrower population used to calculate the submission’s NNT, the NNT was overestimated. </w:t>
            </w:r>
            <w:r w:rsidR="00EC43BF" w:rsidRPr="00687588">
              <w:rPr>
                <w:rFonts w:ascii="Franklin Gothic Book" w:hAnsi="Franklin Gothic Book"/>
              </w:rPr>
              <w:t xml:space="preserve">The ESCs considered the commentary’s calculation (using NNT = 1.43) to be more reliable, but acknowledged that </w:t>
            </w:r>
            <w:r w:rsidRPr="00B14353">
              <w:rPr>
                <w:rFonts w:ascii="Franklin Gothic Book" w:hAnsi="Franklin Gothic Book"/>
                <w:i/>
                <w:iCs/>
              </w:rPr>
              <w:t>RET</w:t>
            </w:r>
            <w:r w:rsidR="00EC43BF" w:rsidRPr="00687588">
              <w:rPr>
                <w:rFonts w:ascii="Franklin Gothic Book" w:hAnsi="Franklin Gothic Book"/>
              </w:rPr>
              <w:t xml:space="preserve"> variant testing was not found to be a driver for the economic model.</w:t>
            </w:r>
            <w:r w:rsidR="00EC43BF" w:rsidRPr="002A0545">
              <w:rPr>
                <w:rFonts w:ascii="Franklin Gothic Book" w:hAnsi="Franklin Gothic Book"/>
              </w:rPr>
              <w:t xml:space="preserve">  </w:t>
            </w:r>
          </w:p>
          <w:p w14:paraId="769737C4" w14:textId="77777777" w:rsidR="00EC43BF" w:rsidRPr="002A0545" w:rsidRDefault="00EC43BF">
            <w:pPr>
              <w:spacing w:before="0" w:after="0"/>
              <w:ind w:right="113"/>
              <w:rPr>
                <w:b/>
                <w:bCs/>
              </w:rPr>
            </w:pPr>
            <w:r w:rsidRPr="002A0545">
              <w:rPr>
                <w:b/>
                <w:bCs/>
              </w:rPr>
              <w:t>Financial issues:</w:t>
            </w:r>
          </w:p>
          <w:p w14:paraId="224356A9" w14:textId="77777777" w:rsidR="00EC43BF" w:rsidRPr="002A0545" w:rsidRDefault="00EC43BF">
            <w:pPr>
              <w:pStyle w:val="MainBodyBulletPoint"/>
              <w:ind w:left="390" w:right="113" w:hanging="284"/>
              <w:jc w:val="both"/>
              <w:rPr>
                <w:rFonts w:ascii="Franklin Gothic Book" w:hAnsi="Franklin Gothic Book"/>
              </w:rPr>
            </w:pPr>
            <w:r w:rsidRPr="002A0545">
              <w:rPr>
                <w:rFonts w:ascii="Franklin Gothic Book" w:hAnsi="Franklin Gothic Book"/>
              </w:rPr>
              <w:t>The submission inadequately accounted for prevalent MTC patients prior to 2026. Noting MTC’s relatively indolent nature, these patients may contribute a sizeable proportion to the test population in practice. As such, the eligible test population and costs were underestimated.</w:t>
            </w:r>
          </w:p>
          <w:p w14:paraId="0C605FFF" w14:textId="77777777" w:rsidR="00EC43BF" w:rsidRPr="002A0545" w:rsidRDefault="00EC43BF">
            <w:pPr>
              <w:spacing w:before="0" w:after="0"/>
              <w:ind w:right="113"/>
              <w:rPr>
                <w:b/>
                <w:bCs/>
              </w:rPr>
            </w:pPr>
            <w:r w:rsidRPr="002A0545">
              <w:rPr>
                <w:b/>
                <w:bCs/>
              </w:rPr>
              <w:t>Other issues:</w:t>
            </w:r>
          </w:p>
          <w:p w14:paraId="684F81DE" w14:textId="7082C35F" w:rsidR="00EC43BF" w:rsidRPr="00B14353" w:rsidRDefault="090DE104" w:rsidP="63A4ACB5">
            <w:pPr>
              <w:pStyle w:val="MainBodyBulletPoint"/>
              <w:ind w:left="390" w:right="113" w:hanging="284"/>
              <w:jc w:val="both"/>
              <w:rPr>
                <w:rStyle w:val="cf01"/>
                <w:rFonts w:ascii="Franklin Gothic Book" w:hAnsi="Franklin Gothic Book" w:cstheme="minorBidi"/>
                <w:sz w:val="22"/>
                <w:szCs w:val="22"/>
              </w:rPr>
            </w:pPr>
            <w:r w:rsidRPr="5E176297">
              <w:rPr>
                <w:rFonts w:ascii="Franklin Gothic Book" w:hAnsi="Franklin Gothic Book"/>
              </w:rPr>
              <w:t xml:space="preserve">The ESCs raised concerns around the lack of a </w:t>
            </w:r>
            <w:r w:rsidR="48EEAAA2" w:rsidRPr="5E176297">
              <w:rPr>
                <w:rFonts w:ascii="Franklin Gothic Book" w:hAnsi="Franklin Gothic Book"/>
                <w:i/>
                <w:iCs/>
              </w:rPr>
              <w:t>RET</w:t>
            </w:r>
            <w:r w:rsidRPr="5E176297">
              <w:rPr>
                <w:rFonts w:ascii="Franklin Gothic Book" w:hAnsi="Franklin Gothic Book"/>
              </w:rPr>
              <w:t>-specific quality assurance program (QAP) in Australia, and queried whether this would lead to delays or issues with implementation.</w:t>
            </w:r>
            <w:bookmarkStart w:id="48" w:name="_Hlk202529076"/>
            <w:bookmarkEnd w:id="48"/>
            <w:r w:rsidRPr="5E176297">
              <w:rPr>
                <w:rFonts w:ascii="Franklin Gothic Book" w:hAnsi="Franklin Gothic Book"/>
              </w:rPr>
              <w:t xml:space="preserve"> </w:t>
            </w:r>
            <w:r w:rsidRPr="5E176297">
              <w:rPr>
                <w:rStyle w:val="cf01"/>
                <w:rFonts w:ascii="Franklin Gothic Book" w:hAnsi="Franklin Gothic Book"/>
                <w:sz w:val="22"/>
                <w:szCs w:val="22"/>
              </w:rPr>
              <w:t xml:space="preserve">To meet MBS requirements, regulatory and quality assurance processes for </w:t>
            </w:r>
            <w:r w:rsidR="48EEAAA2" w:rsidRPr="5E176297">
              <w:rPr>
                <w:rStyle w:val="cf01"/>
                <w:rFonts w:ascii="Franklin Gothic Book" w:hAnsi="Franklin Gothic Book"/>
                <w:i/>
                <w:iCs/>
                <w:sz w:val="22"/>
                <w:szCs w:val="22"/>
              </w:rPr>
              <w:t>RET</w:t>
            </w:r>
            <w:r w:rsidRPr="5E176297">
              <w:rPr>
                <w:rStyle w:val="cf01"/>
                <w:rFonts w:ascii="Franklin Gothic Book" w:hAnsi="Franklin Gothic Book"/>
                <w:sz w:val="22"/>
                <w:szCs w:val="22"/>
              </w:rPr>
              <w:t xml:space="preserve"> testing will need to be completed with the TGA</w:t>
            </w:r>
            <w:r w:rsidR="00EC43BF" w:rsidRPr="5E176297">
              <w:rPr>
                <w:rStyle w:val="cf01"/>
                <w:rFonts w:ascii="Franklin Gothic Book" w:hAnsi="Franklin Gothic Book"/>
                <w:sz w:val="22"/>
                <w:szCs w:val="22"/>
              </w:rPr>
              <w:t>.</w:t>
            </w:r>
            <w:r w:rsidRPr="5E176297">
              <w:rPr>
                <w:rStyle w:val="cf01"/>
                <w:rFonts w:ascii="Franklin Gothic Book" w:hAnsi="Franklin Gothic Book"/>
                <w:sz w:val="22"/>
                <w:szCs w:val="22"/>
              </w:rPr>
              <w:t xml:space="preserve"> </w:t>
            </w:r>
          </w:p>
          <w:p w14:paraId="4D35FF62" w14:textId="3DF843C3" w:rsidR="00EC43BF" w:rsidRDefault="00EC43BF">
            <w:pPr>
              <w:pStyle w:val="MainBodyBulletPoint"/>
              <w:ind w:left="390" w:right="113" w:hanging="284"/>
              <w:jc w:val="both"/>
            </w:pPr>
            <w:r w:rsidRPr="00687588">
              <w:rPr>
                <w:rStyle w:val="cf01"/>
                <w:rFonts w:ascii="Franklin Gothic Book" w:hAnsi="Franklin Gothic Book"/>
                <w:sz w:val="22"/>
                <w:szCs w:val="22"/>
              </w:rPr>
              <w:t xml:space="preserve">The ESCs considered that a restriction on the frequency of testing may not be necessary, noting that </w:t>
            </w:r>
            <w:r w:rsidR="00B14353" w:rsidRPr="00B14353">
              <w:rPr>
                <w:rStyle w:val="cf01"/>
                <w:rFonts w:ascii="Franklin Gothic Book" w:hAnsi="Franklin Gothic Book"/>
                <w:i/>
                <w:iCs/>
                <w:sz w:val="22"/>
                <w:szCs w:val="22"/>
              </w:rPr>
              <w:t>RET</w:t>
            </w:r>
            <w:r w:rsidRPr="00687588">
              <w:rPr>
                <w:rStyle w:val="cf01"/>
                <w:rFonts w:ascii="Franklin Gothic Book" w:hAnsi="Franklin Gothic Book"/>
                <w:sz w:val="22"/>
                <w:szCs w:val="22"/>
              </w:rPr>
              <w:t xml:space="preserve"> variant status may change over time. However, the ESCs also noted that </w:t>
            </w:r>
            <w:r w:rsidR="00B14353" w:rsidRPr="00B14353">
              <w:rPr>
                <w:rStyle w:val="cf01"/>
                <w:rFonts w:ascii="Franklin Gothic Book" w:hAnsi="Franklin Gothic Book"/>
                <w:i/>
                <w:iCs/>
                <w:sz w:val="22"/>
                <w:szCs w:val="22"/>
              </w:rPr>
              <w:t>RET</w:t>
            </w:r>
            <w:r w:rsidRPr="00687588">
              <w:rPr>
                <w:rStyle w:val="cf01"/>
                <w:rFonts w:ascii="Franklin Gothic Book" w:hAnsi="Franklin Gothic Book"/>
                <w:sz w:val="22"/>
                <w:szCs w:val="22"/>
              </w:rPr>
              <w:t xml:space="preserve"> </w:t>
            </w:r>
            <w:r w:rsidRPr="00687588">
              <w:rPr>
                <w:rFonts w:ascii="Franklin Gothic Book" w:hAnsi="Franklin Gothic Book"/>
              </w:rPr>
              <w:t>activating variants are driver variants that typically develop early and tend to be conserved throughout the disease course. As such, the ESCs considered that there may be a rationale for limiting testing to once per lifetime.</w:t>
            </w:r>
            <w:r w:rsidRPr="00B14353">
              <w:rPr>
                <w:rFonts w:ascii="Franklin Gothic Book" w:hAnsi="Franklin Gothic Book"/>
              </w:rPr>
              <w:t xml:space="preserve"> MSAC may wish to consider whether the MBS item descriptor should include a frequency restriction.</w:t>
            </w:r>
          </w:p>
        </w:tc>
      </w:tr>
    </w:tbl>
    <w:p w14:paraId="4972CD55" w14:textId="77777777" w:rsidR="00EC43BF" w:rsidRPr="002A0545" w:rsidRDefault="00EC43BF" w:rsidP="002A0545">
      <w:pPr>
        <w:pStyle w:val="4-SubsectionHeading"/>
        <w:jc w:val="left"/>
        <w:rPr>
          <w:rFonts w:ascii="Franklin Gothic Book" w:hAnsi="Franklin Gothic Book"/>
          <w:i w:val="0"/>
          <w:iCs/>
          <w:sz w:val="22"/>
          <w:szCs w:val="22"/>
        </w:rPr>
      </w:pPr>
      <w:r w:rsidRPr="002A0545">
        <w:rPr>
          <w:rFonts w:ascii="Franklin Gothic Book" w:hAnsi="Franklin Gothic Book"/>
          <w:bCs/>
          <w:i w:val="0"/>
          <w:iCs/>
          <w:sz w:val="22"/>
          <w:szCs w:val="22"/>
        </w:rPr>
        <w:t>ESC’s discussion</w:t>
      </w:r>
    </w:p>
    <w:p w14:paraId="543C1796" w14:textId="77777777" w:rsidR="00EC43BF" w:rsidRPr="002A0545" w:rsidRDefault="00EC43BF" w:rsidP="002A0545">
      <w:pPr>
        <w:jc w:val="left"/>
        <w:rPr>
          <w:iCs/>
        </w:rPr>
      </w:pPr>
      <w:r w:rsidRPr="002A0545">
        <w:rPr>
          <w:iCs/>
        </w:rPr>
        <w:t>The joint MSAC Evaluation Subcommittee/PBAC Economics Sub-Committee (hereafter referred to as the ESCs) noted that this integrated codependent application sought:</w:t>
      </w:r>
    </w:p>
    <w:p w14:paraId="2061A9F0" w14:textId="23E427E3" w:rsidR="00EC43BF" w:rsidRPr="002A0545" w:rsidRDefault="00EC43BF" w:rsidP="002A0545">
      <w:pPr>
        <w:pStyle w:val="MainBodyBulletPoint"/>
        <w:rPr>
          <w:rFonts w:ascii="Franklin Gothic Book" w:hAnsi="Franklin Gothic Book"/>
          <w:iCs/>
        </w:rPr>
      </w:pPr>
      <w:r w:rsidRPr="002A0545">
        <w:rPr>
          <w:rFonts w:ascii="Franklin Gothic Book" w:hAnsi="Franklin Gothic Book"/>
          <w:iCs/>
        </w:rPr>
        <w:t xml:space="preserve">Medicare Benefits Schedule (MBS) listing of testing of tumour tissue to detect </w:t>
      </w:r>
      <w:r w:rsidR="00B14353" w:rsidRPr="00B14353">
        <w:rPr>
          <w:rFonts w:ascii="Franklin Gothic Book" w:hAnsi="Franklin Gothic Book"/>
          <w:i/>
          <w:iCs/>
        </w:rPr>
        <w:t>RET</w:t>
      </w:r>
      <w:r w:rsidRPr="002A0545">
        <w:rPr>
          <w:rFonts w:ascii="Franklin Gothic Book" w:hAnsi="Franklin Gothic Book"/>
          <w:iCs/>
        </w:rPr>
        <w:t xml:space="preserve"> proto-oncogene (</w:t>
      </w:r>
      <w:r w:rsidR="00B14353" w:rsidRPr="00B14353">
        <w:rPr>
          <w:rFonts w:ascii="Franklin Gothic Book" w:hAnsi="Franklin Gothic Book"/>
          <w:i/>
          <w:iCs/>
        </w:rPr>
        <w:t>RET</w:t>
      </w:r>
      <w:r w:rsidRPr="002A0545">
        <w:rPr>
          <w:rFonts w:ascii="Franklin Gothic Book" w:hAnsi="Franklin Gothic Book"/>
          <w:iCs/>
        </w:rPr>
        <w:t>) variants in patients with medullary thyroid cancer (MTC) for the determination of patient eligibility for treatment with selpercatinib; and</w:t>
      </w:r>
    </w:p>
    <w:p w14:paraId="5DC12ADC" w14:textId="02DB0603" w:rsidR="00EC43BF" w:rsidRPr="002A0545" w:rsidRDefault="00EC43BF" w:rsidP="002A0545">
      <w:pPr>
        <w:pStyle w:val="MainBodyBulletPoint"/>
        <w:rPr>
          <w:rFonts w:ascii="Franklin Gothic Book" w:hAnsi="Franklin Gothic Book"/>
          <w:iCs/>
        </w:rPr>
      </w:pPr>
      <w:r w:rsidRPr="002A0545">
        <w:rPr>
          <w:rFonts w:ascii="Franklin Gothic Book" w:hAnsi="Franklin Gothic Book"/>
          <w:iCs/>
        </w:rPr>
        <w:t xml:space="preserve">Pharmaceutical Benefits Scheme (PBS) Section 85 General Schedule listing of selpercatinib for the treatment of locally advanced or metastatic MTC in patients who have evidence of a </w:t>
      </w:r>
      <w:r w:rsidR="00B14353" w:rsidRPr="00B14353">
        <w:rPr>
          <w:rFonts w:ascii="Franklin Gothic Book" w:hAnsi="Franklin Gothic Book"/>
          <w:i/>
          <w:iCs/>
        </w:rPr>
        <w:t>RET</w:t>
      </w:r>
      <w:r w:rsidRPr="002A0545">
        <w:rPr>
          <w:rFonts w:ascii="Franklin Gothic Book" w:hAnsi="Franklin Gothic Book"/>
          <w:iCs/>
        </w:rPr>
        <w:t xml:space="preserve"> variant.</w:t>
      </w:r>
    </w:p>
    <w:p w14:paraId="56962F7C" w14:textId="77777777" w:rsidR="00EC43BF" w:rsidRPr="002A0545" w:rsidRDefault="00EC43BF" w:rsidP="002A0545">
      <w:pPr>
        <w:jc w:val="left"/>
        <w:rPr>
          <w:iCs/>
        </w:rPr>
      </w:pPr>
      <w:r w:rsidRPr="002A0545">
        <w:rPr>
          <w:iCs/>
        </w:rPr>
        <w:t>The ESCs noted and welcomed consultation feedback submitted on behalf of 3 consumer organisations and 4 medical, health or other non-consumer organisations. The ESCs noted that the feedback was supportive of the proposed test. In particular, the feedback highlighted that testing was important to ensure timely, equitable access to relevant treatments, such as selpercatinib if it is PBS listed, noting patient experiences of delayed diagnoses, repeat surgeries, and exposure to therapies with limited benefit but significant side effects. The ESCs noted access to the test and treatment would reduce significant physical, psychological and financial burden, improve quality of care and increase confidence in care pathways for patients with MTC and their families and carers.</w:t>
      </w:r>
    </w:p>
    <w:p w14:paraId="5AA881A9" w14:textId="27824CB3" w:rsidR="00EC43BF" w:rsidRPr="002A0545" w:rsidRDefault="00EC43BF" w:rsidP="002A0545">
      <w:pPr>
        <w:spacing w:before="160" w:after="120"/>
        <w:jc w:val="left"/>
        <w:rPr>
          <w:iCs/>
          <w:color w:val="000000" w:themeColor="text1"/>
        </w:rPr>
      </w:pPr>
      <w:r w:rsidRPr="002A0545">
        <w:rPr>
          <w:iCs/>
          <w:color w:val="000000" w:themeColor="text1"/>
        </w:rPr>
        <w:lastRenderedPageBreak/>
        <w:t xml:space="preserve">The ESCs noted that MTC consists of sporadic and hereditary subtypes, and that 70% of all patients with MTC have a clinically significant </w:t>
      </w:r>
      <w:r w:rsidR="00B14353" w:rsidRPr="00B14353">
        <w:rPr>
          <w:i/>
          <w:iCs/>
          <w:color w:val="000000" w:themeColor="text1"/>
        </w:rPr>
        <w:t>RET</w:t>
      </w:r>
      <w:r w:rsidRPr="002A0545">
        <w:rPr>
          <w:iCs/>
          <w:color w:val="000000" w:themeColor="text1"/>
        </w:rPr>
        <w:t xml:space="preserve"> variant. The ESCs noted that roughly half of MTC patients present with stage III/IV MTC. The ESCs noted that current treatment options for patients with MTC in Australia are limited, with no drugs currently funded specifically for MTC. </w:t>
      </w:r>
    </w:p>
    <w:p w14:paraId="0D831387" w14:textId="45E5A834" w:rsidR="00EC43BF" w:rsidRPr="002A0545" w:rsidRDefault="00EC43BF" w:rsidP="002A0545">
      <w:pPr>
        <w:spacing w:before="160" w:after="120"/>
        <w:jc w:val="left"/>
        <w:rPr>
          <w:iCs/>
          <w:color w:val="000000" w:themeColor="text1"/>
        </w:rPr>
      </w:pPr>
      <w:r w:rsidRPr="002A0545">
        <w:rPr>
          <w:iCs/>
          <w:color w:val="000000" w:themeColor="text1"/>
        </w:rPr>
        <w:t xml:space="preserve">The ESCs noted </w:t>
      </w:r>
      <w:r w:rsidRPr="002A0545">
        <w:rPr>
          <w:iCs/>
        </w:rPr>
        <w:t xml:space="preserve">inconsistencies between the PASC-endorsed population in the PICO confirmation and the population proposed in the ADAR. The ESCs suggested </w:t>
      </w:r>
      <w:r w:rsidRPr="002A0545">
        <w:rPr>
          <w:iCs/>
          <w:color w:val="000000" w:themeColor="text1"/>
        </w:rPr>
        <w:t xml:space="preserve">that the appropriate test population should be defined as ‘patients with a confirmed histological diagnosis of MTC who have not previously undergone tumour testing for clinically significant </w:t>
      </w:r>
      <w:r w:rsidR="00B14353" w:rsidRPr="00B14353">
        <w:rPr>
          <w:i/>
          <w:iCs/>
          <w:color w:val="000000" w:themeColor="text1"/>
        </w:rPr>
        <w:t>RET</w:t>
      </w:r>
      <w:r w:rsidRPr="002A0545">
        <w:rPr>
          <w:iCs/>
          <w:color w:val="000000" w:themeColor="text1"/>
        </w:rPr>
        <w:t xml:space="preserve"> variants and who do not have a known germline </w:t>
      </w:r>
      <w:r w:rsidR="00B14353" w:rsidRPr="00B14353">
        <w:rPr>
          <w:i/>
          <w:iCs/>
          <w:color w:val="000000" w:themeColor="text1"/>
        </w:rPr>
        <w:t>RET</w:t>
      </w:r>
      <w:r w:rsidRPr="002A0545">
        <w:rPr>
          <w:iCs/>
          <w:color w:val="000000" w:themeColor="text1"/>
        </w:rPr>
        <w:t xml:space="preserve"> variant’, as per the 1804 Ratified PICO Confirmation. The ESCs noted that the applicant agreed in its pre-subcommittee response (PSCR) that this population definition was appropriate.</w:t>
      </w:r>
    </w:p>
    <w:p w14:paraId="7890E16E" w14:textId="77777777" w:rsidR="00EC43BF" w:rsidRPr="002A0545" w:rsidRDefault="00EC43BF" w:rsidP="002A0545">
      <w:pPr>
        <w:spacing w:before="160" w:after="120"/>
        <w:jc w:val="left"/>
        <w:rPr>
          <w:iCs/>
          <w:color w:val="000000" w:themeColor="text1"/>
        </w:rPr>
      </w:pPr>
      <w:r w:rsidRPr="002A0545">
        <w:rPr>
          <w:iCs/>
          <w:color w:val="000000" w:themeColor="text1"/>
        </w:rPr>
        <w:t xml:space="preserve">The ESCs considered the proposed clinical position of testing at diagnosis (rather than at diagnosis of or progression to stage III/IV MTC) to be appropriate, because it reduces the need for rebiopsy at disease progression (which may not always be possible) and provides value of knowing for patients. The ESCs also considered that testing at diagnosis minimises treatment delays, and that it is becoming standard practice for molecular oncology tests. </w:t>
      </w:r>
    </w:p>
    <w:p w14:paraId="69252C6C" w14:textId="5EF79078" w:rsidR="00EC43BF" w:rsidRPr="002A0545" w:rsidRDefault="00EC43BF" w:rsidP="002A0545">
      <w:pPr>
        <w:spacing w:before="160" w:after="120"/>
        <w:jc w:val="left"/>
        <w:rPr>
          <w:iCs/>
          <w:color w:val="000000" w:themeColor="text1"/>
        </w:rPr>
      </w:pPr>
      <w:r w:rsidRPr="002A0545">
        <w:rPr>
          <w:iCs/>
          <w:color w:val="000000" w:themeColor="text1"/>
        </w:rPr>
        <w:t xml:space="preserve">The ESCs noted that the NCCN guidelines recommend somatic </w:t>
      </w:r>
      <w:r w:rsidR="00B14353" w:rsidRPr="00B14353">
        <w:rPr>
          <w:i/>
          <w:iCs/>
          <w:color w:val="000000" w:themeColor="text1"/>
        </w:rPr>
        <w:t>RET</w:t>
      </w:r>
      <w:r w:rsidRPr="002A0545">
        <w:rPr>
          <w:iCs/>
          <w:color w:val="000000" w:themeColor="text1"/>
        </w:rPr>
        <w:t xml:space="preserve"> testing in patients who are </w:t>
      </w:r>
      <w:r w:rsidR="00B14353" w:rsidRPr="00B14353">
        <w:rPr>
          <w:i/>
          <w:iCs/>
          <w:color w:val="000000" w:themeColor="text1"/>
        </w:rPr>
        <w:t>RET</w:t>
      </w:r>
      <w:r w:rsidRPr="002A0545">
        <w:rPr>
          <w:iCs/>
          <w:color w:val="000000" w:themeColor="text1"/>
        </w:rPr>
        <w:t xml:space="preserve"> germline wildtype or unknown. The ESCs considered that it would be practical for somatic testing on tumour tissue to be performed prior to germline testing because the turnaround time is generally faster than germline testing, there is no requirement for genetic counselling before somatic testing, and it would reduce both downstream testing volume and the psychological burden of downstream germline testing as only those patients for whom </w:t>
      </w:r>
      <w:r w:rsidR="00B14353" w:rsidRPr="00B14353">
        <w:rPr>
          <w:i/>
          <w:iCs/>
          <w:color w:val="000000" w:themeColor="text1"/>
        </w:rPr>
        <w:t>RET</w:t>
      </w:r>
      <w:r w:rsidRPr="002A0545">
        <w:rPr>
          <w:iCs/>
          <w:color w:val="000000" w:themeColor="text1"/>
        </w:rPr>
        <w:t xml:space="preserve"> activating variant is identified in their tumour may cascade to germline testing. The ESCs noted only patients with a positive </w:t>
      </w:r>
      <w:r w:rsidR="00B14353" w:rsidRPr="00B14353">
        <w:rPr>
          <w:i/>
          <w:iCs/>
          <w:color w:val="000000" w:themeColor="text1"/>
        </w:rPr>
        <w:t>RET</w:t>
      </w:r>
      <w:r w:rsidRPr="002A0545">
        <w:rPr>
          <w:iCs/>
          <w:color w:val="000000" w:themeColor="text1"/>
        </w:rPr>
        <w:t xml:space="preserve"> variant on tumour tissue would require germline testing, for the purposes of informing cascade testing. </w:t>
      </w:r>
    </w:p>
    <w:p w14:paraId="522627FD" w14:textId="5A6E2BA7" w:rsidR="00EC43BF" w:rsidRPr="002A0545" w:rsidRDefault="00EC43BF" w:rsidP="002A0545">
      <w:pPr>
        <w:spacing w:before="160" w:after="120"/>
        <w:jc w:val="left"/>
        <w:rPr>
          <w:iCs/>
        </w:rPr>
      </w:pPr>
      <w:r w:rsidRPr="002A0545">
        <w:rPr>
          <w:iCs/>
        </w:rPr>
        <w:t xml:space="preserve">The ESCs noted that the proposed test was method agnostic, in line with the current MBS item (73339) for germline </w:t>
      </w:r>
      <w:r w:rsidR="00B14353" w:rsidRPr="00B14353">
        <w:rPr>
          <w:i/>
          <w:iCs/>
        </w:rPr>
        <w:t>RET</w:t>
      </w:r>
      <w:r w:rsidRPr="002A0545">
        <w:rPr>
          <w:iCs/>
        </w:rPr>
        <w:t xml:space="preserve"> variant testing, but that next-generation sequencing (NGS) or polymerase chain reaction (PCR) were expected to be used in Australia. The ESCs noted that the submission had not presented test performance evidence and acknowledged the applicant’s comments in the PSCR that this was in line with PASC advice that assessment of analytical validity was not required. The ESCs agreed with PASC’s advice that both NGS and PCR are well established genetic testing methodologies in Australia, and considered that it was therefore acceptable to assume 100% sensitivity and 100% specificity. The ESCs considered that NGS has higher sensitivity than PCR. The ESCs suggested that MSAC could consider whether it is appropriate for an explanatory note to include that NGS is the preferred test method, when it is available. </w:t>
      </w:r>
    </w:p>
    <w:p w14:paraId="1CD8FF50" w14:textId="2BA592C3" w:rsidR="00EC43BF" w:rsidRPr="002A0545" w:rsidRDefault="090DE104" w:rsidP="002A0545">
      <w:pPr>
        <w:spacing w:before="160" w:after="120"/>
        <w:jc w:val="left"/>
      </w:pPr>
      <w:r>
        <w:t xml:space="preserve">The ESCs noted a QAP would be required to be implemented if </w:t>
      </w:r>
      <w:r w:rsidR="48EEAAA2" w:rsidRPr="5E176297">
        <w:rPr>
          <w:i/>
          <w:iCs/>
        </w:rPr>
        <w:t>RET</w:t>
      </w:r>
      <w:r>
        <w:t xml:space="preserve"> testing is listed on the MBS and queried whether this would lead to delays or issues with implementation. The ESCs further noted that external quality assessment (EQA) schemes for molecular testing of </w:t>
      </w:r>
      <w:r w:rsidR="48EEAAA2" w:rsidRPr="5E176297">
        <w:rPr>
          <w:i/>
          <w:iCs/>
        </w:rPr>
        <w:t>RET</w:t>
      </w:r>
      <w:r>
        <w:t xml:space="preserve"> alterations (including in MTC) are available, such as </w:t>
      </w:r>
      <w:r w:rsidRPr="5E176297">
        <w:rPr>
          <w:lang w:val="en-GB"/>
        </w:rPr>
        <w:t>German EQAP [</w:t>
      </w:r>
      <w:proofErr w:type="spellStart"/>
      <w:r w:rsidRPr="5E176297">
        <w:rPr>
          <w:lang w:val="en-GB"/>
        </w:rPr>
        <w:t>QuIP</w:t>
      </w:r>
      <w:proofErr w:type="spellEnd"/>
      <w:r w:rsidRPr="5E176297">
        <w:rPr>
          <w:lang w:val="en-GB"/>
        </w:rPr>
        <w:t>]</w:t>
      </w:r>
      <w:r>
        <w:t xml:space="preserve">, and that in Australia there are QAPs for gene panels that include </w:t>
      </w:r>
      <w:r w:rsidR="48EEAAA2" w:rsidRPr="5E176297">
        <w:rPr>
          <w:i/>
          <w:iCs/>
        </w:rPr>
        <w:t>RET</w:t>
      </w:r>
      <w:r>
        <w:t xml:space="preserve"> testing. </w:t>
      </w:r>
    </w:p>
    <w:p w14:paraId="4BC750D7" w14:textId="77777777" w:rsidR="00EC43BF" w:rsidRPr="002A0545" w:rsidRDefault="00EC43BF" w:rsidP="002A0545">
      <w:pPr>
        <w:spacing w:before="160" w:after="120"/>
        <w:jc w:val="left"/>
        <w:rPr>
          <w:iCs/>
        </w:rPr>
      </w:pPr>
      <w:r w:rsidRPr="002A0545">
        <w:rPr>
          <w:iCs/>
        </w:rPr>
        <w:t xml:space="preserve">The ESCs noted the submission’s proposed item descriptor, along with changes proposed by the department. </w:t>
      </w:r>
    </w:p>
    <w:p w14:paraId="38752B76" w14:textId="4B108FC2" w:rsidR="00EC43BF" w:rsidRPr="002A0545" w:rsidRDefault="00EC43BF" w:rsidP="002A0545">
      <w:pPr>
        <w:spacing w:before="160" w:after="120"/>
        <w:jc w:val="left"/>
        <w:rPr>
          <w:iCs/>
        </w:rPr>
      </w:pPr>
      <w:r w:rsidRPr="002A0545">
        <w:rPr>
          <w:iCs/>
        </w:rPr>
        <w:t xml:space="preserve">The ESCs considered that both the MBS item descriptor and the PBS restriction should only reference the gene’s </w:t>
      </w:r>
      <w:r w:rsidR="00EF615C">
        <w:rPr>
          <w:iCs/>
        </w:rPr>
        <w:t>symbol</w:t>
      </w:r>
      <w:r w:rsidRPr="002A0545">
        <w:rPr>
          <w:iCs/>
        </w:rPr>
        <w:t>, “</w:t>
      </w:r>
      <w:r w:rsidR="00B14353" w:rsidRPr="00B14353">
        <w:rPr>
          <w:i/>
          <w:iCs/>
        </w:rPr>
        <w:t>RET</w:t>
      </w:r>
      <w:r w:rsidRPr="002A0545">
        <w:rPr>
          <w:iCs/>
        </w:rPr>
        <w:t xml:space="preserve">”, rather than </w:t>
      </w:r>
      <w:r w:rsidR="00666176">
        <w:rPr>
          <w:iCs/>
        </w:rPr>
        <w:t xml:space="preserve">also </w:t>
      </w:r>
      <w:r w:rsidRPr="002A0545">
        <w:rPr>
          <w:iCs/>
        </w:rPr>
        <w:t xml:space="preserve">the full </w:t>
      </w:r>
      <w:r w:rsidR="00666176">
        <w:rPr>
          <w:iCs/>
        </w:rPr>
        <w:t xml:space="preserve">gene </w:t>
      </w:r>
      <w:r w:rsidR="00EF615C">
        <w:rPr>
          <w:iCs/>
        </w:rPr>
        <w:t>name</w:t>
      </w:r>
      <w:r w:rsidRPr="002A0545">
        <w:rPr>
          <w:iCs/>
        </w:rPr>
        <w:t xml:space="preserve">, given the </w:t>
      </w:r>
      <w:r w:rsidR="00EF615C">
        <w:rPr>
          <w:iCs/>
        </w:rPr>
        <w:t>symbol</w:t>
      </w:r>
      <w:r w:rsidR="00EF615C" w:rsidRPr="002A0545">
        <w:rPr>
          <w:iCs/>
        </w:rPr>
        <w:t xml:space="preserve"> </w:t>
      </w:r>
      <w:r w:rsidRPr="002A0545">
        <w:rPr>
          <w:iCs/>
        </w:rPr>
        <w:t>is widely recognised among clinicians and that the gene may be known by multiple names. The ESCs considered that referring to the “</w:t>
      </w:r>
      <w:r w:rsidR="00B14353" w:rsidRPr="00B14353">
        <w:rPr>
          <w:i/>
          <w:iCs/>
        </w:rPr>
        <w:t>RET</w:t>
      </w:r>
      <w:r w:rsidRPr="002A0545">
        <w:rPr>
          <w:iCs/>
        </w:rPr>
        <w:t xml:space="preserve"> gene” would provide greater consistency.</w:t>
      </w:r>
    </w:p>
    <w:p w14:paraId="0211222A" w14:textId="3687E840" w:rsidR="00EC43BF" w:rsidRPr="002A0545" w:rsidRDefault="00EC43BF" w:rsidP="002A0545">
      <w:pPr>
        <w:spacing w:before="160" w:after="120"/>
        <w:jc w:val="left"/>
        <w:rPr>
          <w:iCs/>
        </w:rPr>
      </w:pPr>
      <w:r w:rsidRPr="002A0545">
        <w:rPr>
          <w:iCs/>
        </w:rPr>
        <w:t xml:space="preserve">The ESCs considered whether the proposed MBS item should allow for </w:t>
      </w:r>
      <w:r w:rsidR="00B14353" w:rsidRPr="00B14353">
        <w:rPr>
          <w:i/>
          <w:iCs/>
        </w:rPr>
        <w:t>RET</w:t>
      </w:r>
      <w:r w:rsidR="00A42024">
        <w:rPr>
          <w:i/>
          <w:iCs/>
        </w:rPr>
        <w:t xml:space="preserve"> </w:t>
      </w:r>
      <w:r w:rsidR="00A42024" w:rsidRPr="00687588">
        <w:t>t</w:t>
      </w:r>
      <w:r w:rsidRPr="002A0545">
        <w:rPr>
          <w:iCs/>
        </w:rPr>
        <w:t xml:space="preserve">esting, or if it should include a restriction on frequency of testing. While the submission itself did not provide evidence regarding the stability of </w:t>
      </w:r>
      <w:r w:rsidR="00B14353" w:rsidRPr="00B14353">
        <w:rPr>
          <w:i/>
          <w:iCs/>
        </w:rPr>
        <w:t>RET</w:t>
      </w:r>
      <w:r w:rsidRPr="002A0545">
        <w:rPr>
          <w:iCs/>
        </w:rPr>
        <w:t xml:space="preserve"> variant status, the ESCs noted and agreed with the commentary </w:t>
      </w:r>
      <w:r w:rsidRPr="002A0545">
        <w:rPr>
          <w:iCs/>
        </w:rPr>
        <w:lastRenderedPageBreak/>
        <w:t>that</w:t>
      </w:r>
      <w:r w:rsidRPr="002A0545" w:rsidDel="00D932DA">
        <w:rPr>
          <w:iCs/>
        </w:rPr>
        <w:t xml:space="preserve">, while </w:t>
      </w:r>
      <w:r w:rsidR="00B14353" w:rsidRPr="00B14353">
        <w:rPr>
          <w:i/>
          <w:iCs/>
        </w:rPr>
        <w:t>RET</w:t>
      </w:r>
      <w:r w:rsidRPr="002A0545">
        <w:rPr>
          <w:iCs/>
        </w:rPr>
        <w:t xml:space="preserve"> status is typically stable, it can change over time due to tumour heterogeneity and with treatment. </w:t>
      </w:r>
      <w:r w:rsidRPr="002A0545" w:rsidDel="00C95E03">
        <w:rPr>
          <w:iCs/>
        </w:rPr>
        <w:t xml:space="preserve"> </w:t>
      </w:r>
      <w:r w:rsidRPr="002A0545">
        <w:rPr>
          <w:iCs/>
        </w:rPr>
        <w:t xml:space="preserve">Therefore, the ESCs considered that testing should not necessarily be limited to once per lifetime. However, the ESCs also considered that there may be a rationale for limiting frequency of testing, given </w:t>
      </w:r>
      <w:r w:rsidR="00B14353" w:rsidRPr="00B14353">
        <w:rPr>
          <w:i/>
          <w:iCs/>
        </w:rPr>
        <w:t>RET</w:t>
      </w:r>
      <w:r w:rsidRPr="002A0545">
        <w:rPr>
          <w:iCs/>
        </w:rPr>
        <w:t xml:space="preserve"> activating variants are driver variants that typically develop early and tend to be conserved throughout the disease course. </w:t>
      </w:r>
    </w:p>
    <w:p w14:paraId="665865FE" w14:textId="16E5B45F" w:rsidR="00EC43BF" w:rsidRPr="002A0545" w:rsidRDefault="00EC43BF" w:rsidP="002A0545">
      <w:pPr>
        <w:spacing w:before="160" w:after="120"/>
        <w:jc w:val="left"/>
        <w:rPr>
          <w:iCs/>
        </w:rPr>
      </w:pPr>
      <w:r w:rsidRPr="002A0545">
        <w:rPr>
          <w:iCs/>
        </w:rPr>
        <w:t xml:space="preserve">The ESCs considered it appropriate that the test be requested by specialists and be pathologist determinable, consistent with other similar items on the MBS. Additionally, the ESCs considered that an explanatory note should be included alongside the item, defining activating </w:t>
      </w:r>
      <w:r w:rsidR="00B14353" w:rsidRPr="00B14353">
        <w:rPr>
          <w:i/>
          <w:iCs/>
        </w:rPr>
        <w:t>RET</w:t>
      </w:r>
      <w:r w:rsidRPr="002A0545">
        <w:rPr>
          <w:iCs/>
        </w:rPr>
        <w:t xml:space="preserve"> variants.</w:t>
      </w:r>
    </w:p>
    <w:p w14:paraId="684DBF14" w14:textId="77777777" w:rsidR="00EC43BF" w:rsidRPr="002A0545" w:rsidRDefault="00EC43BF" w:rsidP="002A0545">
      <w:pPr>
        <w:spacing w:before="160" w:after="120"/>
        <w:jc w:val="left"/>
        <w:rPr>
          <w:iCs/>
        </w:rPr>
      </w:pPr>
      <w:r w:rsidRPr="002A0545">
        <w:rPr>
          <w:iCs/>
        </w:rPr>
        <w:t xml:space="preserve">The ESCs considered that the applicant’s proposed fee of $400 appeared reasonable for the proposed test, noting that it was the same as the fee for MBS item 73339 for the detection of germline testing. </w:t>
      </w:r>
    </w:p>
    <w:p w14:paraId="09A85223" w14:textId="0545612E" w:rsidR="00EC43BF" w:rsidRPr="002A0545" w:rsidRDefault="00EC43BF" w:rsidP="002A0545">
      <w:pPr>
        <w:spacing w:before="160" w:after="120"/>
        <w:jc w:val="left"/>
        <w:rPr>
          <w:iCs/>
        </w:rPr>
      </w:pPr>
      <w:r w:rsidRPr="002A0545">
        <w:rPr>
          <w:iCs/>
        </w:rPr>
        <w:t xml:space="preserve">The ESCs considered that the department should consider amending the existing MBS item for germline </w:t>
      </w:r>
      <w:r w:rsidR="00B14353" w:rsidRPr="00B14353">
        <w:rPr>
          <w:i/>
          <w:iCs/>
        </w:rPr>
        <w:t>RET</w:t>
      </w:r>
      <w:r w:rsidRPr="002A0545">
        <w:rPr>
          <w:iCs/>
        </w:rPr>
        <w:t xml:space="preserve"> testing to include wording to support tumour testing before germline testing as the preferred sequence of testing for patients diagnosed with MTC.</w:t>
      </w:r>
    </w:p>
    <w:p w14:paraId="1963C376" w14:textId="77777777" w:rsidR="00EC43BF" w:rsidRPr="002A0545" w:rsidRDefault="00EC43BF" w:rsidP="002A0545">
      <w:pPr>
        <w:spacing w:before="160" w:after="120"/>
        <w:jc w:val="left"/>
        <w:rPr>
          <w:iCs/>
        </w:rPr>
      </w:pPr>
      <w:r w:rsidRPr="002A0545">
        <w:rPr>
          <w:iCs/>
        </w:rPr>
        <w:t>The ESCs considered it appropriate that testing be limited to tumour tissue testing, and should exclude ctDNA testing.</w:t>
      </w:r>
    </w:p>
    <w:p w14:paraId="234E48EE" w14:textId="77777777" w:rsidR="00EC43BF" w:rsidRPr="002A0545" w:rsidRDefault="00EC43BF" w:rsidP="002A0545">
      <w:pPr>
        <w:spacing w:before="160" w:after="120"/>
        <w:jc w:val="left"/>
        <w:rPr>
          <w:iCs/>
        </w:rPr>
      </w:pPr>
      <w:r w:rsidRPr="002A0545">
        <w:rPr>
          <w:iCs/>
        </w:rPr>
        <w:t>The item descriptor suggested by the ESCs is outlined below:</w:t>
      </w:r>
    </w:p>
    <w:p w14:paraId="0D509BBF" w14:textId="31806A57" w:rsidR="00EC43BF" w:rsidRPr="00601076" w:rsidRDefault="00C93AE0" w:rsidP="00687588">
      <w:pPr>
        <w:pStyle w:val="Caption"/>
      </w:pPr>
      <w:r>
        <w:t xml:space="preserve">Table </w:t>
      </w:r>
      <w:r>
        <w:fldChar w:fldCharType="begin"/>
      </w:r>
      <w:r>
        <w:instrText>SEQ Table \* ARABIC</w:instrText>
      </w:r>
      <w:r>
        <w:fldChar w:fldCharType="separate"/>
      </w:r>
      <w:r w:rsidR="005B2039">
        <w:rPr>
          <w:noProof/>
        </w:rPr>
        <w:t>14</w:t>
      </w:r>
      <w:r>
        <w:fldChar w:fldCharType="end"/>
      </w:r>
      <w:r>
        <w:t xml:space="preserve"> </w:t>
      </w:r>
      <w:r w:rsidR="00EC43BF" w:rsidRPr="00601076">
        <w:t>MBS item descriptor wording as considered appropriate by the joint ESCs</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9016"/>
      </w:tblGrid>
      <w:tr w:rsidR="00EC43BF" w:rsidRPr="00601076" w14:paraId="350A447F" w14:textId="77777777" w:rsidTr="5E176297">
        <w:trPr>
          <w:cnfStyle w:val="100000000000" w:firstRow="1" w:lastRow="0" w:firstColumn="0" w:lastColumn="0" w:oddVBand="0" w:evenVBand="0" w:oddHBand="0" w:evenHBand="0" w:firstRowFirstColumn="0" w:firstRowLastColumn="0" w:lastRowFirstColumn="0" w:lastRowLastColumn="0"/>
        </w:trPr>
        <w:tc>
          <w:tcPr>
            <w:tcW w:w="9026" w:type="dxa"/>
          </w:tcPr>
          <w:p w14:paraId="68739439" w14:textId="77777777" w:rsidR="00EC43BF" w:rsidRPr="00601076" w:rsidRDefault="00EC43BF">
            <w:pPr>
              <w:jc w:val="left"/>
              <w:rPr>
                <w:rFonts w:ascii="Arial Narrow" w:hAnsi="Arial Narrow"/>
                <w:sz w:val="20"/>
                <w:lang w:eastAsia="en-AU"/>
              </w:rPr>
            </w:pPr>
            <w:r w:rsidRPr="00601076">
              <w:rPr>
                <w:rFonts w:ascii="Arial Narrow" w:eastAsia="Calibri" w:hAnsi="Arial Narrow" w:cs="Arial"/>
                <w:sz w:val="20"/>
              </w:rPr>
              <w:t>Category 6 - Pathology Services</w:t>
            </w:r>
            <w:r w:rsidRPr="00601076">
              <w:rPr>
                <w:rFonts w:ascii="Arial Narrow" w:eastAsia="Calibri" w:hAnsi="Arial Narrow" w:cs="Arial"/>
                <w:sz w:val="20"/>
                <w:lang w:eastAsia="en-AU"/>
              </w:rPr>
              <w:t xml:space="preserve"> - Group P7 – Genetics</w:t>
            </w:r>
            <w:r w:rsidRPr="00601076">
              <w:rPr>
                <w:rFonts w:ascii="Arial Narrow" w:eastAsia="Calibri" w:hAnsi="Arial Narrow" w:cs="Arial"/>
                <w:sz w:val="20"/>
              </w:rPr>
              <w:t xml:space="preserve"> </w:t>
            </w:r>
          </w:p>
        </w:tc>
      </w:tr>
      <w:tr w:rsidR="00EC43BF" w:rsidRPr="00601076" w14:paraId="661FA935" w14:textId="77777777" w:rsidTr="5E176297">
        <w:trPr>
          <w:trHeight w:val="416"/>
        </w:trPr>
        <w:tc>
          <w:tcPr>
            <w:tcW w:w="9026" w:type="dxa"/>
          </w:tcPr>
          <w:p w14:paraId="65F2844A" w14:textId="77777777" w:rsidR="00EC43BF" w:rsidRPr="00601076" w:rsidRDefault="00EC43BF">
            <w:pPr>
              <w:spacing w:after="120"/>
              <w:rPr>
                <w:rFonts w:ascii="Arial Narrow" w:hAnsi="Arial Narrow"/>
                <w:sz w:val="20"/>
                <w:lang w:eastAsia="en-AU"/>
              </w:rPr>
            </w:pPr>
            <w:r w:rsidRPr="00601076">
              <w:rPr>
                <w:rFonts w:ascii="Arial Narrow" w:eastAsia="Calibri" w:hAnsi="Arial Narrow" w:cs="Arial"/>
                <w:sz w:val="20"/>
                <w:lang w:eastAsia="en-AU"/>
              </w:rPr>
              <w:t>MBS item YYYY</w:t>
            </w:r>
          </w:p>
          <w:p w14:paraId="23CA0804" w14:textId="77777777" w:rsidR="00EC43BF" w:rsidRPr="00601076" w:rsidRDefault="00EC43BF">
            <w:pPr>
              <w:keepNext/>
              <w:keepLines/>
              <w:textAlignment w:val="baseline"/>
              <w:rPr>
                <w:rFonts w:ascii="Arial Narrow" w:hAnsi="Arial Narrow"/>
                <w:sz w:val="20"/>
                <w:lang w:eastAsia="en-AU"/>
              </w:rPr>
            </w:pPr>
            <w:r w:rsidRPr="00601076">
              <w:rPr>
                <w:rFonts w:ascii="Arial Narrow" w:hAnsi="Arial Narrow"/>
                <w:sz w:val="20"/>
              </w:rPr>
              <w:t xml:space="preserve">A test </w:t>
            </w:r>
            <w:proofErr w:type="gramStart"/>
            <w:r w:rsidRPr="00601076">
              <w:rPr>
                <w:rFonts w:ascii="Arial Narrow" w:hAnsi="Arial Narrow"/>
                <w:sz w:val="20"/>
              </w:rPr>
              <w:t>of</w:t>
            </w:r>
            <w:proofErr w:type="gramEnd"/>
            <w:r w:rsidRPr="00601076">
              <w:rPr>
                <w:rFonts w:ascii="Arial Narrow" w:hAnsi="Arial Narrow"/>
                <w:sz w:val="20"/>
              </w:rPr>
              <w:t xml:space="preserve"> </w:t>
            </w:r>
            <w:proofErr w:type="spellStart"/>
            <w:r w:rsidRPr="00601076">
              <w:rPr>
                <w:rFonts w:ascii="Arial Narrow" w:hAnsi="Arial Narrow"/>
                <w:sz w:val="20"/>
              </w:rPr>
              <w:t>tumour</w:t>
            </w:r>
            <w:proofErr w:type="spellEnd"/>
            <w:r w:rsidRPr="00601076">
              <w:rPr>
                <w:rFonts w:ascii="Arial Narrow" w:hAnsi="Arial Narrow"/>
                <w:sz w:val="20"/>
              </w:rPr>
              <w:t xml:space="preserve"> tissue from a </w:t>
            </w:r>
            <w:r w:rsidRPr="00601076">
              <w:rPr>
                <w:rFonts w:ascii="Arial Narrow" w:eastAsia="Calibri" w:hAnsi="Arial Narrow" w:cs="Arial"/>
                <w:sz w:val="20"/>
                <w:lang w:eastAsia="en-AU"/>
              </w:rPr>
              <w:t xml:space="preserve">patient with </w:t>
            </w:r>
            <w:r w:rsidRPr="00601076">
              <w:rPr>
                <w:rFonts w:ascii="Arial Narrow" w:hAnsi="Arial Narrow"/>
                <w:sz w:val="20"/>
              </w:rPr>
              <w:t>histologically confirmed</w:t>
            </w:r>
            <w:r w:rsidRPr="00601076">
              <w:rPr>
                <w:rFonts w:ascii="Arial Narrow" w:eastAsia="Calibri" w:hAnsi="Arial Narrow" w:cs="Arial"/>
                <w:sz w:val="20"/>
                <w:lang w:eastAsia="en-AU"/>
              </w:rPr>
              <w:t xml:space="preserve"> </w:t>
            </w:r>
            <w:proofErr w:type="gramStart"/>
            <w:r w:rsidRPr="00601076">
              <w:rPr>
                <w:rFonts w:ascii="Arial Narrow" w:eastAsia="Calibri" w:hAnsi="Arial Narrow" w:cs="Arial"/>
                <w:sz w:val="20"/>
                <w:lang w:eastAsia="en-AU"/>
              </w:rPr>
              <w:t>medullary thyroid</w:t>
            </w:r>
            <w:proofErr w:type="gramEnd"/>
            <w:r w:rsidRPr="00601076">
              <w:rPr>
                <w:rFonts w:ascii="Arial Narrow" w:eastAsia="Calibri" w:hAnsi="Arial Narrow" w:cs="Arial"/>
                <w:sz w:val="20"/>
                <w:lang w:eastAsia="en-AU"/>
              </w:rPr>
              <w:t xml:space="preserve"> cancer requested by</w:t>
            </w:r>
            <w:r w:rsidRPr="00601076">
              <w:rPr>
                <w:rFonts w:ascii="Arial Narrow" w:hAnsi="Arial Narrow"/>
                <w:sz w:val="20"/>
              </w:rPr>
              <w:t>, or on behalf of,</w:t>
            </w:r>
            <w:r w:rsidRPr="00601076">
              <w:rPr>
                <w:rFonts w:ascii="Arial Narrow" w:eastAsia="Calibri" w:hAnsi="Arial Narrow" w:cs="Arial"/>
                <w:sz w:val="20"/>
                <w:lang w:eastAsia="en-AU"/>
              </w:rPr>
              <w:t xml:space="preserve"> a specialist or consultant physician i</w:t>
            </w:r>
            <w:r w:rsidRPr="00601076">
              <w:rPr>
                <w:rFonts w:ascii="Arial Narrow" w:hAnsi="Arial Narrow"/>
                <w:sz w:val="20"/>
              </w:rPr>
              <w:t>f the test is:</w:t>
            </w:r>
            <w:r w:rsidRPr="00601076">
              <w:rPr>
                <w:rFonts w:ascii="Arial Narrow" w:eastAsia="Calibri" w:hAnsi="Arial Narrow" w:cs="Arial"/>
                <w:sz w:val="20"/>
                <w:lang w:eastAsia="en-AU"/>
              </w:rPr>
              <w:t xml:space="preserve"> </w:t>
            </w:r>
          </w:p>
          <w:p w14:paraId="18A241F8" w14:textId="64594537" w:rsidR="00EC43BF" w:rsidRPr="00601076" w:rsidRDefault="00EC43BF" w:rsidP="00601076">
            <w:pPr>
              <w:pStyle w:val="ListParagraph"/>
              <w:numPr>
                <w:ilvl w:val="0"/>
                <w:numId w:val="7"/>
              </w:numPr>
              <w:spacing w:after="120"/>
              <w:contextualSpacing/>
              <w:jc w:val="left"/>
              <w:rPr>
                <w:rFonts w:ascii="Arial Narrow" w:hAnsi="Arial Narrow"/>
                <w:sz w:val="20"/>
              </w:rPr>
            </w:pPr>
            <w:r w:rsidRPr="00601076">
              <w:rPr>
                <w:rFonts w:ascii="Arial Narrow" w:hAnsi="Arial Narrow"/>
                <w:sz w:val="20"/>
              </w:rPr>
              <w:t>to detect variants relating to at least the</w:t>
            </w:r>
            <w:r w:rsidRPr="00601076">
              <w:rPr>
                <w:rFonts w:ascii="Arial Narrow" w:eastAsia="Calibri" w:hAnsi="Arial Narrow" w:cs="Arial"/>
                <w:sz w:val="20"/>
              </w:rPr>
              <w:t xml:space="preserve"> RET gene </w:t>
            </w:r>
            <w:r w:rsidRPr="00601076">
              <w:rPr>
                <w:rFonts w:ascii="Arial Narrow" w:hAnsi="Arial Narrow"/>
                <w:sz w:val="20"/>
              </w:rPr>
              <w:t xml:space="preserve">activating variant </w:t>
            </w:r>
            <w:r w:rsidRPr="00601076">
              <w:rPr>
                <w:rFonts w:ascii="Arial Narrow" w:eastAsia="Calibri" w:hAnsi="Arial Narrow" w:cs="Arial"/>
                <w:sz w:val="20"/>
              </w:rPr>
              <w:t>status</w:t>
            </w:r>
            <w:r w:rsidRPr="00601076">
              <w:rPr>
                <w:rFonts w:ascii="Arial Narrow" w:hAnsi="Arial Narrow"/>
                <w:sz w:val="20"/>
              </w:rPr>
              <w:t xml:space="preserve">, and </w:t>
            </w:r>
          </w:p>
          <w:p w14:paraId="23C989A2" w14:textId="77777777" w:rsidR="00EC43BF" w:rsidRPr="00601076" w:rsidRDefault="00EC43BF" w:rsidP="00601076">
            <w:pPr>
              <w:pStyle w:val="ListParagraph"/>
              <w:numPr>
                <w:ilvl w:val="0"/>
                <w:numId w:val="7"/>
              </w:numPr>
              <w:spacing w:after="120"/>
              <w:contextualSpacing/>
              <w:jc w:val="left"/>
              <w:rPr>
                <w:rFonts w:ascii="Arial Narrow" w:hAnsi="Arial Narrow"/>
                <w:sz w:val="20"/>
              </w:rPr>
            </w:pPr>
            <w:r w:rsidRPr="00601076">
              <w:rPr>
                <w:rFonts w:ascii="Arial Narrow" w:eastAsia="Calibri" w:hAnsi="Arial Narrow" w:cs="Arial"/>
                <w:sz w:val="20"/>
              </w:rPr>
              <w:t xml:space="preserve">to determine </w:t>
            </w:r>
            <w:r w:rsidRPr="00601076">
              <w:rPr>
                <w:rFonts w:ascii="Arial Narrow" w:hAnsi="Arial Narrow"/>
                <w:sz w:val="20"/>
              </w:rPr>
              <w:t>eligibility for</w:t>
            </w:r>
            <w:r w:rsidRPr="00601076">
              <w:rPr>
                <w:rFonts w:ascii="Arial Narrow" w:eastAsia="Calibri" w:hAnsi="Arial Narrow" w:cs="Arial"/>
                <w:sz w:val="20"/>
              </w:rPr>
              <w:t xml:space="preserve"> </w:t>
            </w:r>
            <w:r w:rsidRPr="00601076">
              <w:rPr>
                <w:rFonts w:ascii="Arial Narrow" w:hAnsi="Arial Narrow"/>
                <w:sz w:val="20"/>
              </w:rPr>
              <w:t>a</w:t>
            </w:r>
            <w:r w:rsidRPr="00601076">
              <w:rPr>
                <w:rFonts w:ascii="Arial Narrow" w:hAnsi="Arial Narrow"/>
                <w:sz w:val="20"/>
                <w:lang w:val="en-AU"/>
              </w:rPr>
              <w:t xml:space="preserve"> </w:t>
            </w:r>
            <w:r w:rsidRPr="00601076">
              <w:rPr>
                <w:rFonts w:ascii="Arial Narrow" w:eastAsia="Calibri" w:hAnsi="Arial Narrow" w:cs="Arial"/>
                <w:sz w:val="20"/>
              </w:rPr>
              <w:t xml:space="preserve">relevant </w:t>
            </w:r>
            <w:r w:rsidRPr="00601076">
              <w:rPr>
                <w:rFonts w:ascii="Arial Narrow" w:hAnsi="Arial Narrow"/>
                <w:sz w:val="20"/>
              </w:rPr>
              <w:t xml:space="preserve">treatment </w:t>
            </w:r>
            <w:r w:rsidRPr="00601076">
              <w:rPr>
                <w:rFonts w:ascii="Arial Narrow" w:eastAsia="Calibri" w:hAnsi="Arial Narrow" w:cs="Arial"/>
                <w:sz w:val="20"/>
              </w:rPr>
              <w:t>listed on the Pharmaceutical Benefits Scheme (PBS</w:t>
            </w:r>
            <w:r w:rsidRPr="00601076">
              <w:rPr>
                <w:rFonts w:ascii="Calibri" w:eastAsia="Calibri" w:hAnsi="Calibri" w:cs="Arial"/>
              </w:rPr>
              <w:t>).</w:t>
            </w:r>
          </w:p>
          <w:p w14:paraId="05B1CAB8" w14:textId="77777777" w:rsidR="00EC43BF" w:rsidRPr="00601076" w:rsidRDefault="00EC43BF">
            <w:pPr>
              <w:spacing w:after="120"/>
              <w:rPr>
                <w:rFonts w:ascii="Arial Narrow" w:hAnsi="Arial Narrow"/>
                <w:sz w:val="20"/>
                <w:lang w:eastAsia="en-AU"/>
              </w:rPr>
            </w:pPr>
            <w:r w:rsidRPr="00601076">
              <w:rPr>
                <w:rFonts w:ascii="Arial Narrow" w:eastAsia="Calibri" w:hAnsi="Arial Narrow" w:cs="Arial"/>
                <w:sz w:val="20"/>
                <w:lang w:eastAsia="en-AU"/>
              </w:rPr>
              <w:t>Fee: $400.00 Benefit 75% $300.00 85% $340.00</w:t>
            </w:r>
          </w:p>
          <w:p w14:paraId="10BAB788" w14:textId="1F8340BE" w:rsidR="00EC43BF" w:rsidRPr="00601076" w:rsidRDefault="090DE104" w:rsidP="63A4ACB5">
            <w:pPr>
              <w:spacing w:after="120"/>
              <w:rPr>
                <w:rFonts w:ascii="Arial Narrow" w:hAnsi="Arial Narrow"/>
                <w:sz w:val="20"/>
                <w:szCs w:val="20"/>
                <w:lang w:eastAsia="en-AU"/>
              </w:rPr>
            </w:pPr>
            <w:r w:rsidRPr="5E176297">
              <w:rPr>
                <w:rFonts w:ascii="Arial Narrow" w:eastAsia="Calibri" w:hAnsi="Arial Narrow" w:cs="Arial"/>
                <w:sz w:val="20"/>
                <w:szCs w:val="20"/>
                <w:lang w:eastAsia="en-AU"/>
              </w:rPr>
              <w:t>(See para</w:t>
            </w:r>
            <w:r w:rsidR="57AAADC9" w:rsidRPr="5E176297">
              <w:rPr>
                <w:rFonts w:ascii="Arial Narrow" w:eastAsia="Calibri" w:hAnsi="Arial Narrow" w:cs="Arial"/>
                <w:sz w:val="20"/>
                <w:szCs w:val="20"/>
                <w:lang w:eastAsia="en-AU"/>
              </w:rPr>
              <w:t xml:space="preserve"> </w:t>
            </w:r>
            <w:r w:rsidRPr="5E176297">
              <w:rPr>
                <w:rFonts w:ascii="Arial Narrow" w:eastAsia="Calibri" w:hAnsi="Arial Narrow" w:cs="Arial"/>
                <w:sz w:val="20"/>
                <w:szCs w:val="20"/>
                <w:lang w:eastAsia="en-AU"/>
              </w:rPr>
              <w:t> </w:t>
            </w:r>
            <w:hyperlink r:id="rId16">
              <w:r w:rsidRPr="5E176297">
                <w:rPr>
                  <w:rFonts w:ascii="Arial Narrow" w:hAnsi="Arial Narrow"/>
                  <w:sz w:val="20"/>
                  <w:szCs w:val="20"/>
                  <w:lang w:val="en-AU" w:eastAsia="en-AU"/>
                </w:rPr>
                <w:t>PN.1.2</w:t>
              </w:r>
            </w:hyperlink>
            <w:r w:rsidRPr="5E176297">
              <w:rPr>
                <w:rFonts w:ascii="Arial Narrow" w:hAnsi="Arial Narrow"/>
                <w:sz w:val="20"/>
                <w:szCs w:val="20"/>
                <w:lang w:val="en-AU" w:eastAsia="en-AU"/>
              </w:rPr>
              <w:t> o</w:t>
            </w:r>
            <w:r w:rsidRPr="5E176297">
              <w:rPr>
                <w:rFonts w:ascii="Arial Narrow" w:eastAsia="Calibri" w:hAnsi="Arial Narrow" w:cs="Arial"/>
                <w:sz w:val="20"/>
                <w:szCs w:val="20"/>
                <w:lang w:eastAsia="en-AU"/>
              </w:rPr>
              <w:t>f explanatory notes to this Category)</w:t>
            </w:r>
          </w:p>
        </w:tc>
      </w:tr>
    </w:tbl>
    <w:p w14:paraId="67AB370F" w14:textId="51ADCBD2" w:rsidR="00EC43BF" w:rsidRPr="00601076" w:rsidRDefault="00EC43BF" w:rsidP="00601076">
      <w:pPr>
        <w:jc w:val="left"/>
        <w:rPr>
          <w:color w:val="000000" w:themeColor="text1"/>
        </w:rPr>
      </w:pPr>
      <w:r w:rsidRPr="00601076">
        <w:rPr>
          <w:color w:val="000000" w:themeColor="text1"/>
        </w:rPr>
        <w:t xml:space="preserve">The ESCs noted the proposed test comparator was no </w:t>
      </w:r>
      <w:r w:rsidR="00B14353" w:rsidRPr="00B14353">
        <w:rPr>
          <w:i/>
          <w:iCs/>
          <w:color w:val="000000" w:themeColor="text1"/>
        </w:rPr>
        <w:t>RET</w:t>
      </w:r>
      <w:r w:rsidRPr="00601076">
        <w:rPr>
          <w:color w:val="000000" w:themeColor="text1"/>
        </w:rPr>
        <w:t xml:space="preserve"> variant testing of tumour tissue, and considered that this was appropriate. </w:t>
      </w:r>
    </w:p>
    <w:p w14:paraId="2E6C2E5D" w14:textId="13711447" w:rsidR="00EC43BF" w:rsidRPr="00601076" w:rsidRDefault="00EC43BF" w:rsidP="00601076">
      <w:pPr>
        <w:jc w:val="left"/>
        <w:rPr>
          <w:color w:val="000000" w:themeColor="text1"/>
        </w:rPr>
      </w:pPr>
      <w:r w:rsidRPr="00601076">
        <w:rPr>
          <w:color w:val="000000" w:themeColor="text1"/>
        </w:rPr>
        <w:t xml:space="preserve">The ESCs noted that the submission did not present any test safety data but stated that testing was not expected to introduce any safety concerns. The ESCs considered this reasonable given testing would typically be performed on tissue samples obtained via surgical resection, and biopsy for the purposes of </w:t>
      </w:r>
      <w:r w:rsidR="00B14353" w:rsidRPr="00B14353">
        <w:rPr>
          <w:i/>
          <w:iCs/>
          <w:color w:val="000000" w:themeColor="text1"/>
        </w:rPr>
        <w:t>RET</w:t>
      </w:r>
      <w:r w:rsidRPr="00601076">
        <w:rPr>
          <w:color w:val="000000" w:themeColor="text1"/>
        </w:rPr>
        <w:t xml:space="preserve"> testing would only be needed if a resection specimen was not available or could not be used. </w:t>
      </w:r>
    </w:p>
    <w:p w14:paraId="073B7F8E" w14:textId="176CBC32" w:rsidR="00EC43BF" w:rsidRPr="00601076" w:rsidRDefault="00EC43BF" w:rsidP="00601076">
      <w:pPr>
        <w:spacing w:before="160" w:after="120"/>
        <w:jc w:val="left"/>
        <w:rPr>
          <w:color w:val="000000" w:themeColor="text1"/>
        </w:rPr>
      </w:pPr>
      <w:r w:rsidRPr="00601076">
        <w:rPr>
          <w:color w:val="000000" w:themeColor="text1"/>
        </w:rPr>
        <w:t xml:space="preserve">The ESCs further noted that the submission did not present direct evidence of the efficacy of selpercatinib in patients with </w:t>
      </w:r>
      <w:r w:rsidR="00B14353" w:rsidRPr="00B14353">
        <w:rPr>
          <w:i/>
          <w:iCs/>
          <w:color w:val="000000" w:themeColor="text1"/>
        </w:rPr>
        <w:t>RET</w:t>
      </w:r>
      <w:r w:rsidRPr="00601076">
        <w:rPr>
          <w:color w:val="000000" w:themeColor="text1"/>
        </w:rPr>
        <w:t xml:space="preserve"> wildtype. The ESCs noted that evidence to support the claim of codependency had not been presented. However, the ESCs noted that based on its mechanism of action, it was biologically plausible that selpercatinib acts as a targeted treatment for patients with </w:t>
      </w:r>
      <w:r w:rsidR="00B14353" w:rsidRPr="00B14353">
        <w:rPr>
          <w:i/>
          <w:iCs/>
          <w:color w:val="000000" w:themeColor="text1"/>
        </w:rPr>
        <w:t>RET</w:t>
      </w:r>
      <w:r w:rsidRPr="00601076">
        <w:rPr>
          <w:color w:val="000000" w:themeColor="text1"/>
        </w:rPr>
        <w:t xml:space="preserve"> variant MTC.</w:t>
      </w:r>
    </w:p>
    <w:p w14:paraId="10990EEE" w14:textId="3A187084" w:rsidR="00EC43BF" w:rsidRPr="00601076" w:rsidRDefault="00EC43BF" w:rsidP="00601076">
      <w:pPr>
        <w:spacing w:before="160" w:after="120"/>
        <w:jc w:val="left"/>
        <w:rPr>
          <w:color w:val="000000" w:themeColor="text1"/>
        </w:rPr>
      </w:pPr>
      <w:r w:rsidRPr="00601076">
        <w:rPr>
          <w:color w:val="000000" w:themeColor="text1"/>
        </w:rPr>
        <w:t xml:space="preserve">The ESCs noted that the test population in the key trial presented in the submission, LIBRETTO-531, was patients with </w:t>
      </w:r>
      <w:r w:rsidR="00B14353" w:rsidRPr="00B14353">
        <w:rPr>
          <w:i/>
          <w:iCs/>
          <w:color w:val="000000" w:themeColor="text1"/>
        </w:rPr>
        <w:t>RET</w:t>
      </w:r>
      <w:r w:rsidRPr="00601076">
        <w:rPr>
          <w:color w:val="000000" w:themeColor="text1"/>
        </w:rPr>
        <w:t xml:space="preserve"> variant locally advanced or metastatic MTC with unresectable disease and documented disease progression at enrolment, who were treatment naïve to kinase inhibitors. The ESCs noted the assay used in the key trial tested for point mutations in the </w:t>
      </w:r>
      <w:r w:rsidR="00B14353" w:rsidRPr="00B14353">
        <w:rPr>
          <w:i/>
          <w:iCs/>
          <w:color w:val="000000" w:themeColor="text1"/>
        </w:rPr>
        <w:t>RET</w:t>
      </w:r>
      <w:r w:rsidRPr="00601076">
        <w:rPr>
          <w:color w:val="000000" w:themeColor="text1"/>
        </w:rPr>
        <w:t xml:space="preserve"> gene, rather than fusions, which is consistent with the most common type of </w:t>
      </w:r>
      <w:r w:rsidR="00B14353" w:rsidRPr="00B14353">
        <w:rPr>
          <w:i/>
          <w:iCs/>
          <w:color w:val="000000" w:themeColor="text1"/>
        </w:rPr>
        <w:t>RET</w:t>
      </w:r>
      <w:r w:rsidRPr="00601076">
        <w:rPr>
          <w:color w:val="000000" w:themeColor="text1"/>
        </w:rPr>
        <w:t xml:space="preserve"> variants found in MTC.</w:t>
      </w:r>
    </w:p>
    <w:p w14:paraId="5ADE779B" w14:textId="77777777" w:rsidR="00EC43BF" w:rsidRPr="00601076" w:rsidRDefault="00EC43BF" w:rsidP="00601076">
      <w:pPr>
        <w:spacing w:before="160" w:after="120"/>
        <w:jc w:val="left"/>
        <w:rPr>
          <w:color w:val="000000" w:themeColor="text1"/>
        </w:rPr>
      </w:pPr>
      <w:r w:rsidRPr="00601076">
        <w:rPr>
          <w:color w:val="000000" w:themeColor="text1"/>
        </w:rPr>
        <w:t xml:space="preserve">The ESCs noted the submission’s clinical claim and considered it to be reasonable. </w:t>
      </w:r>
    </w:p>
    <w:p w14:paraId="239F6986" w14:textId="3841F14A" w:rsidR="00EC43BF" w:rsidRPr="00601076" w:rsidRDefault="00EC43BF" w:rsidP="00601076">
      <w:pPr>
        <w:spacing w:before="160" w:after="120"/>
        <w:jc w:val="left"/>
        <w:rPr>
          <w:color w:val="000000" w:themeColor="text1"/>
        </w:rPr>
      </w:pPr>
      <w:r w:rsidRPr="00601076">
        <w:rPr>
          <w:color w:val="000000" w:themeColor="text1"/>
        </w:rPr>
        <w:lastRenderedPageBreak/>
        <w:t xml:space="preserve">The ESCs noted that the submission presented a cost utility analysis (CUA) based on an indirect comparison of selpercatinib and best supportive care in patients with advanced or metastatic MTC who </w:t>
      </w:r>
      <w:r w:rsidRPr="00430728">
        <w:rPr>
          <w:color w:val="000000" w:themeColor="text1"/>
        </w:rPr>
        <w:t xml:space="preserve">have a confirmed </w:t>
      </w:r>
      <w:r w:rsidR="00B14353" w:rsidRPr="00430728">
        <w:rPr>
          <w:i/>
          <w:iCs/>
          <w:color w:val="000000" w:themeColor="text1"/>
        </w:rPr>
        <w:t>RET</w:t>
      </w:r>
      <w:r w:rsidRPr="00430728">
        <w:rPr>
          <w:color w:val="000000" w:themeColor="text1"/>
        </w:rPr>
        <w:t xml:space="preserve"> variant. The ESCs noted that the model used a number needed to test (NNT) approach, rather than considering false negative or false positive results. The ESCs noted that the base case incremental cost-effectiveness ratio (ICER) was $</w:t>
      </w:r>
      <w:r w:rsidR="00EE2728" w:rsidRPr="00430728">
        <w:rPr>
          <w:color w:val="000000" w:themeColor="text1"/>
        </w:rPr>
        <w:t>55,000 to &lt; $75,000</w:t>
      </w:r>
      <w:r w:rsidRPr="00430728">
        <w:rPr>
          <w:color w:val="000000" w:themeColor="text1"/>
        </w:rPr>
        <w:t>, but that this used a NNT of 2.97, which assumed testing only at diagnosis of or progression to stage III/IV. The ESCs noted an additional analysis conducted by the commentary, which corrected the NNT to 1.4 to assume testing at diagnosis of MTC. However, the ESCs noted that this had minimal impact (-</w:t>
      </w:r>
      <w:r w:rsidR="00FA368F" w:rsidRPr="00430728">
        <w:rPr>
          <w:b/>
          <w:bCs/>
          <w:color w:val="000000" w:themeColor="text1"/>
        </w:rPr>
        <w:t>Redacted</w:t>
      </w:r>
      <w:r w:rsidRPr="00430728">
        <w:rPr>
          <w:color w:val="000000" w:themeColor="text1"/>
        </w:rPr>
        <w:t>%) on the ICER, given the comparatively small cost of testing versus the overall cost of selpercatinib</w:t>
      </w:r>
      <w:r w:rsidRPr="00601076">
        <w:rPr>
          <w:color w:val="000000" w:themeColor="text1"/>
        </w:rPr>
        <w:t xml:space="preserve"> treatment.</w:t>
      </w:r>
    </w:p>
    <w:p w14:paraId="35A008F4" w14:textId="0732FA42" w:rsidR="00EC43BF" w:rsidRPr="00601076" w:rsidRDefault="00EC43BF" w:rsidP="00601076">
      <w:pPr>
        <w:jc w:val="left"/>
      </w:pPr>
      <w:r w:rsidRPr="00601076">
        <w:t xml:space="preserve">The ESCs noted that the submission’s estimated net cost to the MBS included both </w:t>
      </w:r>
      <w:r w:rsidR="00B14353" w:rsidRPr="00B14353">
        <w:rPr>
          <w:i/>
          <w:iCs/>
        </w:rPr>
        <w:t>RET</w:t>
      </w:r>
      <w:r w:rsidRPr="00601076">
        <w:t xml:space="preserve"> testing at a cost of $400 and electrocardiogram (ECG) costs associated with monitoring patients on treatment with selpercatinib. However, the ESCs considered the submission had underestimated the net cost to the MBS, because it inadequately accounted for prevalent MTC patients prior to 2026. The ESCs concluded that, due to the indolent nature of MTC, these patients may contribute to a sizeable test cost in practice. The ESCs noted the commentary had presented alternative financial estimates accounting for the prevalent patients, which resulted in a net cost to the MBS in Year 1 approximately 4 times that of the original submission. </w:t>
      </w:r>
    </w:p>
    <w:p w14:paraId="57845939" w14:textId="49B75898" w:rsidR="00EC43BF" w:rsidRDefault="00EC43BF" w:rsidP="00601076">
      <w:pPr>
        <w:jc w:val="left"/>
      </w:pPr>
      <w:r w:rsidRPr="00601076">
        <w:t xml:space="preserve">The ESCs also noted that the financial implications to the MBS were calculated using an 80% benefit, noting that ECG monitoring is likely to be eligible for an 85% benefit as an outpatient service, while </w:t>
      </w:r>
      <w:r w:rsidR="00B14353" w:rsidRPr="00B14353">
        <w:rPr>
          <w:i/>
          <w:iCs/>
        </w:rPr>
        <w:t>RET</w:t>
      </w:r>
      <w:r w:rsidRPr="00601076">
        <w:t xml:space="preserve"> testing may be performed in-hospital and would therefore be eligible for a 75% benefit. However, since the proportion of patients receiving in-hospital testing is uncertain, the impact of this on the financials was also uncertain. The ESCs considered the commentary’s estimates (which corrected the NNT) to be informative, and more plausible than the submission’s estimates, although noted that it did not account for the incorrectly applied 80% MBS benefit, and therefore that there remained some uncertainty in the overall costs to the MBS.</w:t>
      </w:r>
    </w:p>
    <w:p w14:paraId="2CF1697B" w14:textId="77777777" w:rsidR="00601076" w:rsidRPr="00601076" w:rsidRDefault="00601076" w:rsidP="00601076">
      <w:pPr>
        <w:pStyle w:val="MSACHeading1"/>
        <w:numPr>
          <w:ilvl w:val="0"/>
          <w:numId w:val="15"/>
        </w:numPr>
        <w:ind w:hanging="720"/>
        <w:rPr>
          <w:rFonts w:ascii="Franklin Gothic Medium" w:hAnsi="Franklin Gothic Medium"/>
          <w:b w:val="0"/>
          <w:bCs w:val="0"/>
          <w:sz w:val="32"/>
          <w:szCs w:val="32"/>
        </w:rPr>
      </w:pPr>
      <w:bookmarkStart w:id="49" w:name="_Hlk213745948"/>
      <w:r w:rsidRPr="00601076">
        <w:rPr>
          <w:rFonts w:ascii="Franklin Gothic Medium" w:hAnsi="Franklin Gothic Medium"/>
          <w:b w:val="0"/>
          <w:bCs w:val="0"/>
          <w:sz w:val="32"/>
          <w:szCs w:val="32"/>
        </w:rPr>
        <w:t>Applicant comments on MSAC’s Public Summary Document</w:t>
      </w:r>
    </w:p>
    <w:p w14:paraId="446855FF" w14:textId="516A81C7" w:rsidR="00601076" w:rsidRPr="00430728" w:rsidRDefault="00B16F2E" w:rsidP="00601076">
      <w:pPr>
        <w:spacing w:after="240" w:line="259" w:lineRule="auto"/>
        <w:jc w:val="left"/>
        <w:rPr>
          <w:lang w:val="en-GB"/>
        </w:rPr>
      </w:pPr>
      <w:r w:rsidRPr="00430728">
        <w:t>The applicant did not have any comments.</w:t>
      </w:r>
    </w:p>
    <w:p w14:paraId="71B7E7F5" w14:textId="77777777" w:rsidR="00601076" w:rsidRPr="00601076" w:rsidRDefault="00601076" w:rsidP="00601076">
      <w:pPr>
        <w:pStyle w:val="MSACHeading1"/>
        <w:numPr>
          <w:ilvl w:val="0"/>
          <w:numId w:val="15"/>
        </w:numPr>
        <w:ind w:hanging="720"/>
        <w:rPr>
          <w:rFonts w:ascii="Franklin Gothic Medium" w:hAnsi="Franklin Gothic Medium"/>
          <w:b w:val="0"/>
          <w:bCs w:val="0"/>
          <w:sz w:val="32"/>
          <w:szCs w:val="32"/>
        </w:rPr>
      </w:pPr>
      <w:r w:rsidRPr="00601076">
        <w:rPr>
          <w:rFonts w:ascii="Franklin Gothic Medium" w:hAnsi="Franklin Gothic Medium"/>
          <w:b w:val="0"/>
          <w:bCs w:val="0"/>
          <w:sz w:val="32"/>
          <w:szCs w:val="32"/>
        </w:rPr>
        <w:t>Further information on MSAC</w:t>
      </w:r>
    </w:p>
    <w:p w14:paraId="324C1C96" w14:textId="17E0E967" w:rsidR="00601076" w:rsidRPr="00601076" w:rsidRDefault="00601076" w:rsidP="00601076">
      <w:pPr>
        <w:keepLines/>
        <w:spacing w:before="0" w:line="269" w:lineRule="auto"/>
        <w:jc w:val="left"/>
        <w:rPr>
          <w:rFonts w:eastAsia="Calibri" w:cs="Calibri"/>
        </w:rPr>
      </w:pPr>
      <w:r w:rsidRPr="00601076">
        <w:rPr>
          <w:rFonts w:eastAsia="Calibri" w:cs="Calibri"/>
          <w:bCs/>
          <w:iCs/>
        </w:rPr>
        <w:t xml:space="preserve">MSAC Terms of Reference and other information are available on the MSAC Website: </w:t>
      </w:r>
      <w:hyperlink r:id="rId17" w:tooltip="Link to the MSAC website" w:history="1">
        <w:r w:rsidRPr="00601076">
          <w:rPr>
            <w:rFonts w:eastAsia="Calibri" w:cs="Calibri"/>
            <w:iCs/>
            <w:color w:val="007BB8"/>
            <w:u w:val="single"/>
          </w:rPr>
          <w:t>visit the MSAC website</w:t>
        </w:r>
      </w:hyperlink>
      <w:bookmarkEnd w:id="49"/>
    </w:p>
    <w:sectPr w:rsidR="00601076" w:rsidRPr="00601076" w:rsidSect="00FF7312">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E6AD7" w14:textId="77777777" w:rsidR="00250E7E" w:rsidRDefault="00250E7E" w:rsidP="00476A25">
      <w:r>
        <w:separator/>
      </w:r>
    </w:p>
  </w:endnote>
  <w:endnote w:type="continuationSeparator" w:id="0">
    <w:p w14:paraId="05C199AC" w14:textId="77777777" w:rsidR="00250E7E" w:rsidRDefault="00250E7E" w:rsidP="00476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C7A7" w14:textId="79A7A3B7" w:rsidR="00952C5E" w:rsidRDefault="00AF786E">
    <w:pPr>
      <w:pStyle w:val="Footer"/>
    </w:pPr>
    <w:r>
      <w:rPr>
        <w:noProof/>
      </w:rPr>
      <mc:AlternateContent>
        <mc:Choice Requires="wps">
          <w:drawing>
            <wp:anchor distT="0" distB="0" distL="0" distR="0" simplePos="0" relativeHeight="251658245" behindDoc="0" locked="0" layoutInCell="1" allowOverlap="1" wp14:anchorId="2F40973F" wp14:editId="3C797801">
              <wp:simplePos x="635" y="635"/>
              <wp:positionH relativeFrom="page">
                <wp:align>center</wp:align>
              </wp:positionH>
              <wp:positionV relativeFrom="page">
                <wp:align>bottom</wp:align>
              </wp:positionV>
              <wp:extent cx="622300" cy="452755"/>
              <wp:effectExtent l="0" t="0" r="6350" b="0"/>
              <wp:wrapNone/>
              <wp:docPr id="176728368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1587A4C" w14:textId="2A588E40"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40973F" id="_x0000_t202" coordsize="21600,21600" o:spt="202" path="m,l,21600r21600,l21600,xe">
              <v:stroke joinstyle="miter"/>
              <v:path gradientshapeok="t" o:connecttype="rect"/>
            </v:shapetype>
            <v:shape id="Text Box 12" o:spid="_x0000_s1029" type="#_x0000_t202" alt="OFFICIAL" style="position:absolute;left:0;text-align:left;margin-left:0;margin-top:0;width:49pt;height:3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31587A4C" w14:textId="2A588E40"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982B" w14:textId="0EF2A6FD" w:rsidR="002F03F5" w:rsidRDefault="00AF786E" w:rsidP="00BE6A30">
    <w:pPr>
      <w:pStyle w:val="Footer"/>
      <w:jc w:val="right"/>
    </w:pPr>
    <w:r>
      <w:rPr>
        <w:noProof/>
      </w:rPr>
      <mc:AlternateContent>
        <mc:Choice Requires="wps">
          <w:drawing>
            <wp:anchor distT="0" distB="0" distL="0" distR="0" simplePos="0" relativeHeight="251658246" behindDoc="0" locked="0" layoutInCell="1" allowOverlap="1" wp14:anchorId="0DFCE03A" wp14:editId="0F34B7EC">
              <wp:simplePos x="635" y="635"/>
              <wp:positionH relativeFrom="page">
                <wp:align>center</wp:align>
              </wp:positionH>
              <wp:positionV relativeFrom="page">
                <wp:align>bottom</wp:align>
              </wp:positionV>
              <wp:extent cx="622300" cy="452755"/>
              <wp:effectExtent l="0" t="0" r="6350" b="0"/>
              <wp:wrapNone/>
              <wp:docPr id="20293153"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A12D2E5" w14:textId="6F317E52"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CE03A" id="_x0000_t202" coordsize="21600,21600" o:spt="202" path="m,l,21600r21600,l21600,xe">
              <v:stroke joinstyle="miter"/>
              <v:path gradientshapeok="t" o:connecttype="rect"/>
            </v:shapetype>
            <v:shape id="Text Box 13" o:spid="_x0000_s1030" type="#_x0000_t202" alt="OFFICIAL" style="position:absolute;left:0;text-align:left;margin-left:0;margin-top:0;width:49pt;height:3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WYy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sqPna/g+pEQyEM+/ZOrlsqvRE+PAmkBVO3JNrw&#10;SEetoSs5nC3OGsAff/PHfOKdopx1JJiSW1I0Z/qbpX1EbY0GjsYuGdPP+TzSYw/mDkiGU3oRTiaT&#10;vBj0aNYI5oXkvIqFKCSspHIl343mXRiUS89BqtUqJZGMnAgbu3UyQke6IpfP/YtAdyY80KYeYFST&#10;KF7xPuTGm96tDoHYT0uJ1A5EnhknCaa1np9L1Piv/ynr+qiXPwE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GNBZjINAgAAHAQA&#10;AA4AAAAAAAAAAAAAAAAALgIAAGRycy9lMm9Eb2MueG1sUEsBAi0AFAAGAAgAAAAhAKZfxHbaAAAA&#10;AwEAAA8AAAAAAAAAAAAAAAAAZwQAAGRycy9kb3ducmV2LnhtbFBLBQYAAAAABAAEAPMAAABuBQAA&#10;AAA=&#10;" filled="f" stroked="f">
              <v:textbox style="mso-fit-shape-to-text:t" inset="0,0,0,15pt">
                <w:txbxContent>
                  <w:p w14:paraId="6A12D2E5" w14:textId="6F317E52"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v:textbox>
              <w10:wrap anchorx="page" anchory="page"/>
            </v:shape>
          </w:pict>
        </mc:Fallback>
      </mc:AlternateContent>
    </w:r>
    <w:sdt>
      <w:sdtPr>
        <w:id w:val="1585493976"/>
        <w:docPartObj>
          <w:docPartGallery w:val="Page Numbers (Bottom of Page)"/>
          <w:docPartUnique/>
        </w:docPartObj>
      </w:sdtPr>
      <w:sdtEndPr/>
      <w:sdtContent>
        <w:r w:rsidR="00AF4756">
          <w:fldChar w:fldCharType="begin"/>
        </w:r>
        <w:r w:rsidR="00AF4756">
          <w:instrText>PAGE   \* MERGEFORMAT</w:instrText>
        </w:r>
        <w:r w:rsidR="00AF4756">
          <w:fldChar w:fldCharType="separate"/>
        </w:r>
        <w:r w:rsidR="00AF4756">
          <w:rPr>
            <w:lang w:val="en-GB"/>
          </w:rPr>
          <w:t>2</w:t>
        </w:r>
        <w:r w:rsidR="00AF4756">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1643" w14:textId="64BAD920" w:rsidR="002F03F5" w:rsidRDefault="00AF786E" w:rsidP="00DE0D8C">
    <w:pPr>
      <w:pStyle w:val="Footer"/>
      <w:jc w:val="center"/>
    </w:pPr>
    <w:r>
      <w:rPr>
        <w:noProof/>
      </w:rPr>
      <mc:AlternateContent>
        <mc:Choice Requires="wps">
          <w:drawing>
            <wp:anchor distT="0" distB="0" distL="0" distR="0" simplePos="0" relativeHeight="251658244" behindDoc="0" locked="0" layoutInCell="1" allowOverlap="1" wp14:anchorId="6F287F2F" wp14:editId="357DD803">
              <wp:simplePos x="635" y="635"/>
              <wp:positionH relativeFrom="page">
                <wp:align>center</wp:align>
              </wp:positionH>
              <wp:positionV relativeFrom="page">
                <wp:align>bottom</wp:align>
              </wp:positionV>
              <wp:extent cx="622300" cy="452755"/>
              <wp:effectExtent l="0" t="0" r="6350" b="0"/>
              <wp:wrapNone/>
              <wp:docPr id="73352093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4239E7E" w14:textId="758434A4"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287F2F" id="_x0000_t202" coordsize="21600,21600" o:spt="202" path="m,l,21600r21600,l21600,xe">
              <v:stroke joinstyle="miter"/>
              <v:path gradientshapeok="t" o:connecttype="rect"/>
            </v:shapetype>
            <v:shape id="Text Box 11" o:spid="_x0000_s1032" type="#_x0000_t202" alt="OFFICIAL" style="position:absolute;left:0;text-align:left;margin-left:0;margin-top:0;width:49pt;height:35.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" filled="f" stroked="f">
              <v:textbox style="mso-fit-shape-to-text:t" inset="0,0,0,15pt">
                <w:txbxContent>
                  <w:p w14:paraId="54239E7E" w14:textId="758434A4"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v:textbox>
              <w10:wrap anchorx="page" anchory="page"/>
            </v:shape>
          </w:pict>
        </mc:Fallback>
      </mc:AlternateContent>
    </w:r>
    <w:r w:rsidR="008F23FF">
      <w:t>Commercial-In-Confidence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9398B" w14:textId="77777777" w:rsidR="00250E7E" w:rsidRDefault="00250E7E">
      <w:r>
        <w:separator/>
      </w:r>
    </w:p>
  </w:footnote>
  <w:footnote w:type="continuationSeparator" w:id="0">
    <w:p w14:paraId="5C657709" w14:textId="77777777" w:rsidR="00250E7E" w:rsidRDefault="00250E7E">
      <w:r>
        <w:continuationSeparator/>
      </w:r>
    </w:p>
  </w:footnote>
  <w:footnote w:id="1">
    <w:p w14:paraId="0B33567D" w14:textId="0A0A68C9" w:rsidR="00065BD4" w:rsidRPr="00D72719" w:rsidRDefault="00065BD4">
      <w:pPr>
        <w:pStyle w:val="FootnoteText"/>
        <w:rPr>
          <w:lang w:val="en-US"/>
        </w:rPr>
      </w:pPr>
      <w:r>
        <w:rPr>
          <w:rStyle w:val="FootnoteReference"/>
        </w:rPr>
        <w:footnoteRef/>
      </w:r>
      <w:r>
        <w:t xml:space="preserve"> </w:t>
      </w:r>
      <w:r w:rsidRPr="00D72719">
        <w:rPr>
          <w:rFonts w:asciiTheme="minorHAnsi" w:hAnsiTheme="minorHAnsi" w:cstheme="minorHAnsi"/>
          <w:lang w:val="en-US"/>
        </w:rPr>
        <w:t xml:space="preserve">Cancer Australia Types of thyroid cancer. </w:t>
      </w:r>
      <w:hyperlink r:id="rId1" w:anchor="references" w:history="1">
        <w:r w:rsidRPr="00DA3B28">
          <w:rPr>
            <w:rStyle w:val="Hyperlink"/>
            <w:rFonts w:asciiTheme="minorHAnsi" w:hAnsiTheme="minorHAnsi" w:cstheme="minorHAnsi"/>
            <w:color w:val="007BB8"/>
            <w:lang w:val="en-US"/>
          </w:rPr>
          <w:t>https://www.canceraustralia.gov.au/cancer-types/thyroid-cancer/types-thyroid-cancer#references</w:t>
        </w:r>
      </w:hyperlink>
    </w:p>
  </w:footnote>
  <w:footnote w:id="2">
    <w:p w14:paraId="30462925" w14:textId="078307FC" w:rsidR="00977F44" w:rsidRPr="00D72719" w:rsidRDefault="00977F44" w:rsidP="00977F44">
      <w:pPr>
        <w:pStyle w:val="FootnoteText"/>
        <w:rPr>
          <w:rFonts w:asciiTheme="minorHAnsi" w:hAnsiTheme="minorHAnsi" w:cstheme="minorHAnsi"/>
        </w:rPr>
      </w:pPr>
      <w:r>
        <w:rPr>
          <w:rStyle w:val="FootnoteReference"/>
        </w:rPr>
        <w:footnoteRef/>
      </w:r>
      <w:r>
        <w:t xml:space="preserve"> </w:t>
      </w:r>
      <w:r w:rsidRPr="00D72719">
        <w:rPr>
          <w:rFonts w:asciiTheme="minorHAnsi" w:hAnsiTheme="minorHAnsi" w:cstheme="minorHAnsi"/>
        </w:rPr>
        <w:t xml:space="preserve">Wirth, </w:t>
      </w:r>
      <w:r w:rsidRPr="00447708">
        <w:rPr>
          <w:rFonts w:asciiTheme="minorHAnsi" w:hAnsiTheme="minorHAnsi" w:cstheme="minorHAnsi"/>
        </w:rPr>
        <w:t>et al</w:t>
      </w:r>
      <w:r w:rsidRPr="00D72719">
        <w:rPr>
          <w:rFonts w:asciiTheme="minorHAnsi" w:hAnsiTheme="minorHAnsi" w:cstheme="minorHAnsi"/>
        </w:rPr>
        <w:t xml:space="preserve"> 2020, 'Efficacy of </w:t>
      </w:r>
      <w:r w:rsidRPr="00D72719">
        <w:rPr>
          <w:rFonts w:asciiTheme="minorHAnsi" w:hAnsiTheme="minorHAnsi" w:cstheme="minorHAnsi"/>
        </w:rPr>
        <w:t>Selpercatinib in RET-Altered</w:t>
      </w:r>
      <w:r w:rsidRPr="00447708">
        <w:rPr>
          <w:rFonts w:asciiTheme="minorHAnsi" w:hAnsiTheme="minorHAnsi" w:cstheme="minorHAnsi"/>
        </w:rPr>
        <w:t xml:space="preserve"> </w:t>
      </w:r>
      <w:r w:rsidRPr="00D72719">
        <w:rPr>
          <w:rFonts w:asciiTheme="minorHAnsi" w:hAnsiTheme="minorHAnsi" w:cstheme="minorHAnsi"/>
        </w:rPr>
        <w:t xml:space="preserve">Thyroid Cancers', </w:t>
      </w:r>
      <w:r w:rsidRPr="00D72719">
        <w:rPr>
          <w:rFonts w:asciiTheme="minorHAnsi" w:hAnsiTheme="minorHAnsi" w:cstheme="minorHAnsi"/>
          <w:i/>
          <w:iCs/>
        </w:rPr>
        <w:t>N Engl J Med</w:t>
      </w:r>
      <w:r w:rsidRPr="00D72719">
        <w:rPr>
          <w:rFonts w:asciiTheme="minorHAnsi" w:hAnsiTheme="minorHAnsi" w:cstheme="minorHAnsi"/>
        </w:rPr>
        <w:t>, vol. 383, no. 9, Aug 27, pp. 825-835 10.1056/NEJMoa2005651</w:t>
      </w:r>
    </w:p>
  </w:footnote>
  <w:footnote w:id="3">
    <w:p w14:paraId="0234E77D" w14:textId="20CFF66B" w:rsidR="004322E6" w:rsidRPr="00D72719" w:rsidRDefault="004322E6">
      <w:pPr>
        <w:pStyle w:val="FootnoteText"/>
        <w:rPr>
          <w:rFonts w:asciiTheme="minorHAnsi" w:hAnsiTheme="minorHAnsi" w:cstheme="minorHAnsi"/>
        </w:rPr>
      </w:pPr>
      <w:r w:rsidRPr="00D72719">
        <w:rPr>
          <w:rStyle w:val="FootnoteReference"/>
          <w:rFonts w:asciiTheme="minorHAnsi" w:hAnsiTheme="minorHAnsi" w:cstheme="minorHAnsi"/>
        </w:rPr>
        <w:footnoteRef/>
      </w:r>
      <w:r w:rsidRPr="00D72719">
        <w:rPr>
          <w:rFonts w:asciiTheme="minorHAnsi" w:hAnsiTheme="minorHAnsi" w:cstheme="minorHAnsi"/>
        </w:rPr>
        <w:t xml:space="preserve"> Gild, ML, et al. (2023). Medullary Thyroid Cancer: Updates and Challenges, </w:t>
      </w:r>
      <w:r w:rsidRPr="00D72719">
        <w:rPr>
          <w:rFonts w:asciiTheme="minorHAnsi" w:hAnsiTheme="minorHAnsi" w:cstheme="minorHAnsi"/>
          <w:i/>
          <w:iCs/>
        </w:rPr>
        <w:t>Endocrine Reviews</w:t>
      </w:r>
      <w:r w:rsidRPr="00D72719">
        <w:rPr>
          <w:rFonts w:asciiTheme="minorHAnsi" w:hAnsiTheme="minorHAnsi" w:cstheme="minorHAnsi"/>
        </w:rPr>
        <w:t>, Volume 44, Issue 5, October 2023, Pages 934–946, https://doi.org/10.1210/endrev/bnad013</w:t>
      </w:r>
    </w:p>
  </w:footnote>
  <w:footnote w:id="4">
    <w:p w14:paraId="529A4101" w14:textId="4F48992D" w:rsidR="00447708" w:rsidRPr="00D72719" w:rsidRDefault="00447708">
      <w:pPr>
        <w:pStyle w:val="FootnoteText"/>
        <w:rPr>
          <w:rFonts w:asciiTheme="minorHAnsi" w:hAnsiTheme="minorHAnsi" w:cstheme="minorHAnsi"/>
        </w:rPr>
      </w:pPr>
      <w:r w:rsidRPr="00D72719">
        <w:rPr>
          <w:rStyle w:val="FootnoteReference"/>
          <w:rFonts w:asciiTheme="minorHAnsi" w:hAnsiTheme="minorHAnsi" w:cstheme="minorHAnsi"/>
        </w:rPr>
        <w:footnoteRef/>
      </w:r>
      <w:r w:rsidRPr="00D72719">
        <w:rPr>
          <w:rFonts w:asciiTheme="minorHAnsi" w:hAnsiTheme="minorHAnsi" w:cstheme="minorHAnsi"/>
        </w:rPr>
        <w:t xml:space="preserve"> Parimi V, et al (2023). Genomic landscape of 891 RET fusions detected across diverse solid tumor types. </w:t>
      </w:r>
      <w:r w:rsidRPr="00D72719">
        <w:rPr>
          <w:rFonts w:asciiTheme="minorHAnsi" w:hAnsiTheme="minorHAnsi" w:cstheme="minorHAnsi"/>
          <w:i/>
          <w:iCs/>
        </w:rPr>
        <w:t>NPJ Precis Oncol</w:t>
      </w:r>
      <w:r w:rsidRPr="00D72719">
        <w:rPr>
          <w:rFonts w:asciiTheme="minorHAnsi" w:hAnsiTheme="minorHAnsi" w:cstheme="minorHAnsi"/>
        </w:rPr>
        <w:t xml:space="preserve"> 7(1): 10.</w:t>
      </w:r>
    </w:p>
  </w:footnote>
  <w:footnote w:id="5">
    <w:p w14:paraId="3C781653"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https://www.msac.gov.au/sites/default/files/2025-05/1804_-_pico_set.pdf</w:t>
      </w:r>
    </w:p>
  </w:footnote>
  <w:footnote w:id="6">
    <w:p w14:paraId="3C781654"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https://www.tga.gov.au/resources/artg/426895</w:t>
      </w:r>
    </w:p>
  </w:footnote>
  <w:footnote w:id="7">
    <w:p w14:paraId="3C781655" w14:textId="2559EB8E"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https://www.msac.gov.au/sites/default/files/2025-05/1804_-_application_summary_</w:t>
      </w:r>
      <w:r w:rsidR="00B14353" w:rsidRPr="00687588">
        <w:rPr>
          <w:rFonts w:asciiTheme="minorHAnsi" w:hAnsiTheme="minorHAnsi" w:cstheme="minorHAnsi"/>
          <w:i/>
          <w:iCs/>
        </w:rPr>
        <w:t>RET</w:t>
      </w:r>
      <w:r w:rsidRPr="00687588">
        <w:rPr>
          <w:rFonts w:asciiTheme="minorHAnsi" w:hAnsiTheme="minorHAnsi" w:cstheme="minorHAnsi"/>
        </w:rPr>
        <w:t>_testing.pdf</w:t>
      </w:r>
    </w:p>
  </w:footnote>
  <w:footnote w:id="8">
    <w:p w14:paraId="3C781656" w14:textId="7D319FD9"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w:t>
      </w:r>
      <w:hyperlink r:id="rId2">
        <w:r w:rsidR="002F03F5" w:rsidRPr="00DA3B28">
          <w:rPr>
            <w:rStyle w:val="Hyperlink"/>
            <w:rFonts w:asciiTheme="minorHAnsi" w:hAnsiTheme="minorHAnsi" w:cstheme="minorHAnsi"/>
            <w:color w:val="007BB8"/>
          </w:rPr>
          <w:t>1750_final_psd_-_november_2024_-_redacted.pdf</w:t>
        </w:r>
      </w:hyperlink>
    </w:p>
  </w:footnote>
  <w:footnote w:id="9">
    <w:p w14:paraId="3C781657"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https://www.msac.gov.au/sites/default/files/2025-03/1766_final_psd_-_nov2024_-_redacted.pdf</w:t>
      </w:r>
    </w:p>
  </w:footnote>
  <w:footnote w:id="10">
    <w:p w14:paraId="3C781658" w14:textId="324B8391" w:rsidR="002F03F5" w:rsidRPr="00687588" w:rsidRDefault="008F23FF">
      <w:pPr>
        <w:pStyle w:val="FootnoteText"/>
        <w:rPr>
          <w:rFonts w:asciiTheme="minorHAnsi" w:hAnsiTheme="minorHAnsi" w:cstheme="minorHAnsi"/>
          <w:lang w:val="en-US"/>
        </w:rPr>
      </w:pPr>
      <w:r w:rsidRPr="00520748">
        <w:rPr>
          <w:rStyle w:val="FootnoteCharacters"/>
        </w:rPr>
        <w:footnoteRef/>
      </w:r>
      <w:r>
        <w:t xml:space="preserve"> </w:t>
      </w:r>
      <w:r w:rsidRPr="00687588">
        <w:rPr>
          <w:rFonts w:asciiTheme="minorHAnsi" w:hAnsiTheme="minorHAnsi" w:cstheme="minorHAnsi"/>
        </w:rPr>
        <w:t xml:space="preserve">Cancer Australia. Thyroid cancer in Australia statistics. URL: </w:t>
      </w:r>
      <w:hyperlink r:id="rId3">
        <w:r w:rsidR="002F03F5" w:rsidRPr="00A42564">
          <w:rPr>
            <w:rStyle w:val="Hyperlink"/>
            <w:rFonts w:asciiTheme="minorHAnsi" w:hAnsiTheme="minorHAnsi" w:cstheme="minorHAnsi"/>
            <w:color w:val="007BB8"/>
          </w:rPr>
          <w:t>https://www.canceraustralia.gov.au/cancer-types/thyroid-cancer/thyroid-cancer-australia-statistics</w:t>
        </w:r>
      </w:hyperlink>
    </w:p>
  </w:footnote>
  <w:footnote w:id="11">
    <w:p w14:paraId="3C781659"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Raue, F, et al. (1994). Multiple endocrine neoplasia type 2. Clinical features and screening. Endocrinol Metab Clin North Am. 1994;23(1):137. </w:t>
      </w:r>
    </w:p>
  </w:footnote>
  <w:footnote w:id="12">
    <w:p w14:paraId="3C78165A"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Wells SA Jr, et al. (2015). American Thyroid Association Guidelines Task Force on Medullary Thyroid Carcinoma Thyroid. 2015;25(6):567.</w:t>
      </w:r>
    </w:p>
  </w:footnote>
  <w:footnote w:id="13">
    <w:p w14:paraId="3C78165B"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Haddad, RI, et al. (2022). Thyroid Carcinoma, Version 2.2022, NCCN Clinical Practice Guidelines in Oncology. Journal of the National Comprehensive Cancer Network, 20(8), 925-951. https://doi.org/10.6004/jnccn.2022.0040</w:t>
      </w:r>
    </w:p>
  </w:footnote>
  <w:footnote w:id="14">
    <w:p w14:paraId="3C78165C" w14:textId="4A551798" w:rsidR="002F03F5" w:rsidRPr="00687588" w:rsidRDefault="008F23FF">
      <w:pPr>
        <w:pStyle w:val="FootnoteText"/>
        <w:rPr>
          <w:rFonts w:asciiTheme="minorHAnsi" w:hAnsiTheme="minorHAnsi" w:cstheme="minorHAnsi"/>
          <w:szCs w:val="18"/>
          <w:lang w:val="en-US"/>
        </w:rPr>
      </w:pPr>
      <w:r w:rsidRPr="00687588">
        <w:rPr>
          <w:rStyle w:val="FootnoteCharacters"/>
          <w:rFonts w:asciiTheme="minorHAnsi" w:hAnsiTheme="minorHAnsi" w:cstheme="minorHAnsi"/>
          <w:szCs w:val="18"/>
        </w:rPr>
        <w:footnoteRef/>
      </w:r>
      <w:r w:rsidRPr="00687588">
        <w:rPr>
          <w:rFonts w:asciiTheme="minorHAnsi" w:hAnsiTheme="minorHAnsi" w:cstheme="minorHAnsi"/>
          <w:szCs w:val="18"/>
        </w:rPr>
        <w:t xml:space="preserve"> Walker, TJ &amp; Mulligan, LM (2025). Cellular mechanisms of</w:t>
      </w:r>
      <w:r w:rsidRPr="00687588">
        <w:rPr>
          <w:rFonts w:asciiTheme="minorHAnsi" w:hAnsiTheme="minorHAnsi" w:cstheme="minorHAnsi"/>
          <w:i/>
          <w:szCs w:val="18"/>
        </w:rPr>
        <w:t xml:space="preserve"> RET </w:t>
      </w:r>
      <w:r w:rsidRPr="00687588">
        <w:rPr>
          <w:rFonts w:asciiTheme="minorHAnsi" w:hAnsiTheme="minorHAnsi" w:cstheme="minorHAnsi"/>
          <w:szCs w:val="18"/>
        </w:rPr>
        <w:t xml:space="preserve">receptor dysfunction in multiple endocrine neoplasia 2, </w:t>
      </w:r>
      <w:r w:rsidRPr="00687588">
        <w:rPr>
          <w:rFonts w:asciiTheme="minorHAnsi" w:hAnsiTheme="minorHAnsi" w:cstheme="minorHAnsi"/>
          <w:i/>
          <w:iCs/>
          <w:szCs w:val="18"/>
        </w:rPr>
        <w:t>Endocr Relat Cancer</w:t>
      </w:r>
      <w:r w:rsidRPr="00687588">
        <w:rPr>
          <w:rFonts w:asciiTheme="minorHAnsi" w:hAnsiTheme="minorHAnsi" w:cstheme="minorHAnsi"/>
          <w:szCs w:val="18"/>
        </w:rPr>
        <w:t>, vol. 32, no. 1, Jan 1, 10.1530/erc-24-0187.</w:t>
      </w:r>
    </w:p>
  </w:footnote>
  <w:footnote w:id="15">
    <w:p w14:paraId="3C78165E" w14:textId="05AE6D3F" w:rsidR="002F03F5" w:rsidRPr="00687588" w:rsidRDefault="008F23FF">
      <w:pPr>
        <w:pStyle w:val="FootnoteText"/>
        <w:rPr>
          <w:rFonts w:asciiTheme="minorHAnsi" w:hAnsiTheme="minorHAnsi" w:cstheme="minorHAnsi"/>
          <w:szCs w:val="18"/>
          <w:lang w:val="en-US"/>
        </w:rPr>
      </w:pPr>
      <w:r w:rsidRPr="00687588">
        <w:rPr>
          <w:rStyle w:val="FootnoteCharacters"/>
          <w:rFonts w:asciiTheme="minorHAnsi" w:hAnsiTheme="minorHAnsi" w:cstheme="minorHAnsi"/>
          <w:szCs w:val="18"/>
        </w:rPr>
        <w:footnoteRef/>
      </w:r>
      <w:r w:rsidRPr="00687588">
        <w:rPr>
          <w:rFonts w:asciiTheme="minorHAnsi" w:hAnsiTheme="minorHAnsi" w:cstheme="minorHAnsi"/>
          <w:szCs w:val="18"/>
        </w:rPr>
        <w:t xml:space="preserve"> Machens, A, et al. Dissection of</w:t>
      </w:r>
      <w:r w:rsidRPr="00687588">
        <w:rPr>
          <w:rFonts w:asciiTheme="minorHAnsi" w:hAnsiTheme="minorHAnsi" w:cstheme="minorHAnsi"/>
          <w:i/>
          <w:szCs w:val="18"/>
        </w:rPr>
        <w:t xml:space="preserve"> </w:t>
      </w:r>
      <w:r w:rsidR="00B14353" w:rsidRPr="00687588">
        <w:rPr>
          <w:rFonts w:asciiTheme="minorHAnsi" w:hAnsiTheme="minorHAnsi" w:cstheme="minorHAnsi"/>
          <w:i/>
          <w:iCs/>
          <w:szCs w:val="18"/>
        </w:rPr>
        <w:t>RET</w:t>
      </w:r>
      <w:r w:rsidRPr="00687588">
        <w:rPr>
          <w:rFonts w:asciiTheme="minorHAnsi" w:hAnsiTheme="minorHAnsi" w:cstheme="minorHAnsi"/>
          <w:i/>
          <w:szCs w:val="18"/>
        </w:rPr>
        <w:t xml:space="preserve"> </w:t>
      </w:r>
      <w:r w:rsidRPr="00687588">
        <w:rPr>
          <w:rFonts w:asciiTheme="minorHAnsi" w:hAnsiTheme="minorHAnsi" w:cstheme="minorHAnsi"/>
          <w:szCs w:val="18"/>
        </w:rPr>
        <w:t xml:space="preserve">p.M918T-driven progression of hereditary vs. sporadic medullary thyroid cancer. </w:t>
      </w:r>
      <w:r w:rsidRPr="00687588">
        <w:rPr>
          <w:rFonts w:asciiTheme="minorHAnsi" w:hAnsiTheme="minorHAnsi" w:cstheme="minorHAnsi"/>
          <w:i/>
          <w:iCs/>
          <w:szCs w:val="18"/>
        </w:rPr>
        <w:t>European Journal of Surgical Oncology</w:t>
      </w:r>
      <w:r w:rsidRPr="00687588">
        <w:rPr>
          <w:rFonts w:asciiTheme="minorHAnsi" w:hAnsiTheme="minorHAnsi" w:cstheme="minorHAnsi"/>
          <w:szCs w:val="18"/>
        </w:rPr>
        <w:t>, Volume 51, Issue 3, 109549</w:t>
      </w:r>
    </w:p>
  </w:footnote>
  <w:footnote w:id="16">
    <w:p w14:paraId="3C78165F" w14:textId="0FA1C861" w:rsidR="002F03F5" w:rsidRPr="00687588" w:rsidRDefault="008F23FF">
      <w:pPr>
        <w:pStyle w:val="FootnoteText"/>
        <w:rPr>
          <w:rFonts w:asciiTheme="minorHAnsi" w:hAnsiTheme="minorHAnsi" w:cstheme="minorHAnsi"/>
          <w:szCs w:val="18"/>
          <w:lang w:val="en-US"/>
        </w:rPr>
      </w:pPr>
      <w:r w:rsidRPr="00687588">
        <w:rPr>
          <w:rStyle w:val="FootnoteCharacters"/>
          <w:rFonts w:asciiTheme="minorHAnsi" w:hAnsiTheme="minorHAnsi" w:cstheme="minorHAnsi"/>
          <w:szCs w:val="18"/>
        </w:rPr>
        <w:footnoteRef/>
      </w:r>
      <w:r w:rsidRPr="00687588">
        <w:rPr>
          <w:rFonts w:asciiTheme="minorHAnsi" w:hAnsiTheme="minorHAnsi" w:cstheme="minorHAnsi"/>
          <w:szCs w:val="18"/>
        </w:rPr>
        <w:t xml:space="preserve"> Romei, C, et al. (2016). New insights in the molecular signature of advanced medullary thyroid cancer: evidence of a bad outcome of cases with double</w:t>
      </w:r>
      <w:r w:rsidRPr="00687588">
        <w:rPr>
          <w:rFonts w:asciiTheme="minorHAnsi" w:hAnsiTheme="minorHAnsi" w:cstheme="minorHAnsi"/>
          <w:i/>
          <w:szCs w:val="18"/>
        </w:rPr>
        <w:t xml:space="preserve"> </w:t>
      </w:r>
      <w:r w:rsidR="00B14353" w:rsidRPr="00687588">
        <w:rPr>
          <w:rFonts w:asciiTheme="minorHAnsi" w:hAnsiTheme="minorHAnsi" w:cstheme="minorHAnsi"/>
          <w:i/>
          <w:iCs/>
          <w:szCs w:val="18"/>
        </w:rPr>
        <w:t>RET</w:t>
      </w:r>
      <w:r w:rsidRPr="00687588">
        <w:rPr>
          <w:rFonts w:asciiTheme="minorHAnsi" w:hAnsiTheme="minorHAnsi" w:cstheme="minorHAnsi"/>
          <w:i/>
          <w:szCs w:val="18"/>
        </w:rPr>
        <w:t xml:space="preserve"> </w:t>
      </w:r>
      <w:r w:rsidRPr="00687588">
        <w:rPr>
          <w:rFonts w:asciiTheme="minorHAnsi" w:hAnsiTheme="minorHAnsi" w:cstheme="minorHAnsi"/>
          <w:szCs w:val="18"/>
        </w:rPr>
        <w:t xml:space="preserve">mutations. </w:t>
      </w:r>
      <w:r w:rsidRPr="00687588">
        <w:rPr>
          <w:rFonts w:asciiTheme="minorHAnsi" w:hAnsiTheme="minorHAnsi" w:cstheme="minorHAnsi"/>
          <w:i/>
          <w:iCs/>
          <w:szCs w:val="18"/>
        </w:rPr>
        <w:t>J Med Genet</w:t>
      </w:r>
      <w:r w:rsidRPr="00687588">
        <w:rPr>
          <w:rFonts w:asciiTheme="minorHAnsi" w:hAnsiTheme="minorHAnsi" w:cstheme="minorHAnsi"/>
          <w:szCs w:val="18"/>
        </w:rPr>
        <w:t>. 2016 Nov;53(11):729-734. doi: 10.1136/jmedgenet-2016-103833. Epub 2016 Jul 28. PMID: 27468888.</w:t>
      </w:r>
    </w:p>
  </w:footnote>
  <w:footnote w:id="17">
    <w:p w14:paraId="3C781660" w14:textId="7071B1D1" w:rsidR="002F03F5" w:rsidRPr="00687588" w:rsidRDefault="008F23FF">
      <w:pPr>
        <w:spacing w:before="0" w:after="0"/>
        <w:rPr>
          <w:rFonts w:asciiTheme="minorHAnsi" w:hAnsiTheme="minorHAnsi" w:cstheme="minorHAnsi"/>
          <w:sz w:val="18"/>
          <w:szCs w:val="18"/>
        </w:rPr>
      </w:pPr>
      <w:r w:rsidRPr="00687588">
        <w:rPr>
          <w:rStyle w:val="FootnoteCharacters"/>
          <w:rFonts w:asciiTheme="minorHAnsi" w:hAnsiTheme="minorHAnsi" w:cstheme="minorHAnsi"/>
          <w:sz w:val="18"/>
          <w:szCs w:val="18"/>
        </w:rPr>
        <w:footnoteRef/>
      </w:r>
      <w:r w:rsidRPr="00687588">
        <w:rPr>
          <w:rFonts w:asciiTheme="minorHAnsi" w:hAnsiTheme="minorHAnsi" w:cstheme="minorHAnsi"/>
          <w:sz w:val="18"/>
          <w:szCs w:val="18"/>
        </w:rPr>
        <w:t xml:space="preserve"> Elisei, R, et al. (2019). Twenty-Five Years Experience on</w:t>
      </w:r>
      <w:r w:rsidRPr="00687588">
        <w:rPr>
          <w:rFonts w:asciiTheme="minorHAnsi" w:hAnsiTheme="minorHAnsi" w:cstheme="minorHAnsi"/>
          <w:i/>
          <w:sz w:val="18"/>
          <w:szCs w:val="18"/>
        </w:rPr>
        <w:t xml:space="preserve"> </w:t>
      </w:r>
      <w:r w:rsidR="00B14353" w:rsidRPr="00687588">
        <w:rPr>
          <w:rFonts w:asciiTheme="minorHAnsi" w:hAnsiTheme="minorHAnsi" w:cstheme="minorHAnsi"/>
          <w:i/>
          <w:iCs/>
          <w:sz w:val="18"/>
          <w:szCs w:val="18"/>
        </w:rPr>
        <w:t>RET</w:t>
      </w:r>
      <w:r w:rsidRPr="00687588">
        <w:rPr>
          <w:rFonts w:asciiTheme="minorHAnsi" w:hAnsiTheme="minorHAnsi" w:cstheme="minorHAnsi"/>
          <w:i/>
          <w:sz w:val="18"/>
          <w:szCs w:val="18"/>
        </w:rPr>
        <w:t xml:space="preserve"> </w:t>
      </w:r>
      <w:r w:rsidRPr="00687588">
        <w:rPr>
          <w:rFonts w:asciiTheme="minorHAnsi" w:hAnsiTheme="minorHAnsi" w:cstheme="minorHAnsi"/>
          <w:sz w:val="18"/>
          <w:szCs w:val="18"/>
        </w:rPr>
        <w:t>Genetic Screening on Hereditary MTC: An Update on The Prevalence of Germline</w:t>
      </w:r>
      <w:r w:rsidRPr="00687588">
        <w:rPr>
          <w:rFonts w:asciiTheme="minorHAnsi" w:hAnsiTheme="minorHAnsi" w:cstheme="minorHAnsi"/>
          <w:i/>
          <w:sz w:val="18"/>
          <w:szCs w:val="18"/>
        </w:rPr>
        <w:t xml:space="preserve"> </w:t>
      </w:r>
      <w:r w:rsidR="00B14353" w:rsidRPr="00687588">
        <w:rPr>
          <w:rFonts w:asciiTheme="minorHAnsi" w:hAnsiTheme="minorHAnsi" w:cstheme="minorHAnsi"/>
          <w:i/>
          <w:iCs/>
          <w:sz w:val="18"/>
          <w:szCs w:val="18"/>
        </w:rPr>
        <w:t>RET</w:t>
      </w:r>
      <w:r w:rsidRPr="00687588">
        <w:rPr>
          <w:rFonts w:asciiTheme="minorHAnsi" w:hAnsiTheme="minorHAnsi" w:cstheme="minorHAnsi"/>
          <w:i/>
          <w:sz w:val="18"/>
          <w:szCs w:val="18"/>
        </w:rPr>
        <w:t xml:space="preserve"> </w:t>
      </w:r>
      <w:r w:rsidRPr="00687588">
        <w:rPr>
          <w:rFonts w:asciiTheme="minorHAnsi" w:hAnsiTheme="minorHAnsi" w:cstheme="minorHAnsi"/>
          <w:sz w:val="18"/>
          <w:szCs w:val="18"/>
        </w:rPr>
        <w:t xml:space="preserve">Mutations. </w:t>
      </w:r>
      <w:r w:rsidRPr="00687588">
        <w:rPr>
          <w:rFonts w:asciiTheme="minorHAnsi" w:hAnsiTheme="minorHAnsi" w:cstheme="minorHAnsi"/>
          <w:i/>
          <w:iCs/>
          <w:sz w:val="18"/>
          <w:szCs w:val="18"/>
        </w:rPr>
        <w:t>Genes (Basel)</w:t>
      </w:r>
      <w:r w:rsidRPr="00687588">
        <w:rPr>
          <w:rFonts w:asciiTheme="minorHAnsi" w:hAnsiTheme="minorHAnsi" w:cstheme="minorHAnsi"/>
          <w:sz w:val="18"/>
          <w:szCs w:val="18"/>
        </w:rPr>
        <w:t>. 2019 Sep 10;10(9):698. doi: 10.3390/genes10090698. PMID: 31510104; PMCID: PMC6771015.</w:t>
      </w:r>
    </w:p>
  </w:footnote>
  <w:footnote w:id="18">
    <w:p w14:paraId="3C781661" w14:textId="77777777" w:rsidR="002F03F5" w:rsidRPr="00687588" w:rsidRDefault="008F23FF">
      <w:pPr>
        <w:pStyle w:val="FootnoteText"/>
        <w:rPr>
          <w:rFonts w:asciiTheme="minorHAnsi" w:hAnsiTheme="minorHAnsi" w:cstheme="minorHAnsi"/>
          <w:szCs w:val="18"/>
          <w:lang w:val="en-US"/>
        </w:rPr>
      </w:pPr>
      <w:r w:rsidRPr="00687588">
        <w:rPr>
          <w:rStyle w:val="FootnoteCharacters"/>
          <w:rFonts w:asciiTheme="minorHAnsi" w:hAnsiTheme="minorHAnsi" w:cstheme="minorHAnsi"/>
          <w:szCs w:val="18"/>
        </w:rPr>
        <w:footnoteRef/>
      </w:r>
      <w:r w:rsidRPr="00687588">
        <w:rPr>
          <w:rFonts w:asciiTheme="minorHAnsi" w:hAnsiTheme="minorHAnsi" w:cstheme="minorHAnsi"/>
          <w:szCs w:val="18"/>
        </w:rPr>
        <w:t xml:space="preserve"> Ciampi R, et al. (2019). Genetic Landscape of Somatic Mutations in a Large Cohort of Sporadic Medullary Thyroid Carcinomas Studied by Next-Generation Targeted Sequencing. </w:t>
      </w:r>
      <w:r w:rsidRPr="00687588">
        <w:rPr>
          <w:rFonts w:asciiTheme="minorHAnsi" w:hAnsiTheme="minorHAnsi" w:cstheme="minorHAnsi"/>
          <w:i/>
          <w:iCs/>
          <w:szCs w:val="18"/>
        </w:rPr>
        <w:t>iScience.</w:t>
      </w:r>
      <w:r w:rsidRPr="00687588">
        <w:rPr>
          <w:rFonts w:asciiTheme="minorHAnsi" w:hAnsiTheme="minorHAnsi" w:cstheme="minorHAnsi"/>
          <w:szCs w:val="18"/>
        </w:rPr>
        <w:t xml:space="preserve"> 2019 Oct 25;20:324-336. doi: 10.1016/j.isci.2019.09.030. Epub 2019 Sep 26. PMID: 31605946; PMCID: PMC6817656.</w:t>
      </w:r>
    </w:p>
  </w:footnote>
  <w:footnote w:id="19">
    <w:p w14:paraId="3C781662" w14:textId="77777777" w:rsidR="002F03F5" w:rsidRPr="00687588" w:rsidRDefault="008F23FF">
      <w:pPr>
        <w:pStyle w:val="FootnoteText"/>
        <w:rPr>
          <w:rFonts w:asciiTheme="minorHAnsi" w:hAnsiTheme="minorHAnsi" w:cstheme="minorHAnsi"/>
          <w:szCs w:val="18"/>
          <w:lang w:val="en-US"/>
        </w:rPr>
      </w:pPr>
      <w:r w:rsidRPr="00687588">
        <w:rPr>
          <w:rStyle w:val="FootnoteCharacters"/>
          <w:rFonts w:asciiTheme="minorHAnsi" w:hAnsiTheme="minorHAnsi" w:cstheme="minorHAnsi"/>
          <w:szCs w:val="18"/>
        </w:rPr>
        <w:footnoteRef/>
      </w:r>
      <w:r w:rsidRPr="00687588">
        <w:rPr>
          <w:rFonts w:asciiTheme="minorHAnsi" w:hAnsiTheme="minorHAnsi" w:cstheme="minorHAnsi"/>
          <w:szCs w:val="18"/>
        </w:rPr>
        <w:t xml:space="preserve"> Shirali, AS, et al. (2024). Next-Generation Sequencing in Sporadic Medullary Thyroid Cancer Patients: Mutation Profile and Disease Aggressiveness, </w:t>
      </w:r>
      <w:r w:rsidRPr="00687588">
        <w:rPr>
          <w:rFonts w:asciiTheme="minorHAnsi" w:hAnsiTheme="minorHAnsi" w:cstheme="minorHAnsi"/>
          <w:i/>
          <w:iCs/>
          <w:szCs w:val="18"/>
        </w:rPr>
        <w:t>Journal of the Endocrine Society</w:t>
      </w:r>
      <w:r w:rsidRPr="00687588">
        <w:rPr>
          <w:rFonts w:asciiTheme="minorHAnsi" w:hAnsiTheme="minorHAnsi" w:cstheme="minorHAnsi"/>
          <w:szCs w:val="18"/>
        </w:rPr>
        <w:t>, Volume 8, Issue 6, June 2024, bvae048, https://doi.org/10.1210/jendso/bvae048</w:t>
      </w:r>
    </w:p>
  </w:footnote>
  <w:footnote w:id="20">
    <w:p w14:paraId="3C781663" w14:textId="54BFA439" w:rsidR="002F03F5" w:rsidRPr="00687588" w:rsidRDefault="008F23FF">
      <w:pPr>
        <w:spacing w:before="0" w:after="0"/>
        <w:rPr>
          <w:rFonts w:asciiTheme="minorHAnsi" w:hAnsiTheme="minorHAnsi" w:cstheme="minorHAnsi"/>
          <w:sz w:val="18"/>
          <w:szCs w:val="18"/>
        </w:rPr>
      </w:pPr>
      <w:r w:rsidRPr="00687588">
        <w:rPr>
          <w:rStyle w:val="FootnoteCharacters"/>
          <w:rFonts w:asciiTheme="minorHAnsi" w:hAnsiTheme="minorHAnsi" w:cstheme="minorHAnsi"/>
          <w:sz w:val="18"/>
          <w:szCs w:val="18"/>
        </w:rPr>
        <w:footnoteRef/>
      </w:r>
      <w:r w:rsidRPr="00687588">
        <w:rPr>
          <w:rStyle w:val="FootnoteCharacters"/>
          <w:rFonts w:asciiTheme="minorHAnsi" w:hAnsiTheme="minorHAnsi" w:cstheme="minorHAnsi"/>
          <w:sz w:val="18"/>
          <w:szCs w:val="18"/>
        </w:rPr>
        <w:t xml:space="preserve"> </w:t>
      </w:r>
      <w:r w:rsidRPr="00687588">
        <w:rPr>
          <w:rFonts w:asciiTheme="minorHAnsi" w:hAnsiTheme="minorHAnsi" w:cstheme="minorHAnsi"/>
          <w:sz w:val="18"/>
          <w:szCs w:val="18"/>
        </w:rPr>
        <w:t>Zhang, Y, et al. (2024). Molecular genetics, therapeutics and</w:t>
      </w:r>
      <w:r w:rsidRPr="00687588">
        <w:rPr>
          <w:rFonts w:asciiTheme="minorHAnsi" w:hAnsiTheme="minorHAnsi" w:cstheme="minorHAnsi"/>
          <w:i/>
          <w:sz w:val="18"/>
          <w:szCs w:val="18"/>
        </w:rPr>
        <w:t xml:space="preserve"> </w:t>
      </w:r>
      <w:r w:rsidR="00B14353" w:rsidRPr="00687588">
        <w:rPr>
          <w:rFonts w:asciiTheme="minorHAnsi" w:hAnsiTheme="minorHAnsi" w:cstheme="minorHAnsi"/>
          <w:i/>
          <w:iCs/>
          <w:sz w:val="18"/>
          <w:szCs w:val="18"/>
        </w:rPr>
        <w:t>RET</w:t>
      </w:r>
      <w:r w:rsidRPr="00687588">
        <w:rPr>
          <w:rFonts w:asciiTheme="minorHAnsi" w:hAnsiTheme="minorHAnsi" w:cstheme="minorHAnsi"/>
          <w:i/>
          <w:sz w:val="18"/>
          <w:szCs w:val="18"/>
        </w:rPr>
        <w:t xml:space="preserve"> </w:t>
      </w:r>
      <w:r w:rsidRPr="00687588">
        <w:rPr>
          <w:rFonts w:asciiTheme="minorHAnsi" w:hAnsiTheme="minorHAnsi" w:cstheme="minorHAnsi"/>
          <w:sz w:val="18"/>
          <w:szCs w:val="18"/>
        </w:rPr>
        <w:t xml:space="preserve">inhibitor resistance for medullary thyroid carcinoma and future perspectives. </w:t>
      </w:r>
      <w:r w:rsidRPr="00687588">
        <w:rPr>
          <w:rFonts w:asciiTheme="minorHAnsi" w:hAnsiTheme="minorHAnsi" w:cstheme="minorHAnsi"/>
          <w:i/>
          <w:iCs/>
          <w:sz w:val="18"/>
          <w:szCs w:val="18"/>
        </w:rPr>
        <w:t>Cell Commun Signal</w:t>
      </w:r>
      <w:r w:rsidRPr="00687588">
        <w:rPr>
          <w:rFonts w:asciiTheme="minorHAnsi" w:hAnsiTheme="minorHAnsi" w:cstheme="minorHAnsi"/>
          <w:sz w:val="18"/>
          <w:szCs w:val="18"/>
        </w:rPr>
        <w:t xml:space="preserve"> 22, 460 (2024). https://doi.org/10.1186/s12964-024-01837-x</w:t>
      </w:r>
    </w:p>
  </w:footnote>
  <w:footnote w:id="21">
    <w:p w14:paraId="3C781664" w14:textId="570BFDF1" w:rsidR="002F03F5" w:rsidRPr="00687588" w:rsidRDefault="008F23FF">
      <w:pPr>
        <w:pStyle w:val="FootnoteText"/>
        <w:rPr>
          <w:rFonts w:asciiTheme="minorHAnsi" w:hAnsiTheme="minorHAnsi" w:cstheme="minorHAnsi"/>
          <w:szCs w:val="18"/>
          <w:lang w:val="en-US"/>
        </w:rPr>
      </w:pPr>
      <w:r w:rsidRPr="00687588">
        <w:rPr>
          <w:rStyle w:val="FootnoteCharacters"/>
          <w:rFonts w:asciiTheme="minorHAnsi" w:hAnsiTheme="minorHAnsi" w:cstheme="minorHAnsi"/>
          <w:szCs w:val="18"/>
        </w:rPr>
        <w:footnoteRef/>
      </w:r>
      <w:r w:rsidRPr="00687588">
        <w:rPr>
          <w:rFonts w:asciiTheme="minorHAnsi" w:hAnsiTheme="minorHAnsi" w:cstheme="minorHAnsi"/>
          <w:szCs w:val="18"/>
        </w:rPr>
        <w:t xml:space="preserve"> Newton S, et al. (2013). Genetic testing for hereditary mutations in the</w:t>
      </w:r>
      <w:r w:rsidRPr="00687588">
        <w:rPr>
          <w:rFonts w:asciiTheme="minorHAnsi" w:hAnsiTheme="minorHAnsi" w:cstheme="minorHAnsi"/>
          <w:i/>
          <w:szCs w:val="18"/>
        </w:rPr>
        <w:t xml:space="preserve"> </w:t>
      </w:r>
      <w:r w:rsidR="00B14353" w:rsidRPr="00687588">
        <w:rPr>
          <w:rFonts w:asciiTheme="minorHAnsi" w:hAnsiTheme="minorHAnsi" w:cstheme="minorHAnsi"/>
          <w:i/>
          <w:iCs/>
          <w:szCs w:val="18"/>
        </w:rPr>
        <w:t>RET</w:t>
      </w:r>
      <w:r w:rsidRPr="00687588">
        <w:rPr>
          <w:rFonts w:asciiTheme="minorHAnsi" w:hAnsiTheme="minorHAnsi" w:cstheme="minorHAnsi"/>
          <w:i/>
          <w:szCs w:val="18"/>
        </w:rPr>
        <w:t xml:space="preserve"> </w:t>
      </w:r>
      <w:r w:rsidRPr="00687588">
        <w:rPr>
          <w:rFonts w:asciiTheme="minorHAnsi" w:hAnsiTheme="minorHAnsi" w:cstheme="minorHAnsi"/>
          <w:szCs w:val="18"/>
        </w:rPr>
        <w:t>gene. MSAC Application 1152, Assessment Report. Commonwealth of Australia, Canberra, ACT.</w:t>
      </w:r>
    </w:p>
  </w:footnote>
  <w:footnote w:id="22">
    <w:p w14:paraId="3C781665" w14:textId="0219DB39" w:rsidR="002F03F5" w:rsidRPr="00687588" w:rsidRDefault="008F23FF">
      <w:pPr>
        <w:pStyle w:val="FootnoteText"/>
        <w:rPr>
          <w:rFonts w:asciiTheme="minorHAnsi" w:hAnsiTheme="minorHAnsi" w:cstheme="minorHAnsi"/>
          <w:szCs w:val="18"/>
          <w:lang w:val="en-US"/>
        </w:rPr>
      </w:pPr>
      <w:r w:rsidRPr="00687588">
        <w:rPr>
          <w:rStyle w:val="FootnoteCharacters"/>
          <w:rFonts w:asciiTheme="minorHAnsi" w:hAnsiTheme="minorHAnsi" w:cstheme="minorHAnsi"/>
          <w:szCs w:val="18"/>
        </w:rPr>
        <w:footnoteRef/>
      </w:r>
      <w:r w:rsidRPr="00687588">
        <w:rPr>
          <w:rFonts w:asciiTheme="minorHAnsi" w:hAnsiTheme="minorHAnsi" w:cstheme="minorHAnsi"/>
          <w:szCs w:val="18"/>
        </w:rPr>
        <w:t xml:space="preserve"> Romei, C, et al. (2018).</w:t>
      </w:r>
      <w:r w:rsidRPr="00687588">
        <w:rPr>
          <w:rFonts w:asciiTheme="minorHAnsi" w:hAnsiTheme="minorHAnsi" w:cstheme="minorHAnsi"/>
          <w:i/>
          <w:szCs w:val="18"/>
        </w:rPr>
        <w:t xml:space="preserve"> </w:t>
      </w:r>
      <w:r w:rsidR="00B14353" w:rsidRPr="00687588">
        <w:rPr>
          <w:rFonts w:asciiTheme="minorHAnsi" w:hAnsiTheme="minorHAnsi" w:cstheme="minorHAnsi"/>
          <w:i/>
          <w:iCs/>
          <w:szCs w:val="18"/>
        </w:rPr>
        <w:t>RET</w:t>
      </w:r>
      <w:r w:rsidRPr="00687588">
        <w:rPr>
          <w:rFonts w:asciiTheme="minorHAnsi" w:hAnsiTheme="minorHAnsi" w:cstheme="minorHAnsi"/>
          <w:i/>
          <w:szCs w:val="18"/>
        </w:rPr>
        <w:t xml:space="preserve"> </w:t>
      </w:r>
      <w:r w:rsidRPr="00687588">
        <w:rPr>
          <w:rFonts w:asciiTheme="minorHAnsi" w:hAnsiTheme="minorHAnsi" w:cstheme="minorHAnsi"/>
          <w:szCs w:val="18"/>
        </w:rPr>
        <w:t xml:space="preserve">mutation heterogeneity in primary advanced medullary thyroid cancers and their metastases. </w:t>
      </w:r>
      <w:r w:rsidRPr="00687588">
        <w:rPr>
          <w:rFonts w:asciiTheme="minorHAnsi" w:hAnsiTheme="minorHAnsi" w:cstheme="minorHAnsi"/>
          <w:i/>
          <w:iCs/>
          <w:szCs w:val="18"/>
        </w:rPr>
        <w:t>Oncotarget</w:t>
      </w:r>
      <w:r w:rsidRPr="00687588">
        <w:rPr>
          <w:rFonts w:asciiTheme="minorHAnsi" w:hAnsiTheme="minorHAnsi" w:cstheme="minorHAnsi"/>
          <w:szCs w:val="18"/>
        </w:rPr>
        <w:t>. Jan 4;9(11):9875-9884. doi: 10.18632/oncotarget.23986. PMID: 29515777; PMCID: PMC5839408.</w:t>
      </w:r>
    </w:p>
  </w:footnote>
  <w:footnote w:id="23">
    <w:p w14:paraId="3C781666" w14:textId="34FBD6ED" w:rsidR="002F03F5" w:rsidRPr="00687588" w:rsidRDefault="008F23FF">
      <w:pPr>
        <w:pStyle w:val="FootnoteText"/>
        <w:rPr>
          <w:rFonts w:asciiTheme="minorHAnsi" w:hAnsiTheme="minorHAnsi" w:cstheme="minorHAnsi"/>
          <w:szCs w:val="18"/>
          <w:lang w:val="en-US"/>
        </w:rPr>
      </w:pPr>
      <w:r w:rsidRPr="00687588">
        <w:rPr>
          <w:rStyle w:val="FootnoteCharacters"/>
          <w:rFonts w:asciiTheme="minorHAnsi" w:hAnsiTheme="minorHAnsi" w:cstheme="minorHAnsi"/>
          <w:szCs w:val="18"/>
        </w:rPr>
        <w:footnoteRef/>
      </w:r>
      <w:r w:rsidRPr="00687588">
        <w:rPr>
          <w:rFonts w:asciiTheme="minorHAnsi" w:hAnsiTheme="minorHAnsi" w:cstheme="minorHAnsi"/>
          <w:szCs w:val="18"/>
        </w:rPr>
        <w:t xml:space="preserve"> Hadoux, J, et al. (2023). Patterns of Treatment Failure After Selective Rearranged During Transfection (</w:t>
      </w:r>
      <w:r w:rsidR="00B14353" w:rsidRPr="00687588">
        <w:rPr>
          <w:rFonts w:asciiTheme="minorHAnsi" w:hAnsiTheme="minorHAnsi" w:cstheme="minorHAnsi"/>
          <w:i/>
          <w:iCs/>
          <w:szCs w:val="18"/>
        </w:rPr>
        <w:t>RET</w:t>
      </w:r>
      <w:r w:rsidRPr="00687588">
        <w:rPr>
          <w:rFonts w:asciiTheme="minorHAnsi" w:hAnsiTheme="minorHAnsi" w:cstheme="minorHAnsi"/>
          <w:szCs w:val="18"/>
        </w:rPr>
        <w:t xml:space="preserve">) Inhibitors in Patients With Metastatic Medullary Thyroid Carcinoma, </w:t>
      </w:r>
      <w:r w:rsidRPr="00687588">
        <w:rPr>
          <w:rFonts w:asciiTheme="minorHAnsi" w:hAnsiTheme="minorHAnsi" w:cstheme="minorHAnsi"/>
          <w:i/>
          <w:iCs/>
          <w:szCs w:val="18"/>
        </w:rPr>
        <w:t>JCO Precis Oncol,</w:t>
      </w:r>
      <w:r w:rsidRPr="00687588">
        <w:rPr>
          <w:rFonts w:asciiTheme="minorHAnsi" w:hAnsiTheme="minorHAnsi" w:cstheme="minorHAnsi"/>
          <w:szCs w:val="18"/>
        </w:rPr>
        <w:t xml:space="preserve"> vol. 7, Sep, p. e2300053  10.1200/po.23.00053.</w:t>
      </w:r>
    </w:p>
  </w:footnote>
  <w:footnote w:id="24">
    <w:p w14:paraId="3C781667" w14:textId="77777777" w:rsidR="002F03F5" w:rsidRPr="00687588" w:rsidRDefault="008F23FF">
      <w:pPr>
        <w:spacing w:before="0" w:after="0"/>
        <w:rPr>
          <w:rFonts w:asciiTheme="minorHAnsi" w:hAnsiTheme="minorHAnsi" w:cstheme="minorHAnsi"/>
          <w:sz w:val="18"/>
          <w:szCs w:val="18"/>
        </w:rPr>
      </w:pPr>
      <w:r w:rsidRPr="00687588">
        <w:rPr>
          <w:rStyle w:val="FootnoteCharacters"/>
          <w:rFonts w:asciiTheme="minorHAnsi" w:hAnsiTheme="minorHAnsi" w:cstheme="minorHAnsi"/>
          <w:sz w:val="18"/>
          <w:szCs w:val="18"/>
        </w:rPr>
        <w:footnoteRef/>
      </w:r>
      <w:r w:rsidRPr="00687588">
        <w:rPr>
          <w:rFonts w:asciiTheme="minorHAnsi" w:hAnsiTheme="minorHAnsi" w:cstheme="minorHAnsi"/>
          <w:sz w:val="18"/>
          <w:szCs w:val="18"/>
        </w:rPr>
        <w:t xml:space="preserve"> Santillan, MR, et al. (2025). Systemic Therapies for Advanced Medullary Thyroid Carcinoma. In: Raue, F., Frank-Raue, K. (eds) </w:t>
      </w:r>
      <w:r w:rsidRPr="00687588">
        <w:rPr>
          <w:rFonts w:asciiTheme="minorHAnsi" w:hAnsiTheme="minorHAnsi" w:cstheme="minorHAnsi"/>
          <w:i/>
          <w:iCs/>
          <w:sz w:val="18"/>
          <w:szCs w:val="18"/>
        </w:rPr>
        <w:t>Medullary Thyroid Carcinoma</w:t>
      </w:r>
      <w:r w:rsidRPr="00687588">
        <w:rPr>
          <w:rFonts w:asciiTheme="minorHAnsi" w:hAnsiTheme="minorHAnsi" w:cstheme="minorHAnsi"/>
          <w:sz w:val="18"/>
          <w:szCs w:val="18"/>
        </w:rPr>
        <w:t>. Recent Results in Cancer Research, vol 223. Springer, Cham. https://doi.org/10.1007/978-3-031-80396-3_12</w:t>
      </w:r>
    </w:p>
  </w:footnote>
  <w:footnote w:id="25">
    <w:p w14:paraId="3C781668"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https://medicarestatistics.humanservices.gov.au/SASStoredProcess/guest?_PROGRAM=SBIP%3A%2F%2FMETASERVER%2FShared+Data%2Fsasdata%2Fprod%2FVEA0032%2FSAS.StoredProcess%2Fstatistics%2Fmbs_item_standard_report&amp;DRILL=ag&amp;group=73339&amp;VAR=services&amp;STAT=count&amp;RPT_FMT=by+time+period+and+state&amp;PTYPE=finyear&amp;START_DT=202007&amp;END_DT=202506</w:t>
      </w:r>
    </w:p>
  </w:footnote>
  <w:footnote w:id="26">
    <w:p w14:paraId="3C781669"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Kreissl MC, et al. (2020). Efficacy and Safety of Vandetanib in Progressive and Symptomatic Medullary Thyroid Cancer: Post Hoc Analysis From the ZETA Trial. </w:t>
      </w:r>
      <w:r w:rsidRPr="00687588">
        <w:rPr>
          <w:rFonts w:asciiTheme="minorHAnsi" w:hAnsiTheme="minorHAnsi" w:cstheme="minorHAnsi"/>
          <w:i/>
          <w:iCs/>
        </w:rPr>
        <w:t>J Clin Oncol</w:t>
      </w:r>
      <w:r w:rsidRPr="00687588">
        <w:rPr>
          <w:rFonts w:asciiTheme="minorHAnsi" w:hAnsiTheme="minorHAnsi" w:cstheme="minorHAnsi"/>
        </w:rPr>
        <w:t>. 2020 Aug 20;38(24):2773-2781. doi: 10.1200/JCO.19.02790. Epub 2020 Jun 25. PMID: 32584630; PMCID: PMC7430220.</w:t>
      </w:r>
    </w:p>
  </w:footnote>
  <w:footnote w:id="27">
    <w:p w14:paraId="3C78166A" w14:textId="3C7104F0"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Romei, C, et al. (2016). New insights in the molecular signature of advanced medullary thyroid cancer: evidence of a bad outcome of cases with double</w:t>
      </w:r>
      <w:r w:rsidRPr="00687588">
        <w:rPr>
          <w:rFonts w:asciiTheme="minorHAnsi" w:hAnsiTheme="minorHAnsi" w:cstheme="minorHAnsi"/>
          <w:i/>
        </w:rPr>
        <w:t xml:space="preserve"> </w:t>
      </w:r>
      <w:r w:rsidR="00B14353" w:rsidRPr="00687588">
        <w:rPr>
          <w:rFonts w:asciiTheme="minorHAnsi" w:hAnsiTheme="minorHAnsi" w:cstheme="minorHAnsi"/>
          <w:i/>
          <w:iCs/>
        </w:rPr>
        <w:t>RET</w:t>
      </w:r>
      <w:r w:rsidRPr="00687588">
        <w:rPr>
          <w:rFonts w:asciiTheme="minorHAnsi" w:hAnsiTheme="minorHAnsi" w:cstheme="minorHAnsi"/>
          <w:i/>
        </w:rPr>
        <w:t xml:space="preserve"> </w:t>
      </w:r>
      <w:r w:rsidRPr="00687588">
        <w:rPr>
          <w:rFonts w:asciiTheme="minorHAnsi" w:hAnsiTheme="minorHAnsi" w:cstheme="minorHAnsi"/>
        </w:rPr>
        <w:t xml:space="preserve">mutations. </w:t>
      </w:r>
      <w:r w:rsidRPr="00687588">
        <w:rPr>
          <w:rFonts w:asciiTheme="minorHAnsi" w:hAnsiTheme="minorHAnsi" w:cstheme="minorHAnsi"/>
          <w:i/>
          <w:iCs/>
        </w:rPr>
        <w:t>J Med Genet</w:t>
      </w:r>
      <w:r w:rsidRPr="00687588">
        <w:rPr>
          <w:rFonts w:asciiTheme="minorHAnsi" w:hAnsiTheme="minorHAnsi" w:cstheme="minorHAnsi"/>
        </w:rPr>
        <w:t>. 2016 Nov;53(11):729-734. doi: 10.1136/jmedgenet-2016-103833. Epub 2016 Jul 28. PMID: 27468888</w:t>
      </w:r>
    </w:p>
  </w:footnote>
  <w:footnote w:id="28">
    <w:p w14:paraId="3C78166B" w14:textId="56D73690"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w:t>
      </w:r>
      <w:r w:rsidRPr="00687588">
        <w:rPr>
          <w:rFonts w:asciiTheme="minorHAnsi" w:hAnsiTheme="minorHAnsi" w:cstheme="minorHAnsi"/>
          <w:lang w:val="en-US"/>
        </w:rPr>
        <w:t xml:space="preserve">As noted in Section 5 of the advice to MSAC, </w:t>
      </w:r>
      <w:r w:rsidRPr="00687588">
        <w:rPr>
          <w:rFonts w:asciiTheme="minorHAnsi" w:hAnsiTheme="minorHAnsi" w:cstheme="minorHAnsi"/>
          <w:i/>
          <w:iCs/>
          <w:lang w:val="en-US"/>
        </w:rPr>
        <w:t>RAS</w:t>
      </w:r>
      <w:r w:rsidRPr="00687588">
        <w:rPr>
          <w:rFonts w:asciiTheme="minorHAnsi" w:hAnsiTheme="minorHAnsi" w:cstheme="minorHAnsi"/>
          <w:lang w:val="en-US"/>
        </w:rPr>
        <w:t xml:space="preserve"> variants are the most commonly reported variant in</w:t>
      </w:r>
      <w:r w:rsidRPr="00687588">
        <w:rPr>
          <w:rFonts w:asciiTheme="minorHAnsi" w:hAnsiTheme="minorHAnsi" w:cstheme="minorHAnsi"/>
          <w:i/>
          <w:lang w:val="en-US"/>
        </w:rPr>
        <w:t xml:space="preserve"> </w:t>
      </w:r>
      <w:r w:rsidR="00B14353" w:rsidRPr="00687588">
        <w:rPr>
          <w:rFonts w:asciiTheme="minorHAnsi" w:hAnsiTheme="minorHAnsi" w:cstheme="minorHAnsi"/>
          <w:i/>
          <w:iCs/>
          <w:lang w:val="en-US"/>
        </w:rPr>
        <w:t>RET</w:t>
      </w:r>
      <w:r w:rsidRPr="00687588">
        <w:rPr>
          <w:rFonts w:asciiTheme="minorHAnsi" w:hAnsiTheme="minorHAnsi" w:cstheme="minorHAnsi"/>
          <w:i/>
          <w:lang w:val="en-US"/>
        </w:rPr>
        <w:t xml:space="preserve"> </w:t>
      </w:r>
      <w:r w:rsidRPr="00687588">
        <w:rPr>
          <w:rFonts w:asciiTheme="minorHAnsi" w:hAnsiTheme="minorHAnsi" w:cstheme="minorHAnsi"/>
          <w:lang w:val="en-US"/>
        </w:rPr>
        <w:t>wildtype patients</w:t>
      </w:r>
    </w:p>
  </w:footnote>
  <w:footnote w:id="29">
    <w:p w14:paraId="3C78166C"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https://www.msac.gov.au/sites/default/files/documents/1669%2520-%2520Final%2520PSD_Mar-Apr2022_Redacted.pdf</w:t>
      </w:r>
    </w:p>
  </w:footnote>
  <w:footnote w:id="30">
    <w:p w14:paraId="3C78166D"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https://www.msac.gov.au/sites/default/files/documents/1617%2520Final%2520PSD%2520-%2520Mar-Apr%25202021_redacted.pdf</w:t>
      </w:r>
    </w:p>
  </w:footnote>
  <w:footnote w:id="31">
    <w:p w14:paraId="3C78166E"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Filetti, S, et al. (2022). ESMO Guidelines Committee. Electronic address: clinicalguidelines@esmo.org. ESMO Clinical Practice Guideline update on the use of systemic therapy in advanced thyroid cancer. </w:t>
      </w:r>
      <w:r w:rsidRPr="00687588">
        <w:rPr>
          <w:rFonts w:asciiTheme="minorHAnsi" w:hAnsiTheme="minorHAnsi" w:cstheme="minorHAnsi"/>
          <w:i/>
          <w:iCs/>
        </w:rPr>
        <w:t>Ann Oncol</w:t>
      </w:r>
      <w:r w:rsidRPr="00687588">
        <w:rPr>
          <w:rFonts w:asciiTheme="minorHAnsi" w:hAnsiTheme="minorHAnsi" w:cstheme="minorHAnsi"/>
        </w:rPr>
        <w:t>. 2022 Jul;33(7):674-684. doi: 10.1016/j.annonc.2022.04.009. Epub 2022 Apr 28. PMID: 35491008.</w:t>
      </w:r>
    </w:p>
  </w:footnote>
  <w:footnote w:id="32">
    <w:p w14:paraId="3C78166F" w14:textId="77777777" w:rsidR="002F03F5" w:rsidRPr="00687588" w:rsidRDefault="008F23FF">
      <w:pPr>
        <w:pStyle w:val="FootnoteText"/>
        <w:rPr>
          <w:rFonts w:asciiTheme="minorHAnsi" w:hAnsiTheme="minorHAnsi" w:cstheme="minorHAnsi"/>
          <w:lang w:val="en-US"/>
        </w:rPr>
      </w:pPr>
      <w:r w:rsidRPr="00687588">
        <w:rPr>
          <w:rStyle w:val="FootnoteCharacters"/>
          <w:rFonts w:asciiTheme="minorHAnsi" w:hAnsiTheme="minorHAnsi" w:cstheme="minorHAnsi"/>
        </w:rPr>
        <w:footnoteRef/>
      </w:r>
      <w:r w:rsidRPr="00687588">
        <w:rPr>
          <w:rFonts w:asciiTheme="minorHAnsi" w:hAnsiTheme="minorHAnsi" w:cstheme="minorHAnsi"/>
        </w:rPr>
        <w:t xml:space="preserve"> Haddad, RI, et al. (2022). Thyroid Carcinoma, Version 2.2022, NCCN Clinical Practice Guidelines in Oncology</w:t>
      </w:r>
      <w:r w:rsidRPr="00687588">
        <w:rPr>
          <w:rFonts w:asciiTheme="minorHAnsi" w:hAnsiTheme="minorHAnsi" w:cstheme="minorHAnsi"/>
          <w:i/>
          <w:iCs/>
        </w:rPr>
        <w:t>. Journal of the National Comprehensive Cancer Network</w:t>
      </w:r>
      <w:r w:rsidRPr="00687588">
        <w:rPr>
          <w:rFonts w:asciiTheme="minorHAnsi" w:hAnsiTheme="minorHAnsi" w:cstheme="minorHAnsi"/>
        </w:rPr>
        <w:t>, 20(8), 925-951. https://doi.org/10.6004/jnccn.2022.0040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163C" w14:textId="37DA871A" w:rsidR="002F03F5" w:rsidRDefault="00AF786E">
    <w:pPr>
      <w:pStyle w:val="Header"/>
    </w:pPr>
    <w:r>
      <w:rPr>
        <w:noProof/>
      </w:rPr>
      <mc:AlternateContent>
        <mc:Choice Requires="wps">
          <w:drawing>
            <wp:anchor distT="0" distB="0" distL="0" distR="0" simplePos="0" relativeHeight="251658242" behindDoc="0" locked="0" layoutInCell="1" allowOverlap="1" wp14:anchorId="557DB0E2" wp14:editId="4978B8A8">
              <wp:simplePos x="635" y="635"/>
              <wp:positionH relativeFrom="page">
                <wp:align>center</wp:align>
              </wp:positionH>
              <wp:positionV relativeFrom="page">
                <wp:align>top</wp:align>
              </wp:positionV>
              <wp:extent cx="622300" cy="452755"/>
              <wp:effectExtent l="0" t="0" r="6350" b="4445"/>
              <wp:wrapNone/>
              <wp:docPr id="1092426780"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6290C42" w14:textId="0FC8024B"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7DB0E2" id="_x0000_t202" coordsize="21600,21600" o:spt="202" path="m,l,21600r21600,l21600,xe">
              <v:stroke joinstyle="miter"/>
              <v:path gradientshapeok="t" o:connecttype="rect"/>
            </v:shapetype>
            <v:shape id="Text Box 9" o:spid="_x0000_s1026" type="#_x0000_t202" alt="OFFICIAL" style="position:absolute;left:0;text-align:left;margin-left:0;margin-top:0;width:49pt;height:35.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26290C42" w14:textId="0FC8024B"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v:textbox>
              <w10:wrap anchorx="page" anchory="page"/>
            </v:shape>
          </w:pict>
        </mc:Fallback>
      </mc:AlternateContent>
    </w:r>
    <w:r w:rsidR="008F23FF">
      <w:rPr>
        <w:noProof/>
      </w:rPr>
      <mc:AlternateContent>
        <mc:Choice Requires="wps">
          <w:drawing>
            <wp:anchor distT="0" distB="3810" distL="0" distR="6350" simplePos="0" relativeHeight="251658240" behindDoc="1" locked="0" layoutInCell="0" allowOverlap="1" wp14:anchorId="3C781644" wp14:editId="3C781645">
              <wp:simplePos x="0" y="0"/>
              <wp:positionH relativeFrom="page">
                <wp:align>center</wp:align>
              </wp:positionH>
              <wp:positionV relativeFrom="page">
                <wp:align>top</wp:align>
              </wp:positionV>
              <wp:extent cx="622300" cy="452755"/>
              <wp:effectExtent l="0" t="635" r="0" b="0"/>
              <wp:wrapNone/>
              <wp:docPr id="13" name="Text Box 2" descr="OFFICIAL"/>
              <wp:cNvGraphicFramePr/>
              <a:graphic xmlns:a="http://schemas.openxmlformats.org/drawingml/2006/main">
                <a:graphicData uri="http://schemas.microsoft.com/office/word/2010/wordprocessingShape">
                  <wps:wsp>
                    <wps:cNvSpPr/>
                    <wps:spPr>
                      <a:xfrm>
                        <a:off x="0" y="0"/>
                        <a:ext cx="622440" cy="452880"/>
                      </a:xfrm>
                      <a:prstGeom prst="rect">
                        <a:avLst/>
                      </a:prstGeom>
                      <a:noFill/>
                      <a:ln w="0">
                        <a:noFill/>
                      </a:ln>
                    </wps:spPr>
                    <wps:style>
                      <a:lnRef idx="0">
                        <a:scrgbClr r="0" g="0" b="0"/>
                      </a:lnRef>
                      <a:fillRef idx="0">
                        <a:scrgbClr r="0" g="0" b="0"/>
                      </a:fillRef>
                      <a:effectRef idx="0">
                        <a:scrgbClr r="0" g="0" b="0"/>
                      </a:effectRef>
                      <a:fontRef idx="minor"/>
                    </wps:style>
                    <wps:txbx>
                      <w:txbxContent>
                        <w:p w14:paraId="3C781679" w14:textId="77777777" w:rsidR="002F03F5" w:rsidRDefault="008F23FF">
                          <w:pPr>
                            <w:pStyle w:val="FrameContents"/>
                            <w:spacing w:after="0"/>
                            <w:rPr>
                              <w:rFonts w:ascii="Aptos" w:eastAsia="Aptos" w:hAnsi="Aptos" w:cs="Aptos"/>
                              <w:color w:val="FF0000"/>
                              <w:szCs w:val="24"/>
                            </w:rPr>
                          </w:pPr>
                          <w:r>
                            <w:rPr>
                              <w:rFonts w:ascii="Aptos" w:eastAsia="Aptos" w:hAnsi="Aptos" w:cs="Aptos"/>
                              <w:color w:val="FF0000"/>
                              <w:szCs w:val="24"/>
                            </w:rPr>
                            <w:t>OFFICIAL</w:t>
                          </w:r>
                        </w:p>
                      </w:txbxContent>
                    </wps:txbx>
                    <wps:bodyPr lIns="0" tIns="190440" rIns="0" bIns="0" anchor="t">
                      <a:prstTxWarp prst="textNoShape">
                        <a:avLst/>
                      </a:prstTxWarp>
                      <a:spAutoFit/>
                    </wps:bodyPr>
                  </wps:wsp>
                </a:graphicData>
              </a:graphic>
            </wp:anchor>
          </w:drawing>
        </mc:Choice>
        <mc:Fallback>
          <w:pict>
            <v:rect w14:anchorId="3C781644" id="Text Box 2" o:spid="_x0000_s1027" alt="OFFICIAL" style="position:absolute;left:0;text-align:left;margin-left:0;margin-top:0;width:49pt;height:35.65pt;z-index:-251658240;visibility:visible;mso-wrap-style:square;mso-wrap-distance-left:0;mso-wrap-distance-top:0;mso-wrap-distance-right:.5pt;mso-wrap-distance-bottom:.3pt;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" o:allowincell="f" filled="f" stroked="f" strokeweight="0">
              <v:textbox style="mso-fit-shape-to-text:t" inset="0,5.29mm,0,0">
                <w:txbxContent>
                  <w:p w14:paraId="3C781679" w14:textId="77777777" w:rsidR="002F03F5" w:rsidRDefault="008F23FF">
                    <w:pPr>
                      <w:pStyle w:val="FrameContents"/>
                      <w:spacing w:after="0"/>
                      <w:rPr>
                        <w:rFonts w:ascii="Aptos" w:eastAsia="Aptos" w:hAnsi="Aptos" w:cs="Aptos"/>
                        <w:color w:val="FF0000"/>
                        <w:szCs w:val="24"/>
                      </w:rPr>
                    </w:pPr>
                    <w:r>
                      <w:rPr>
                        <w:rFonts w:ascii="Aptos" w:eastAsia="Aptos" w:hAnsi="Aptos" w:cs="Aptos"/>
                        <w:color w:val="FF0000"/>
                        <w:szCs w:val="24"/>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163E" w14:textId="369C6A80" w:rsidR="002F03F5" w:rsidRDefault="00AF786E" w:rsidP="00EC43BF">
    <w:pPr>
      <w:pStyle w:val="Header"/>
    </w:pPr>
    <w:r>
      <w:rPr>
        <w:noProof/>
      </w:rPr>
      <mc:AlternateContent>
        <mc:Choice Requires="wps">
          <w:drawing>
            <wp:anchor distT="0" distB="0" distL="0" distR="0" simplePos="0" relativeHeight="251658243" behindDoc="0" locked="0" layoutInCell="1" allowOverlap="1" wp14:anchorId="29AE8685" wp14:editId="17AECCEA">
              <wp:simplePos x="635" y="635"/>
              <wp:positionH relativeFrom="page">
                <wp:align>center</wp:align>
              </wp:positionH>
              <wp:positionV relativeFrom="page">
                <wp:align>top</wp:align>
              </wp:positionV>
              <wp:extent cx="622300" cy="452755"/>
              <wp:effectExtent l="0" t="0" r="6350" b="4445"/>
              <wp:wrapNone/>
              <wp:docPr id="48047365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DE34DC2" w14:textId="742AECF5"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AE8685" id="_x0000_t202" coordsize="21600,21600" o:spt="202" path="m,l,21600r21600,l21600,xe">
              <v:stroke joinstyle="miter"/>
              <v:path gradientshapeok="t" o:connecttype="rect"/>
            </v:shapetype>
            <v:shape id="Text Box 10" o:spid="_x0000_s1028" type="#_x0000_t202" alt="OFFICIAL" style="position:absolute;left:0;text-align:left;margin-left:0;margin-top:0;width:49pt;height:35.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gLDQIAABw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c9aeuKFlP3e6jPOJSDYd/e8k2LpbfMhyfmcMHYLYo2&#10;POIhFXQVhdGipAH342/+mI+8Y5SSDgVTUYOKpkR9M7iPqK1kzD/ni0iGm9z7yTBHfQcowzm+CMuT&#10;GfOCmkzpQL+gnNexEIaY4ViuomEy78KgXHwOXKzXKQllZFnYmp3lETrSFbl87l+YsyPhATf1AJOa&#10;WPmK9yE33vR2fQzIflpKpHYgcmQcJZjWOj6XqPFf/1PW9VGvfgI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kwWYCw0CAAAcBAAA&#10;DgAAAAAAAAAAAAAAAAAuAgAAZHJzL2Uyb0RvYy54bWxQSwECLQAUAAYACAAAACEARawYydkAAAAD&#10;AQAADwAAAAAAAAAAAAAAAABnBAAAZHJzL2Rvd25yZXYueG1sUEsFBgAAAAAEAAQA8wAAAG0FAAAA&#10;AA==&#10;" filled="f" stroked="f">
              <v:textbox style="mso-fit-shape-to-text:t" inset="0,15pt,0,0">
                <w:txbxContent>
                  <w:p w14:paraId="5DE34DC2" w14:textId="742AECF5"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81641" w14:textId="616F9D27" w:rsidR="002F03F5" w:rsidRDefault="00AF786E">
    <w:pPr>
      <w:pStyle w:val="Header"/>
    </w:pPr>
    <w:r>
      <w:rPr>
        <w:i/>
        <w:iCs/>
        <w:noProof/>
      </w:rPr>
      <mc:AlternateContent>
        <mc:Choice Requires="wps">
          <w:drawing>
            <wp:anchor distT="0" distB="0" distL="0" distR="0" simplePos="0" relativeHeight="251658241" behindDoc="0" locked="0" layoutInCell="1" allowOverlap="1" wp14:anchorId="11ECDD54" wp14:editId="4FD7106E">
              <wp:simplePos x="635" y="635"/>
              <wp:positionH relativeFrom="page">
                <wp:align>center</wp:align>
              </wp:positionH>
              <wp:positionV relativeFrom="page">
                <wp:align>top</wp:align>
              </wp:positionV>
              <wp:extent cx="622300" cy="452755"/>
              <wp:effectExtent l="0" t="0" r="6350" b="4445"/>
              <wp:wrapNone/>
              <wp:docPr id="2062914350"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93B4D5F" w14:textId="4313EF82"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ECDD54" id="_x0000_t202" coordsize="21600,21600" o:spt="202" path="m,l,21600r21600,l21600,xe">
              <v:stroke joinstyle="miter"/>
              <v:path gradientshapeok="t" o:connecttype="rect"/>
            </v:shapetype>
            <v:shape id="Text Box 8" o:spid="_x0000_s1031" type="#_x0000_t202" alt="OFFICIAL" style="position:absolute;left:0;text-align:left;margin-left:0;margin-top:0;width:49pt;height:35.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CQOYW7DAIAABwEAAAO&#10;AAAAAAAAAAAAAAAAAC4CAABkcnMvZTJvRG9jLnhtbFBLAQItABQABgAIAAAAIQBFrBjJ2QAAAAMB&#10;AAAPAAAAAAAAAAAAAAAAAGYEAABkcnMvZG93bnJldi54bWxQSwUGAAAAAAQABADzAAAAbAUAAAAA&#10;" filled="f" stroked="f">
              <v:textbox style="mso-fit-shape-to-text:t" inset="0,15pt,0,0">
                <w:txbxContent>
                  <w:p w14:paraId="093B4D5F" w14:textId="4313EF82" w:rsidR="00AF786E" w:rsidRPr="00AF786E" w:rsidRDefault="00AF786E" w:rsidP="00AF786E">
                    <w:pPr>
                      <w:spacing w:after="0"/>
                      <w:rPr>
                        <w:rFonts w:ascii="Aptos" w:eastAsia="Aptos" w:hAnsi="Aptos" w:cs="Aptos"/>
                        <w:noProof/>
                        <w:color w:val="FF0000"/>
                        <w:sz w:val="24"/>
                        <w:szCs w:val="24"/>
                      </w:rPr>
                    </w:pPr>
                    <w:r w:rsidRPr="00AF786E">
                      <w:rPr>
                        <w:rFonts w:ascii="Aptos" w:eastAsia="Aptos" w:hAnsi="Aptos" w:cs="Aptos"/>
                        <w:noProof/>
                        <w:color w:val="FF0000"/>
                        <w:sz w:val="24"/>
                        <w:szCs w:val="24"/>
                      </w:rPr>
                      <w:t>OFFICIAL</w:t>
                    </w:r>
                  </w:p>
                </w:txbxContent>
              </v:textbox>
              <w10:wrap anchorx="page" anchory="page"/>
            </v:shape>
          </w:pict>
        </mc:Fallback>
      </mc:AlternateContent>
    </w:r>
    <w:r w:rsidR="00B14353" w:rsidRPr="00B14353">
      <w:rPr>
        <w:i/>
        <w:iCs/>
      </w:rPr>
      <w:t>RET</w:t>
    </w:r>
    <w:r w:rsidR="008F23FF">
      <w:t xml:space="preserve"> alteration testing/Selpercatinib </w:t>
    </w:r>
    <w:r w:rsidR="008F23FF">
      <w:tab/>
    </w:r>
    <w:r w:rsidR="008F23FF">
      <w:tab/>
      <w:t>MSAC 1804/PBAC 6.12.ESC ADV.</w:t>
    </w:r>
    <w:r w:rsidR="008F23FF">
      <w:fldChar w:fldCharType="begin"/>
    </w:r>
    <w:r w:rsidR="008F23FF">
      <w:instrText xml:space="preserve"> PAGE </w:instrText>
    </w:r>
    <w:r w:rsidR="008F23FF">
      <w:fldChar w:fldCharType="separate"/>
    </w:r>
    <w:r w:rsidR="008F23FF">
      <w:t>82</w:t>
    </w:r>
    <w:r w:rsidR="008F23FF">
      <w:fldChar w:fldCharType="end"/>
    </w:r>
  </w:p>
  <w:p w14:paraId="3C781642" w14:textId="627CFB6D" w:rsidR="002F03F5" w:rsidRDefault="002F03F5" w:rsidP="008A5F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09A1"/>
    <w:multiLevelType w:val="multilevel"/>
    <w:tmpl w:val="1168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5C2766"/>
    <w:multiLevelType w:val="multilevel"/>
    <w:tmpl w:val="4CDE5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7711B2"/>
    <w:multiLevelType w:val="multilevel"/>
    <w:tmpl w:val="06822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70053"/>
    <w:multiLevelType w:val="multilevel"/>
    <w:tmpl w:val="223A56E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27245855"/>
    <w:multiLevelType w:val="multilevel"/>
    <w:tmpl w:val="186A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005FC2"/>
    <w:multiLevelType w:val="multilevel"/>
    <w:tmpl w:val="C8260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7B15097"/>
    <w:multiLevelType w:val="hybridMultilevel"/>
    <w:tmpl w:val="DFB229B0"/>
    <w:lvl w:ilvl="0" w:tplc="93801CAE">
      <w:start w:val="1"/>
      <w:numFmt w:val="bullet"/>
      <w:lvlText w:val="·"/>
      <w:lvlJc w:val="left"/>
      <w:pPr>
        <w:tabs>
          <w:tab w:val="num" w:pos="720"/>
        </w:tabs>
        <w:ind w:left="720" w:hanging="360"/>
      </w:pPr>
      <w:rPr>
        <w:rFonts w:ascii="Symbol" w:hAnsi="Symbol" w:hint="default"/>
        <w:sz w:val="20"/>
      </w:rPr>
    </w:lvl>
    <w:lvl w:ilvl="1" w:tplc="8E48F024" w:tentative="1">
      <w:start w:val="1"/>
      <w:numFmt w:val="bullet"/>
      <w:lvlText w:val=""/>
      <w:lvlJc w:val="left"/>
      <w:pPr>
        <w:tabs>
          <w:tab w:val="num" w:pos="1440"/>
        </w:tabs>
        <w:ind w:left="1440" w:hanging="360"/>
      </w:pPr>
      <w:rPr>
        <w:rFonts w:ascii="Symbol" w:hAnsi="Symbol" w:hint="default"/>
        <w:sz w:val="20"/>
      </w:rPr>
    </w:lvl>
    <w:lvl w:ilvl="2" w:tplc="3940C088" w:tentative="1">
      <w:start w:val="1"/>
      <w:numFmt w:val="bullet"/>
      <w:lvlText w:val=""/>
      <w:lvlJc w:val="left"/>
      <w:pPr>
        <w:tabs>
          <w:tab w:val="num" w:pos="2160"/>
        </w:tabs>
        <w:ind w:left="2160" w:hanging="360"/>
      </w:pPr>
      <w:rPr>
        <w:rFonts w:ascii="Symbol" w:hAnsi="Symbol" w:hint="default"/>
        <w:sz w:val="20"/>
      </w:rPr>
    </w:lvl>
    <w:lvl w:ilvl="3" w:tplc="CDB8C8B8" w:tentative="1">
      <w:start w:val="1"/>
      <w:numFmt w:val="bullet"/>
      <w:lvlText w:val=""/>
      <w:lvlJc w:val="left"/>
      <w:pPr>
        <w:tabs>
          <w:tab w:val="num" w:pos="2880"/>
        </w:tabs>
        <w:ind w:left="2880" w:hanging="360"/>
      </w:pPr>
      <w:rPr>
        <w:rFonts w:ascii="Symbol" w:hAnsi="Symbol" w:hint="default"/>
        <w:sz w:val="20"/>
      </w:rPr>
    </w:lvl>
    <w:lvl w:ilvl="4" w:tplc="CAC45322" w:tentative="1">
      <w:start w:val="1"/>
      <w:numFmt w:val="bullet"/>
      <w:lvlText w:val=""/>
      <w:lvlJc w:val="left"/>
      <w:pPr>
        <w:tabs>
          <w:tab w:val="num" w:pos="3600"/>
        </w:tabs>
        <w:ind w:left="3600" w:hanging="360"/>
      </w:pPr>
      <w:rPr>
        <w:rFonts w:ascii="Symbol" w:hAnsi="Symbol" w:hint="default"/>
        <w:sz w:val="20"/>
      </w:rPr>
    </w:lvl>
    <w:lvl w:ilvl="5" w:tplc="CDF8612E" w:tentative="1">
      <w:start w:val="1"/>
      <w:numFmt w:val="bullet"/>
      <w:lvlText w:val=""/>
      <w:lvlJc w:val="left"/>
      <w:pPr>
        <w:tabs>
          <w:tab w:val="num" w:pos="4320"/>
        </w:tabs>
        <w:ind w:left="4320" w:hanging="360"/>
      </w:pPr>
      <w:rPr>
        <w:rFonts w:ascii="Symbol" w:hAnsi="Symbol" w:hint="default"/>
        <w:sz w:val="20"/>
      </w:rPr>
    </w:lvl>
    <w:lvl w:ilvl="6" w:tplc="B02C1A32" w:tentative="1">
      <w:start w:val="1"/>
      <w:numFmt w:val="bullet"/>
      <w:lvlText w:val=""/>
      <w:lvlJc w:val="left"/>
      <w:pPr>
        <w:tabs>
          <w:tab w:val="num" w:pos="5040"/>
        </w:tabs>
        <w:ind w:left="5040" w:hanging="360"/>
      </w:pPr>
      <w:rPr>
        <w:rFonts w:ascii="Symbol" w:hAnsi="Symbol" w:hint="default"/>
        <w:sz w:val="20"/>
      </w:rPr>
    </w:lvl>
    <w:lvl w:ilvl="7" w:tplc="45A061A4" w:tentative="1">
      <w:start w:val="1"/>
      <w:numFmt w:val="bullet"/>
      <w:lvlText w:val=""/>
      <w:lvlJc w:val="left"/>
      <w:pPr>
        <w:tabs>
          <w:tab w:val="num" w:pos="5760"/>
        </w:tabs>
        <w:ind w:left="5760" w:hanging="360"/>
      </w:pPr>
      <w:rPr>
        <w:rFonts w:ascii="Symbol" w:hAnsi="Symbol" w:hint="default"/>
        <w:sz w:val="20"/>
      </w:rPr>
    </w:lvl>
    <w:lvl w:ilvl="8" w:tplc="6F464826"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C750C89"/>
    <w:multiLevelType w:val="multilevel"/>
    <w:tmpl w:val="4AF2A602"/>
    <w:lvl w:ilvl="0">
      <w:start w:val="1"/>
      <w:numFmt w:val="decimal"/>
      <w:pStyle w:val="PBACESHeading1"/>
      <w:lvlText w:val="%1"/>
      <w:lvlJc w:val="left"/>
      <w:pPr>
        <w:tabs>
          <w:tab w:val="num" w:pos="0"/>
        </w:tabs>
        <w:ind w:left="720" w:hanging="720"/>
      </w:pPr>
      <w:rPr>
        <w:b/>
      </w:rPr>
    </w:lvl>
    <w:lvl w:ilvl="1">
      <w:start w:val="1"/>
      <w:numFmt w:val="decimal"/>
      <w:pStyle w:val="3-BodyText"/>
      <w:lvlText w:val="%1.%2"/>
      <w:lvlJc w:val="left"/>
      <w:pPr>
        <w:tabs>
          <w:tab w:val="num" w:pos="0"/>
        </w:tabs>
        <w:ind w:left="720" w:hanging="720"/>
      </w:pPr>
      <w:rPr>
        <w:b w:val="0"/>
        <w:bCs w:val="0"/>
        <w:i w:val="0"/>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9" w15:restartNumberingAfterBreak="0">
    <w:nsid w:val="44035D7A"/>
    <w:multiLevelType w:val="multilevel"/>
    <w:tmpl w:val="A9F826A6"/>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48F515F3"/>
    <w:multiLevelType w:val="multilevel"/>
    <w:tmpl w:val="2CF07F1E"/>
    <w:styleLink w:val="Style1"/>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4EE731DB"/>
    <w:multiLevelType w:val="hybridMultilevel"/>
    <w:tmpl w:val="A868146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096530C"/>
    <w:multiLevelType w:val="multilevel"/>
    <w:tmpl w:val="8802177C"/>
    <w:lvl w:ilvl="0">
      <w:start w:val="1"/>
      <w:numFmt w:val="bullet"/>
      <w:pStyle w:val="MainBodyBulletPoin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476"/>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57E07EFD"/>
    <w:multiLevelType w:val="multilevel"/>
    <w:tmpl w:val="0698401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B255E0E"/>
    <w:multiLevelType w:val="multilevel"/>
    <w:tmpl w:val="FFCCF5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5E150B90"/>
    <w:multiLevelType w:val="hybridMultilevel"/>
    <w:tmpl w:val="356A79C4"/>
    <w:lvl w:ilvl="0" w:tplc="F328064A">
      <w:start w:val="1"/>
      <w:numFmt w:val="decimal"/>
      <w:pStyle w:val="MSACHeading1"/>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F686202"/>
    <w:multiLevelType w:val="hybridMultilevel"/>
    <w:tmpl w:val="4B86B9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114007F"/>
    <w:multiLevelType w:val="multilevel"/>
    <w:tmpl w:val="77965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1416BB"/>
    <w:multiLevelType w:val="multilevel"/>
    <w:tmpl w:val="8BCEF3CA"/>
    <w:lvl w:ilvl="0">
      <w:start w:val="1"/>
      <w:numFmt w:val="decimal"/>
      <w:pStyle w:val="Heading1"/>
      <w:lvlText w:val="%1"/>
      <w:lvlJc w:val="left"/>
      <w:pPr>
        <w:tabs>
          <w:tab w:val="num" w:pos="0"/>
        </w:tabs>
        <w:ind w:left="432" w:hanging="432"/>
      </w:pPr>
      <w:rPr>
        <w:b/>
      </w:rPr>
    </w:lvl>
    <w:lvl w:ilvl="1">
      <w:start w:val="1"/>
      <w:numFmt w:val="upperLetter"/>
      <w:lvlText w:val="%1%2"/>
      <w:lvlJc w:val="left"/>
      <w:pPr>
        <w:tabs>
          <w:tab w:val="num" w:pos="0"/>
        </w:tabs>
        <w:ind w:left="576" w:hanging="576"/>
      </w:pPr>
    </w:lvl>
    <w:lvl w:ilvl="2">
      <w:start w:val="1"/>
      <w:numFmt w:val="decimal"/>
      <w:lvlText w:val="%1%2.%3"/>
      <w:lvlJc w:val="left"/>
      <w:pPr>
        <w:tabs>
          <w:tab w:val="num" w:pos="0"/>
        </w:tabs>
        <w:ind w:left="0" w:firstLine="0"/>
      </w:pPr>
    </w:lvl>
    <w:lvl w:ilvl="3">
      <w:start w:val="1"/>
      <w:numFmt w:val="decimal"/>
      <w:pStyle w:val="Heading2"/>
      <w:lvlText w:val="%1.%4"/>
      <w:lvlJc w:val="left"/>
      <w:pPr>
        <w:tabs>
          <w:tab w:val="num" w:pos="0"/>
        </w:tabs>
        <w:ind w:left="864" w:hanging="864"/>
      </w:pPr>
    </w:lvl>
    <w:lvl w:ilvl="4">
      <w:start w:val="1"/>
      <w:numFmt w:val="decimal"/>
      <w:lvlText w:val="%1%2.%5"/>
      <w:lvlJc w:val="left"/>
      <w:pPr>
        <w:tabs>
          <w:tab w:val="num" w:pos="0"/>
        </w:tabs>
        <w:ind w:left="0" w:firstLine="0"/>
      </w:pPr>
    </w:lvl>
    <w:lvl w:ilvl="5">
      <w:start w:val="1"/>
      <w:numFmt w:val="none"/>
      <w:pStyle w:val="Heading3"/>
      <w:suff w:val="nothing"/>
      <w:lvlText w:val=""/>
      <w:lvlJc w:val="left"/>
      <w:pPr>
        <w:tabs>
          <w:tab w:val="num" w:pos="0"/>
        </w:tabs>
        <w:ind w:left="0" w:firstLine="0"/>
      </w:pPr>
    </w:lvl>
    <w:lvl w:ilvl="6">
      <w:start w:val="1"/>
      <w:numFmt w:val="none"/>
      <w:pStyle w:val="Heading4"/>
      <w:suff w:val="nothing"/>
      <w:lvlText w:val=""/>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9" w15:restartNumberingAfterBreak="0">
    <w:nsid w:val="6D482B79"/>
    <w:multiLevelType w:val="hybridMultilevel"/>
    <w:tmpl w:val="FDCC21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911BEF"/>
    <w:multiLevelType w:val="multilevel"/>
    <w:tmpl w:val="B156A7D0"/>
    <w:styleLink w:val="Style2"/>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3C2957"/>
    <w:multiLevelType w:val="hybridMultilevel"/>
    <w:tmpl w:val="8DCE9C1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F181516"/>
    <w:multiLevelType w:val="hybridMultilevel"/>
    <w:tmpl w:val="FF9EE7EA"/>
    <w:lvl w:ilvl="0" w:tplc="99525AAE">
      <w:start w:val="1"/>
      <w:numFmt w:val="decimal"/>
      <w:pStyle w:val="Nnumberedlist"/>
      <w:lvlText w:val="%1."/>
      <w:lvlJc w:val="left"/>
      <w:pPr>
        <w:tabs>
          <w:tab w:val="num" w:pos="1440"/>
        </w:tabs>
        <w:ind w:left="1440" w:hanging="360"/>
      </w:pPr>
    </w:lvl>
    <w:lvl w:ilvl="1" w:tplc="389C2200" w:tentative="1">
      <w:start w:val="1"/>
      <w:numFmt w:val="lowerLetter"/>
      <w:lvlText w:val="%2."/>
      <w:lvlJc w:val="left"/>
      <w:pPr>
        <w:tabs>
          <w:tab w:val="num" w:pos="2160"/>
        </w:tabs>
        <w:ind w:left="2160" w:hanging="360"/>
      </w:pPr>
    </w:lvl>
    <w:lvl w:ilvl="2" w:tplc="C3F8B188" w:tentative="1">
      <w:start w:val="1"/>
      <w:numFmt w:val="lowerRoman"/>
      <w:lvlText w:val="%3."/>
      <w:lvlJc w:val="right"/>
      <w:pPr>
        <w:tabs>
          <w:tab w:val="num" w:pos="2880"/>
        </w:tabs>
        <w:ind w:left="2880" w:hanging="180"/>
      </w:pPr>
    </w:lvl>
    <w:lvl w:ilvl="3" w:tplc="391E97F0" w:tentative="1">
      <w:start w:val="1"/>
      <w:numFmt w:val="decimal"/>
      <w:lvlText w:val="%4."/>
      <w:lvlJc w:val="left"/>
      <w:pPr>
        <w:tabs>
          <w:tab w:val="num" w:pos="3600"/>
        </w:tabs>
        <w:ind w:left="3600" w:hanging="360"/>
      </w:pPr>
    </w:lvl>
    <w:lvl w:ilvl="4" w:tplc="4F42265E" w:tentative="1">
      <w:start w:val="1"/>
      <w:numFmt w:val="lowerLetter"/>
      <w:lvlText w:val="%5."/>
      <w:lvlJc w:val="left"/>
      <w:pPr>
        <w:tabs>
          <w:tab w:val="num" w:pos="4320"/>
        </w:tabs>
        <w:ind w:left="4320" w:hanging="360"/>
      </w:pPr>
    </w:lvl>
    <w:lvl w:ilvl="5" w:tplc="30546058" w:tentative="1">
      <w:start w:val="1"/>
      <w:numFmt w:val="lowerRoman"/>
      <w:lvlText w:val="%6."/>
      <w:lvlJc w:val="right"/>
      <w:pPr>
        <w:tabs>
          <w:tab w:val="num" w:pos="5040"/>
        </w:tabs>
        <w:ind w:left="5040" w:hanging="180"/>
      </w:pPr>
    </w:lvl>
    <w:lvl w:ilvl="6" w:tplc="6E10F0C6" w:tentative="1">
      <w:start w:val="1"/>
      <w:numFmt w:val="decimal"/>
      <w:lvlText w:val="%7."/>
      <w:lvlJc w:val="left"/>
      <w:pPr>
        <w:tabs>
          <w:tab w:val="num" w:pos="5760"/>
        </w:tabs>
        <w:ind w:left="5760" w:hanging="360"/>
      </w:pPr>
    </w:lvl>
    <w:lvl w:ilvl="7" w:tplc="70B07B9C" w:tentative="1">
      <w:start w:val="1"/>
      <w:numFmt w:val="lowerLetter"/>
      <w:lvlText w:val="%8."/>
      <w:lvlJc w:val="left"/>
      <w:pPr>
        <w:tabs>
          <w:tab w:val="num" w:pos="6480"/>
        </w:tabs>
        <w:ind w:left="6480" w:hanging="360"/>
      </w:pPr>
    </w:lvl>
    <w:lvl w:ilvl="8" w:tplc="9BF48AAC" w:tentative="1">
      <w:start w:val="1"/>
      <w:numFmt w:val="lowerRoman"/>
      <w:lvlText w:val="%9."/>
      <w:lvlJc w:val="right"/>
      <w:pPr>
        <w:tabs>
          <w:tab w:val="num" w:pos="7200"/>
        </w:tabs>
        <w:ind w:left="7200" w:hanging="180"/>
      </w:pPr>
    </w:lvl>
  </w:abstractNum>
  <w:num w:numId="1" w16cid:durableId="2014449897">
    <w:abstractNumId w:val="18"/>
  </w:num>
  <w:num w:numId="2" w16cid:durableId="1132865647">
    <w:abstractNumId w:val="8"/>
  </w:num>
  <w:num w:numId="3" w16cid:durableId="1358655896">
    <w:abstractNumId w:val="12"/>
  </w:num>
  <w:num w:numId="4" w16cid:durableId="1784611569">
    <w:abstractNumId w:val="9"/>
  </w:num>
  <w:num w:numId="5" w16cid:durableId="1896576121">
    <w:abstractNumId w:val="3"/>
  </w:num>
  <w:num w:numId="6" w16cid:durableId="1690763469">
    <w:abstractNumId w:val="14"/>
  </w:num>
  <w:num w:numId="7" w16cid:durableId="2121408289">
    <w:abstractNumId w:val="13"/>
  </w:num>
  <w:num w:numId="8" w16cid:durableId="459540515">
    <w:abstractNumId w:val="8"/>
  </w:num>
  <w:num w:numId="9" w16cid:durableId="1943294745">
    <w:abstractNumId w:val="5"/>
  </w:num>
  <w:num w:numId="10" w16cid:durableId="821584777">
    <w:abstractNumId w:val="10"/>
  </w:num>
  <w:num w:numId="11" w16cid:durableId="1170438738">
    <w:abstractNumId w:val="20"/>
  </w:num>
  <w:num w:numId="12" w16cid:durableId="542835030">
    <w:abstractNumId w:val="15"/>
  </w:num>
  <w:num w:numId="13" w16cid:durableId="868646152">
    <w:abstractNumId w:val="19"/>
  </w:num>
  <w:num w:numId="14" w16cid:durableId="538787612">
    <w:abstractNumId w:val="23"/>
  </w:num>
  <w:num w:numId="15" w16cid:durableId="2090610075">
    <w:abstractNumId w:val="16"/>
  </w:num>
  <w:num w:numId="16" w16cid:durableId="313921197">
    <w:abstractNumId w:val="2"/>
  </w:num>
  <w:num w:numId="17" w16cid:durableId="569926596">
    <w:abstractNumId w:val="6"/>
  </w:num>
  <w:num w:numId="18" w16cid:durableId="57478319">
    <w:abstractNumId w:val="1"/>
  </w:num>
  <w:num w:numId="19" w16cid:durableId="1644700441">
    <w:abstractNumId w:val="7"/>
  </w:num>
  <w:num w:numId="20" w16cid:durableId="1769425417">
    <w:abstractNumId w:val="4"/>
  </w:num>
  <w:num w:numId="21" w16cid:durableId="934942029">
    <w:abstractNumId w:val="0"/>
  </w:num>
  <w:num w:numId="22" w16cid:durableId="460806123">
    <w:abstractNumId w:val="17"/>
  </w:num>
  <w:num w:numId="23" w16cid:durableId="1656645771">
    <w:abstractNumId w:val="22"/>
  </w:num>
  <w:num w:numId="24" w16cid:durableId="814759832">
    <w:abstractNumId w:val="21"/>
  </w:num>
  <w:num w:numId="25" w16cid:durableId="1172797436">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F5"/>
    <w:rsid w:val="000002FF"/>
    <w:rsid w:val="00000498"/>
    <w:rsid w:val="00000666"/>
    <w:rsid w:val="0000070D"/>
    <w:rsid w:val="0000076E"/>
    <w:rsid w:val="000007B0"/>
    <w:rsid w:val="00000833"/>
    <w:rsid w:val="000008F6"/>
    <w:rsid w:val="00000AC7"/>
    <w:rsid w:val="00000C75"/>
    <w:rsid w:val="00000E1F"/>
    <w:rsid w:val="00001089"/>
    <w:rsid w:val="000011FF"/>
    <w:rsid w:val="0000128C"/>
    <w:rsid w:val="000014A9"/>
    <w:rsid w:val="00001538"/>
    <w:rsid w:val="000018C6"/>
    <w:rsid w:val="00001A24"/>
    <w:rsid w:val="00001A30"/>
    <w:rsid w:val="00001A3B"/>
    <w:rsid w:val="00001AB4"/>
    <w:rsid w:val="00001F70"/>
    <w:rsid w:val="00002003"/>
    <w:rsid w:val="000021D3"/>
    <w:rsid w:val="00002350"/>
    <w:rsid w:val="00002463"/>
    <w:rsid w:val="000025D0"/>
    <w:rsid w:val="00002675"/>
    <w:rsid w:val="0000289F"/>
    <w:rsid w:val="000028D2"/>
    <w:rsid w:val="00002D0C"/>
    <w:rsid w:val="00002E32"/>
    <w:rsid w:val="00002E56"/>
    <w:rsid w:val="00003059"/>
    <w:rsid w:val="00003427"/>
    <w:rsid w:val="00003694"/>
    <w:rsid w:val="00003855"/>
    <w:rsid w:val="00003930"/>
    <w:rsid w:val="00003D74"/>
    <w:rsid w:val="00003FCB"/>
    <w:rsid w:val="00004018"/>
    <w:rsid w:val="0000405F"/>
    <w:rsid w:val="00004182"/>
    <w:rsid w:val="000043B5"/>
    <w:rsid w:val="000043F4"/>
    <w:rsid w:val="00004423"/>
    <w:rsid w:val="000044A5"/>
    <w:rsid w:val="000045D4"/>
    <w:rsid w:val="000046A8"/>
    <w:rsid w:val="000047F2"/>
    <w:rsid w:val="000048ED"/>
    <w:rsid w:val="00004937"/>
    <w:rsid w:val="0000494F"/>
    <w:rsid w:val="00004C39"/>
    <w:rsid w:val="00004CE2"/>
    <w:rsid w:val="00004D05"/>
    <w:rsid w:val="00004FBD"/>
    <w:rsid w:val="00005128"/>
    <w:rsid w:val="000051F5"/>
    <w:rsid w:val="00005515"/>
    <w:rsid w:val="000055B5"/>
    <w:rsid w:val="00005660"/>
    <w:rsid w:val="000057CF"/>
    <w:rsid w:val="00005904"/>
    <w:rsid w:val="000059D5"/>
    <w:rsid w:val="00005A61"/>
    <w:rsid w:val="00005E22"/>
    <w:rsid w:val="00005E41"/>
    <w:rsid w:val="00005EEF"/>
    <w:rsid w:val="00005F65"/>
    <w:rsid w:val="00005F93"/>
    <w:rsid w:val="000060A5"/>
    <w:rsid w:val="000062E0"/>
    <w:rsid w:val="000066DE"/>
    <w:rsid w:val="00006F26"/>
    <w:rsid w:val="00006F54"/>
    <w:rsid w:val="00006F98"/>
    <w:rsid w:val="00007059"/>
    <w:rsid w:val="00007448"/>
    <w:rsid w:val="0000751F"/>
    <w:rsid w:val="0000759E"/>
    <w:rsid w:val="000078B3"/>
    <w:rsid w:val="000079B2"/>
    <w:rsid w:val="00007F71"/>
    <w:rsid w:val="00010058"/>
    <w:rsid w:val="000102CA"/>
    <w:rsid w:val="00010366"/>
    <w:rsid w:val="000103BD"/>
    <w:rsid w:val="000103F0"/>
    <w:rsid w:val="00010478"/>
    <w:rsid w:val="000105E0"/>
    <w:rsid w:val="0001066F"/>
    <w:rsid w:val="000107E8"/>
    <w:rsid w:val="00010810"/>
    <w:rsid w:val="000109D2"/>
    <w:rsid w:val="00010A9B"/>
    <w:rsid w:val="00010AB1"/>
    <w:rsid w:val="00010ACC"/>
    <w:rsid w:val="00010BE4"/>
    <w:rsid w:val="00010C2F"/>
    <w:rsid w:val="000114FE"/>
    <w:rsid w:val="000115CA"/>
    <w:rsid w:val="000118E8"/>
    <w:rsid w:val="00011B39"/>
    <w:rsid w:val="00011BD0"/>
    <w:rsid w:val="00011EEE"/>
    <w:rsid w:val="0001207D"/>
    <w:rsid w:val="00012136"/>
    <w:rsid w:val="00012202"/>
    <w:rsid w:val="00012337"/>
    <w:rsid w:val="00012809"/>
    <w:rsid w:val="0001281E"/>
    <w:rsid w:val="0001285B"/>
    <w:rsid w:val="00012ACB"/>
    <w:rsid w:val="00012B11"/>
    <w:rsid w:val="00012B88"/>
    <w:rsid w:val="00012BCF"/>
    <w:rsid w:val="00012E10"/>
    <w:rsid w:val="00012E8C"/>
    <w:rsid w:val="00013178"/>
    <w:rsid w:val="000131C9"/>
    <w:rsid w:val="00013222"/>
    <w:rsid w:val="00013381"/>
    <w:rsid w:val="00013688"/>
    <w:rsid w:val="00013815"/>
    <w:rsid w:val="0001386B"/>
    <w:rsid w:val="00013915"/>
    <w:rsid w:val="00013961"/>
    <w:rsid w:val="00013A3A"/>
    <w:rsid w:val="00013AD0"/>
    <w:rsid w:val="00013E19"/>
    <w:rsid w:val="00013F91"/>
    <w:rsid w:val="000140E9"/>
    <w:rsid w:val="000141CB"/>
    <w:rsid w:val="000141EC"/>
    <w:rsid w:val="000142C1"/>
    <w:rsid w:val="00014386"/>
    <w:rsid w:val="00014588"/>
    <w:rsid w:val="00014824"/>
    <w:rsid w:val="00014BA9"/>
    <w:rsid w:val="00014C09"/>
    <w:rsid w:val="00014C7E"/>
    <w:rsid w:val="00014D53"/>
    <w:rsid w:val="00014F90"/>
    <w:rsid w:val="00015290"/>
    <w:rsid w:val="00015478"/>
    <w:rsid w:val="0001548D"/>
    <w:rsid w:val="000154C8"/>
    <w:rsid w:val="00015788"/>
    <w:rsid w:val="00015821"/>
    <w:rsid w:val="000158D2"/>
    <w:rsid w:val="0001596D"/>
    <w:rsid w:val="00015A54"/>
    <w:rsid w:val="00015ABF"/>
    <w:rsid w:val="00015B01"/>
    <w:rsid w:val="00015B2C"/>
    <w:rsid w:val="00015D70"/>
    <w:rsid w:val="00015E62"/>
    <w:rsid w:val="00015F37"/>
    <w:rsid w:val="00015FAB"/>
    <w:rsid w:val="00016248"/>
    <w:rsid w:val="000164CD"/>
    <w:rsid w:val="00016CC3"/>
    <w:rsid w:val="00016E10"/>
    <w:rsid w:val="00017026"/>
    <w:rsid w:val="000170DA"/>
    <w:rsid w:val="000170E1"/>
    <w:rsid w:val="000171E6"/>
    <w:rsid w:val="0001733E"/>
    <w:rsid w:val="00017416"/>
    <w:rsid w:val="0001751E"/>
    <w:rsid w:val="00017B7E"/>
    <w:rsid w:val="00017CB3"/>
    <w:rsid w:val="00017D61"/>
    <w:rsid w:val="00020042"/>
    <w:rsid w:val="00020049"/>
    <w:rsid w:val="000201C6"/>
    <w:rsid w:val="000201E2"/>
    <w:rsid w:val="00020633"/>
    <w:rsid w:val="00020681"/>
    <w:rsid w:val="00020775"/>
    <w:rsid w:val="0002095B"/>
    <w:rsid w:val="00020A35"/>
    <w:rsid w:val="00020B65"/>
    <w:rsid w:val="00020B68"/>
    <w:rsid w:val="00020CD9"/>
    <w:rsid w:val="00020D72"/>
    <w:rsid w:val="00020D8F"/>
    <w:rsid w:val="00020DC2"/>
    <w:rsid w:val="00020E05"/>
    <w:rsid w:val="00020FBD"/>
    <w:rsid w:val="0002126D"/>
    <w:rsid w:val="000213F9"/>
    <w:rsid w:val="000216F1"/>
    <w:rsid w:val="000219E7"/>
    <w:rsid w:val="00021F52"/>
    <w:rsid w:val="000228AC"/>
    <w:rsid w:val="00022BA0"/>
    <w:rsid w:val="00022F40"/>
    <w:rsid w:val="00022F8C"/>
    <w:rsid w:val="00022FC1"/>
    <w:rsid w:val="00023080"/>
    <w:rsid w:val="000230A2"/>
    <w:rsid w:val="00023139"/>
    <w:rsid w:val="000231AA"/>
    <w:rsid w:val="000231FB"/>
    <w:rsid w:val="000232D9"/>
    <w:rsid w:val="00023363"/>
    <w:rsid w:val="0002376C"/>
    <w:rsid w:val="0002395A"/>
    <w:rsid w:val="000239BE"/>
    <w:rsid w:val="000239CF"/>
    <w:rsid w:val="00023A68"/>
    <w:rsid w:val="00023B10"/>
    <w:rsid w:val="00023C5E"/>
    <w:rsid w:val="00023DDF"/>
    <w:rsid w:val="00023F0E"/>
    <w:rsid w:val="0002407D"/>
    <w:rsid w:val="0002412A"/>
    <w:rsid w:val="00024367"/>
    <w:rsid w:val="000243AF"/>
    <w:rsid w:val="000243C9"/>
    <w:rsid w:val="000248A4"/>
    <w:rsid w:val="000248D6"/>
    <w:rsid w:val="00024B04"/>
    <w:rsid w:val="00024CB9"/>
    <w:rsid w:val="0002501A"/>
    <w:rsid w:val="00025288"/>
    <w:rsid w:val="00025389"/>
    <w:rsid w:val="000257CD"/>
    <w:rsid w:val="0002598B"/>
    <w:rsid w:val="00025B1B"/>
    <w:rsid w:val="00025B73"/>
    <w:rsid w:val="00025BB9"/>
    <w:rsid w:val="00025F70"/>
    <w:rsid w:val="0002638A"/>
    <w:rsid w:val="00026398"/>
    <w:rsid w:val="000265A6"/>
    <w:rsid w:val="000267A3"/>
    <w:rsid w:val="00026886"/>
    <w:rsid w:val="000269FD"/>
    <w:rsid w:val="00026BA3"/>
    <w:rsid w:val="00026BAD"/>
    <w:rsid w:val="00026E3E"/>
    <w:rsid w:val="00026ED4"/>
    <w:rsid w:val="00027000"/>
    <w:rsid w:val="000271C8"/>
    <w:rsid w:val="0002724E"/>
    <w:rsid w:val="00027487"/>
    <w:rsid w:val="00027506"/>
    <w:rsid w:val="0002760B"/>
    <w:rsid w:val="00027820"/>
    <w:rsid w:val="0002787B"/>
    <w:rsid w:val="00027B2A"/>
    <w:rsid w:val="00027B32"/>
    <w:rsid w:val="00027D44"/>
    <w:rsid w:val="00027F0D"/>
    <w:rsid w:val="00027FD3"/>
    <w:rsid w:val="0003005D"/>
    <w:rsid w:val="000301BB"/>
    <w:rsid w:val="000301DF"/>
    <w:rsid w:val="0003021E"/>
    <w:rsid w:val="00030443"/>
    <w:rsid w:val="00030500"/>
    <w:rsid w:val="00030640"/>
    <w:rsid w:val="00030C5C"/>
    <w:rsid w:val="00030D95"/>
    <w:rsid w:val="00030D9F"/>
    <w:rsid w:val="00030EAD"/>
    <w:rsid w:val="00030EE1"/>
    <w:rsid w:val="00030FE9"/>
    <w:rsid w:val="000310A7"/>
    <w:rsid w:val="000313AA"/>
    <w:rsid w:val="00031651"/>
    <w:rsid w:val="000316F8"/>
    <w:rsid w:val="00031A23"/>
    <w:rsid w:val="00031BA7"/>
    <w:rsid w:val="00031BFF"/>
    <w:rsid w:val="000320CF"/>
    <w:rsid w:val="0003228B"/>
    <w:rsid w:val="00032343"/>
    <w:rsid w:val="0003235B"/>
    <w:rsid w:val="000323B9"/>
    <w:rsid w:val="0003265B"/>
    <w:rsid w:val="00032A43"/>
    <w:rsid w:val="00032A68"/>
    <w:rsid w:val="00032BC0"/>
    <w:rsid w:val="00032E96"/>
    <w:rsid w:val="00032F74"/>
    <w:rsid w:val="00032F85"/>
    <w:rsid w:val="000331AC"/>
    <w:rsid w:val="000333DE"/>
    <w:rsid w:val="000338A5"/>
    <w:rsid w:val="000339D0"/>
    <w:rsid w:val="00033A0A"/>
    <w:rsid w:val="00033CE1"/>
    <w:rsid w:val="00033E23"/>
    <w:rsid w:val="00033E58"/>
    <w:rsid w:val="00034176"/>
    <w:rsid w:val="00034179"/>
    <w:rsid w:val="00034404"/>
    <w:rsid w:val="00034479"/>
    <w:rsid w:val="00034533"/>
    <w:rsid w:val="0003461A"/>
    <w:rsid w:val="00034804"/>
    <w:rsid w:val="00034949"/>
    <w:rsid w:val="0003497C"/>
    <w:rsid w:val="00034A0B"/>
    <w:rsid w:val="00034ACE"/>
    <w:rsid w:val="00034AD9"/>
    <w:rsid w:val="00034C09"/>
    <w:rsid w:val="0003500D"/>
    <w:rsid w:val="00035527"/>
    <w:rsid w:val="000355AD"/>
    <w:rsid w:val="00035795"/>
    <w:rsid w:val="00035899"/>
    <w:rsid w:val="000359BA"/>
    <w:rsid w:val="00035A1B"/>
    <w:rsid w:val="00035B18"/>
    <w:rsid w:val="00035C34"/>
    <w:rsid w:val="00035C3A"/>
    <w:rsid w:val="00035C6D"/>
    <w:rsid w:val="00035E20"/>
    <w:rsid w:val="00035E22"/>
    <w:rsid w:val="00035E24"/>
    <w:rsid w:val="00035E82"/>
    <w:rsid w:val="000367A4"/>
    <w:rsid w:val="00036A0F"/>
    <w:rsid w:val="00036E77"/>
    <w:rsid w:val="00036F3B"/>
    <w:rsid w:val="00037213"/>
    <w:rsid w:val="00037325"/>
    <w:rsid w:val="00037540"/>
    <w:rsid w:val="000376C1"/>
    <w:rsid w:val="00037801"/>
    <w:rsid w:val="000378E8"/>
    <w:rsid w:val="00037A91"/>
    <w:rsid w:val="00037B2D"/>
    <w:rsid w:val="00037C14"/>
    <w:rsid w:val="00037F4D"/>
    <w:rsid w:val="00037FDE"/>
    <w:rsid w:val="00040138"/>
    <w:rsid w:val="000403F2"/>
    <w:rsid w:val="000404CE"/>
    <w:rsid w:val="00040603"/>
    <w:rsid w:val="0004060B"/>
    <w:rsid w:val="00040640"/>
    <w:rsid w:val="00040B14"/>
    <w:rsid w:val="00040BCD"/>
    <w:rsid w:val="00040C7D"/>
    <w:rsid w:val="00040D4C"/>
    <w:rsid w:val="00040DB9"/>
    <w:rsid w:val="00040EEC"/>
    <w:rsid w:val="00040F5D"/>
    <w:rsid w:val="000410BB"/>
    <w:rsid w:val="000412D3"/>
    <w:rsid w:val="00041353"/>
    <w:rsid w:val="000413FE"/>
    <w:rsid w:val="00041607"/>
    <w:rsid w:val="00041670"/>
    <w:rsid w:val="000416D3"/>
    <w:rsid w:val="000418DD"/>
    <w:rsid w:val="00041A25"/>
    <w:rsid w:val="000424C5"/>
    <w:rsid w:val="00042AEC"/>
    <w:rsid w:val="00042B29"/>
    <w:rsid w:val="00042BFB"/>
    <w:rsid w:val="00042D46"/>
    <w:rsid w:val="00042D59"/>
    <w:rsid w:val="0004311B"/>
    <w:rsid w:val="0004338B"/>
    <w:rsid w:val="00043437"/>
    <w:rsid w:val="0004353C"/>
    <w:rsid w:val="000437A4"/>
    <w:rsid w:val="00043832"/>
    <w:rsid w:val="00043A47"/>
    <w:rsid w:val="00043AD0"/>
    <w:rsid w:val="00043B92"/>
    <w:rsid w:val="00043C3E"/>
    <w:rsid w:val="00043DC6"/>
    <w:rsid w:val="0004400A"/>
    <w:rsid w:val="0004401F"/>
    <w:rsid w:val="00044032"/>
    <w:rsid w:val="000442F4"/>
    <w:rsid w:val="0004433C"/>
    <w:rsid w:val="000443DE"/>
    <w:rsid w:val="0004441D"/>
    <w:rsid w:val="000447F7"/>
    <w:rsid w:val="00044834"/>
    <w:rsid w:val="000449BA"/>
    <w:rsid w:val="00044A13"/>
    <w:rsid w:val="00044A15"/>
    <w:rsid w:val="00044BFA"/>
    <w:rsid w:val="00044E10"/>
    <w:rsid w:val="00045163"/>
    <w:rsid w:val="00045285"/>
    <w:rsid w:val="000452FE"/>
    <w:rsid w:val="00045552"/>
    <w:rsid w:val="000455B1"/>
    <w:rsid w:val="00046067"/>
    <w:rsid w:val="0004615F"/>
    <w:rsid w:val="0004618C"/>
    <w:rsid w:val="000461CF"/>
    <w:rsid w:val="00046526"/>
    <w:rsid w:val="00046580"/>
    <w:rsid w:val="0004667A"/>
    <w:rsid w:val="00046A1D"/>
    <w:rsid w:val="00046BA2"/>
    <w:rsid w:val="00046D86"/>
    <w:rsid w:val="00046D8F"/>
    <w:rsid w:val="00046DE7"/>
    <w:rsid w:val="00046F8C"/>
    <w:rsid w:val="000470D6"/>
    <w:rsid w:val="00047430"/>
    <w:rsid w:val="00047491"/>
    <w:rsid w:val="0004758F"/>
    <w:rsid w:val="0004759D"/>
    <w:rsid w:val="0004765F"/>
    <w:rsid w:val="0004769B"/>
    <w:rsid w:val="00047793"/>
    <w:rsid w:val="00047811"/>
    <w:rsid w:val="00047867"/>
    <w:rsid w:val="00047B06"/>
    <w:rsid w:val="00047B68"/>
    <w:rsid w:val="00047D79"/>
    <w:rsid w:val="00047F06"/>
    <w:rsid w:val="0005065A"/>
    <w:rsid w:val="00050776"/>
    <w:rsid w:val="00050795"/>
    <w:rsid w:val="0005081E"/>
    <w:rsid w:val="0005095C"/>
    <w:rsid w:val="0005097C"/>
    <w:rsid w:val="00050B02"/>
    <w:rsid w:val="00050B4F"/>
    <w:rsid w:val="00050B8F"/>
    <w:rsid w:val="00050E71"/>
    <w:rsid w:val="00050E9E"/>
    <w:rsid w:val="000513C8"/>
    <w:rsid w:val="0005142E"/>
    <w:rsid w:val="00051472"/>
    <w:rsid w:val="00051531"/>
    <w:rsid w:val="0005164F"/>
    <w:rsid w:val="00051BD1"/>
    <w:rsid w:val="00051C79"/>
    <w:rsid w:val="00051D93"/>
    <w:rsid w:val="00051DC9"/>
    <w:rsid w:val="00051E81"/>
    <w:rsid w:val="00051F4E"/>
    <w:rsid w:val="00051FE4"/>
    <w:rsid w:val="000520C7"/>
    <w:rsid w:val="000520F6"/>
    <w:rsid w:val="000521D9"/>
    <w:rsid w:val="000522E2"/>
    <w:rsid w:val="000522EE"/>
    <w:rsid w:val="000522FB"/>
    <w:rsid w:val="00052445"/>
    <w:rsid w:val="000525B2"/>
    <w:rsid w:val="000526C0"/>
    <w:rsid w:val="000526E0"/>
    <w:rsid w:val="000526FF"/>
    <w:rsid w:val="0005295C"/>
    <w:rsid w:val="000529CB"/>
    <w:rsid w:val="00052AED"/>
    <w:rsid w:val="00052B3B"/>
    <w:rsid w:val="00052BCD"/>
    <w:rsid w:val="00052CCB"/>
    <w:rsid w:val="00052D5D"/>
    <w:rsid w:val="00052DD9"/>
    <w:rsid w:val="00052DE6"/>
    <w:rsid w:val="0005317D"/>
    <w:rsid w:val="000531DE"/>
    <w:rsid w:val="0005333A"/>
    <w:rsid w:val="0005354A"/>
    <w:rsid w:val="000535B2"/>
    <w:rsid w:val="000537D5"/>
    <w:rsid w:val="00053806"/>
    <w:rsid w:val="00053864"/>
    <w:rsid w:val="00053895"/>
    <w:rsid w:val="0005389B"/>
    <w:rsid w:val="0005396C"/>
    <w:rsid w:val="00053BAC"/>
    <w:rsid w:val="00053C28"/>
    <w:rsid w:val="00053C6D"/>
    <w:rsid w:val="00054028"/>
    <w:rsid w:val="00054146"/>
    <w:rsid w:val="00054171"/>
    <w:rsid w:val="000542CE"/>
    <w:rsid w:val="00054453"/>
    <w:rsid w:val="00054554"/>
    <w:rsid w:val="0005460D"/>
    <w:rsid w:val="00054985"/>
    <w:rsid w:val="00054B42"/>
    <w:rsid w:val="00054BD4"/>
    <w:rsid w:val="00054C06"/>
    <w:rsid w:val="00054D2C"/>
    <w:rsid w:val="00054F20"/>
    <w:rsid w:val="00054FFF"/>
    <w:rsid w:val="00055198"/>
    <w:rsid w:val="00055723"/>
    <w:rsid w:val="000557BC"/>
    <w:rsid w:val="00055AB6"/>
    <w:rsid w:val="00055AFB"/>
    <w:rsid w:val="00055CF2"/>
    <w:rsid w:val="00055D7F"/>
    <w:rsid w:val="00055DCD"/>
    <w:rsid w:val="00055E4B"/>
    <w:rsid w:val="00056145"/>
    <w:rsid w:val="0005616C"/>
    <w:rsid w:val="000561B9"/>
    <w:rsid w:val="000561BA"/>
    <w:rsid w:val="000562C5"/>
    <w:rsid w:val="0005652D"/>
    <w:rsid w:val="0005675C"/>
    <w:rsid w:val="000567C3"/>
    <w:rsid w:val="00056A1F"/>
    <w:rsid w:val="00056A85"/>
    <w:rsid w:val="00056C5D"/>
    <w:rsid w:val="00056F9B"/>
    <w:rsid w:val="00057497"/>
    <w:rsid w:val="00057637"/>
    <w:rsid w:val="000578D9"/>
    <w:rsid w:val="000578EF"/>
    <w:rsid w:val="000579ED"/>
    <w:rsid w:val="00057A89"/>
    <w:rsid w:val="00057C42"/>
    <w:rsid w:val="00057F1A"/>
    <w:rsid w:val="00057F71"/>
    <w:rsid w:val="00057F83"/>
    <w:rsid w:val="0006038A"/>
    <w:rsid w:val="000603CF"/>
    <w:rsid w:val="000604E5"/>
    <w:rsid w:val="00060535"/>
    <w:rsid w:val="00060862"/>
    <w:rsid w:val="00060DE4"/>
    <w:rsid w:val="00060E58"/>
    <w:rsid w:val="00060E84"/>
    <w:rsid w:val="00060F3E"/>
    <w:rsid w:val="00060FB9"/>
    <w:rsid w:val="00060FD9"/>
    <w:rsid w:val="00061323"/>
    <w:rsid w:val="0006155B"/>
    <w:rsid w:val="00061DCC"/>
    <w:rsid w:val="00061FBB"/>
    <w:rsid w:val="00062018"/>
    <w:rsid w:val="00062067"/>
    <w:rsid w:val="00062185"/>
    <w:rsid w:val="00062230"/>
    <w:rsid w:val="0006225E"/>
    <w:rsid w:val="000623B7"/>
    <w:rsid w:val="000623C7"/>
    <w:rsid w:val="000623F4"/>
    <w:rsid w:val="0006242C"/>
    <w:rsid w:val="000624E1"/>
    <w:rsid w:val="00062575"/>
    <w:rsid w:val="00062578"/>
    <w:rsid w:val="0006257D"/>
    <w:rsid w:val="0006287B"/>
    <w:rsid w:val="000628C4"/>
    <w:rsid w:val="0006296A"/>
    <w:rsid w:val="000629B8"/>
    <w:rsid w:val="00062A1D"/>
    <w:rsid w:val="00062A32"/>
    <w:rsid w:val="00062A83"/>
    <w:rsid w:val="00062B9B"/>
    <w:rsid w:val="00062C3B"/>
    <w:rsid w:val="00062DA1"/>
    <w:rsid w:val="00062E0F"/>
    <w:rsid w:val="0006342C"/>
    <w:rsid w:val="0006350B"/>
    <w:rsid w:val="000639DA"/>
    <w:rsid w:val="000639F4"/>
    <w:rsid w:val="00063B69"/>
    <w:rsid w:val="00063DA9"/>
    <w:rsid w:val="00063F53"/>
    <w:rsid w:val="00064049"/>
    <w:rsid w:val="000642CC"/>
    <w:rsid w:val="000643FA"/>
    <w:rsid w:val="00064428"/>
    <w:rsid w:val="0006442F"/>
    <w:rsid w:val="000649F5"/>
    <w:rsid w:val="00064A14"/>
    <w:rsid w:val="00064B2F"/>
    <w:rsid w:val="00064BD8"/>
    <w:rsid w:val="00064D04"/>
    <w:rsid w:val="00064D77"/>
    <w:rsid w:val="00064E0B"/>
    <w:rsid w:val="00064F75"/>
    <w:rsid w:val="00065190"/>
    <w:rsid w:val="00065250"/>
    <w:rsid w:val="00065463"/>
    <w:rsid w:val="0006565F"/>
    <w:rsid w:val="000657D5"/>
    <w:rsid w:val="000657F7"/>
    <w:rsid w:val="000659FA"/>
    <w:rsid w:val="00065AF2"/>
    <w:rsid w:val="00065B3A"/>
    <w:rsid w:val="00065BD4"/>
    <w:rsid w:val="00065C62"/>
    <w:rsid w:val="00065CDE"/>
    <w:rsid w:val="00065D1D"/>
    <w:rsid w:val="00065E8A"/>
    <w:rsid w:val="00065EE0"/>
    <w:rsid w:val="00065F4A"/>
    <w:rsid w:val="00065FF3"/>
    <w:rsid w:val="0006601B"/>
    <w:rsid w:val="000660F7"/>
    <w:rsid w:val="0006610D"/>
    <w:rsid w:val="00066120"/>
    <w:rsid w:val="0006620F"/>
    <w:rsid w:val="000663CC"/>
    <w:rsid w:val="00066460"/>
    <w:rsid w:val="000664BE"/>
    <w:rsid w:val="000666F9"/>
    <w:rsid w:val="00066709"/>
    <w:rsid w:val="00066738"/>
    <w:rsid w:val="000668DA"/>
    <w:rsid w:val="000669A7"/>
    <w:rsid w:val="00066BA2"/>
    <w:rsid w:val="00066BE8"/>
    <w:rsid w:val="00066C48"/>
    <w:rsid w:val="00066C53"/>
    <w:rsid w:val="00066D99"/>
    <w:rsid w:val="00066E83"/>
    <w:rsid w:val="0006700D"/>
    <w:rsid w:val="00067045"/>
    <w:rsid w:val="0006716D"/>
    <w:rsid w:val="000671C8"/>
    <w:rsid w:val="000672D4"/>
    <w:rsid w:val="000674EF"/>
    <w:rsid w:val="000676E5"/>
    <w:rsid w:val="000677DE"/>
    <w:rsid w:val="00067807"/>
    <w:rsid w:val="0006784C"/>
    <w:rsid w:val="00067851"/>
    <w:rsid w:val="0006790F"/>
    <w:rsid w:val="00067A18"/>
    <w:rsid w:val="00067BF0"/>
    <w:rsid w:val="00067E53"/>
    <w:rsid w:val="000700C8"/>
    <w:rsid w:val="00070149"/>
    <w:rsid w:val="000701E7"/>
    <w:rsid w:val="0007055E"/>
    <w:rsid w:val="0007063B"/>
    <w:rsid w:val="000707D2"/>
    <w:rsid w:val="000708AA"/>
    <w:rsid w:val="00070AE5"/>
    <w:rsid w:val="00070B01"/>
    <w:rsid w:val="00070B04"/>
    <w:rsid w:val="00070BCF"/>
    <w:rsid w:val="00070CF4"/>
    <w:rsid w:val="00070D75"/>
    <w:rsid w:val="00070DD9"/>
    <w:rsid w:val="00070F2E"/>
    <w:rsid w:val="00071034"/>
    <w:rsid w:val="000711F7"/>
    <w:rsid w:val="00071205"/>
    <w:rsid w:val="0007131C"/>
    <w:rsid w:val="000715CE"/>
    <w:rsid w:val="000716DE"/>
    <w:rsid w:val="00071721"/>
    <w:rsid w:val="0007194C"/>
    <w:rsid w:val="00071ADE"/>
    <w:rsid w:val="00071BB8"/>
    <w:rsid w:val="00071BC6"/>
    <w:rsid w:val="00071F35"/>
    <w:rsid w:val="00072004"/>
    <w:rsid w:val="00072070"/>
    <w:rsid w:val="000720BC"/>
    <w:rsid w:val="000720E1"/>
    <w:rsid w:val="000720E2"/>
    <w:rsid w:val="000721C7"/>
    <w:rsid w:val="000721FB"/>
    <w:rsid w:val="0007236B"/>
    <w:rsid w:val="00072394"/>
    <w:rsid w:val="00072551"/>
    <w:rsid w:val="000725B6"/>
    <w:rsid w:val="000726B4"/>
    <w:rsid w:val="000726CA"/>
    <w:rsid w:val="00072AF6"/>
    <w:rsid w:val="00072B34"/>
    <w:rsid w:val="00072C53"/>
    <w:rsid w:val="00072F83"/>
    <w:rsid w:val="000730AE"/>
    <w:rsid w:val="0007319F"/>
    <w:rsid w:val="0007327A"/>
    <w:rsid w:val="00073543"/>
    <w:rsid w:val="0007358E"/>
    <w:rsid w:val="000735E2"/>
    <w:rsid w:val="00073986"/>
    <w:rsid w:val="00073D71"/>
    <w:rsid w:val="00074007"/>
    <w:rsid w:val="0007414F"/>
    <w:rsid w:val="0007417B"/>
    <w:rsid w:val="0007460C"/>
    <w:rsid w:val="00074697"/>
    <w:rsid w:val="000746D6"/>
    <w:rsid w:val="000746FA"/>
    <w:rsid w:val="00074725"/>
    <w:rsid w:val="000747C4"/>
    <w:rsid w:val="000749F6"/>
    <w:rsid w:val="00074A38"/>
    <w:rsid w:val="00074AA9"/>
    <w:rsid w:val="00074B1C"/>
    <w:rsid w:val="00074F24"/>
    <w:rsid w:val="00074F6F"/>
    <w:rsid w:val="00074FC8"/>
    <w:rsid w:val="000750AD"/>
    <w:rsid w:val="000752FD"/>
    <w:rsid w:val="00075362"/>
    <w:rsid w:val="0007539A"/>
    <w:rsid w:val="000753CA"/>
    <w:rsid w:val="00075451"/>
    <w:rsid w:val="0007549F"/>
    <w:rsid w:val="0007576C"/>
    <w:rsid w:val="00075857"/>
    <w:rsid w:val="00075DD6"/>
    <w:rsid w:val="00075F47"/>
    <w:rsid w:val="00076079"/>
    <w:rsid w:val="00076368"/>
    <w:rsid w:val="00076434"/>
    <w:rsid w:val="000764F9"/>
    <w:rsid w:val="0007657E"/>
    <w:rsid w:val="00076585"/>
    <w:rsid w:val="000765D0"/>
    <w:rsid w:val="00076663"/>
    <w:rsid w:val="00076932"/>
    <w:rsid w:val="00076B60"/>
    <w:rsid w:val="00076CDE"/>
    <w:rsid w:val="00076DE2"/>
    <w:rsid w:val="00076EC2"/>
    <w:rsid w:val="00076F8C"/>
    <w:rsid w:val="00077076"/>
    <w:rsid w:val="000772D9"/>
    <w:rsid w:val="0007745A"/>
    <w:rsid w:val="00077648"/>
    <w:rsid w:val="00077AF6"/>
    <w:rsid w:val="00077F1E"/>
    <w:rsid w:val="00080280"/>
    <w:rsid w:val="0008051C"/>
    <w:rsid w:val="000805A5"/>
    <w:rsid w:val="0008064E"/>
    <w:rsid w:val="000807FA"/>
    <w:rsid w:val="00080813"/>
    <w:rsid w:val="0008099A"/>
    <w:rsid w:val="00080A71"/>
    <w:rsid w:val="00080C25"/>
    <w:rsid w:val="00080D1F"/>
    <w:rsid w:val="00080E33"/>
    <w:rsid w:val="00080E6B"/>
    <w:rsid w:val="00080FF3"/>
    <w:rsid w:val="0008107D"/>
    <w:rsid w:val="0008125B"/>
    <w:rsid w:val="0008168D"/>
    <w:rsid w:val="000816DF"/>
    <w:rsid w:val="00081754"/>
    <w:rsid w:val="000817E0"/>
    <w:rsid w:val="00081E22"/>
    <w:rsid w:val="0008219E"/>
    <w:rsid w:val="00082251"/>
    <w:rsid w:val="0008229B"/>
    <w:rsid w:val="00082422"/>
    <w:rsid w:val="00082448"/>
    <w:rsid w:val="0008245C"/>
    <w:rsid w:val="0008251C"/>
    <w:rsid w:val="0008251D"/>
    <w:rsid w:val="000825EF"/>
    <w:rsid w:val="00082668"/>
    <w:rsid w:val="00082868"/>
    <w:rsid w:val="000828B6"/>
    <w:rsid w:val="000829F7"/>
    <w:rsid w:val="00082A13"/>
    <w:rsid w:val="00082C37"/>
    <w:rsid w:val="00082C62"/>
    <w:rsid w:val="00082D24"/>
    <w:rsid w:val="00082D63"/>
    <w:rsid w:val="00082DB2"/>
    <w:rsid w:val="00082DB6"/>
    <w:rsid w:val="00082DEF"/>
    <w:rsid w:val="00082F18"/>
    <w:rsid w:val="000832F0"/>
    <w:rsid w:val="000834E1"/>
    <w:rsid w:val="0008362B"/>
    <w:rsid w:val="00083836"/>
    <w:rsid w:val="000838F6"/>
    <w:rsid w:val="000839E7"/>
    <w:rsid w:val="00083D09"/>
    <w:rsid w:val="00083E94"/>
    <w:rsid w:val="00083F36"/>
    <w:rsid w:val="00084500"/>
    <w:rsid w:val="00084691"/>
    <w:rsid w:val="000847FC"/>
    <w:rsid w:val="000847FE"/>
    <w:rsid w:val="00084949"/>
    <w:rsid w:val="00084AAB"/>
    <w:rsid w:val="00084B18"/>
    <w:rsid w:val="00084C1D"/>
    <w:rsid w:val="00084EBD"/>
    <w:rsid w:val="00084F9D"/>
    <w:rsid w:val="00085310"/>
    <w:rsid w:val="00085395"/>
    <w:rsid w:val="000856F2"/>
    <w:rsid w:val="000859DF"/>
    <w:rsid w:val="00085D1A"/>
    <w:rsid w:val="00085EF4"/>
    <w:rsid w:val="00086003"/>
    <w:rsid w:val="00086017"/>
    <w:rsid w:val="000860CE"/>
    <w:rsid w:val="00086133"/>
    <w:rsid w:val="0008620F"/>
    <w:rsid w:val="00086233"/>
    <w:rsid w:val="000866D6"/>
    <w:rsid w:val="00086759"/>
    <w:rsid w:val="00086967"/>
    <w:rsid w:val="00086A9A"/>
    <w:rsid w:val="00086BBD"/>
    <w:rsid w:val="00086CE1"/>
    <w:rsid w:val="00087174"/>
    <w:rsid w:val="00087203"/>
    <w:rsid w:val="00087560"/>
    <w:rsid w:val="000876EB"/>
    <w:rsid w:val="000877EB"/>
    <w:rsid w:val="00087817"/>
    <w:rsid w:val="00087955"/>
    <w:rsid w:val="00087A83"/>
    <w:rsid w:val="00087C64"/>
    <w:rsid w:val="00087C77"/>
    <w:rsid w:val="00087D97"/>
    <w:rsid w:val="00087DA7"/>
    <w:rsid w:val="00087E68"/>
    <w:rsid w:val="00087EC0"/>
    <w:rsid w:val="00087EC3"/>
    <w:rsid w:val="00087EED"/>
    <w:rsid w:val="0009007E"/>
    <w:rsid w:val="000901A5"/>
    <w:rsid w:val="00090255"/>
    <w:rsid w:val="000902BA"/>
    <w:rsid w:val="00090311"/>
    <w:rsid w:val="000903A4"/>
    <w:rsid w:val="000903C8"/>
    <w:rsid w:val="00090998"/>
    <w:rsid w:val="00090A41"/>
    <w:rsid w:val="00090DDE"/>
    <w:rsid w:val="00091068"/>
    <w:rsid w:val="00091084"/>
    <w:rsid w:val="00091474"/>
    <w:rsid w:val="000914ED"/>
    <w:rsid w:val="0009152B"/>
    <w:rsid w:val="00091620"/>
    <w:rsid w:val="00091727"/>
    <w:rsid w:val="00091770"/>
    <w:rsid w:val="000917AB"/>
    <w:rsid w:val="00091851"/>
    <w:rsid w:val="000918E9"/>
    <w:rsid w:val="00091A28"/>
    <w:rsid w:val="00091A32"/>
    <w:rsid w:val="00091AAA"/>
    <w:rsid w:val="00091B00"/>
    <w:rsid w:val="00091BB2"/>
    <w:rsid w:val="00091C37"/>
    <w:rsid w:val="00091D62"/>
    <w:rsid w:val="000921EE"/>
    <w:rsid w:val="0009222C"/>
    <w:rsid w:val="0009228A"/>
    <w:rsid w:val="000923A9"/>
    <w:rsid w:val="0009243F"/>
    <w:rsid w:val="000925D2"/>
    <w:rsid w:val="00092727"/>
    <w:rsid w:val="00092945"/>
    <w:rsid w:val="00092A10"/>
    <w:rsid w:val="00092DD7"/>
    <w:rsid w:val="00093035"/>
    <w:rsid w:val="0009315C"/>
    <w:rsid w:val="000931F4"/>
    <w:rsid w:val="00093279"/>
    <w:rsid w:val="0009332E"/>
    <w:rsid w:val="00093418"/>
    <w:rsid w:val="0009373E"/>
    <w:rsid w:val="00093866"/>
    <w:rsid w:val="000938D4"/>
    <w:rsid w:val="000938E2"/>
    <w:rsid w:val="00093E41"/>
    <w:rsid w:val="00094005"/>
    <w:rsid w:val="00094440"/>
    <w:rsid w:val="000946A0"/>
    <w:rsid w:val="00094805"/>
    <w:rsid w:val="000948BB"/>
    <w:rsid w:val="00094A79"/>
    <w:rsid w:val="00094B3F"/>
    <w:rsid w:val="00094BF0"/>
    <w:rsid w:val="00094CDE"/>
    <w:rsid w:val="00094EFB"/>
    <w:rsid w:val="00095060"/>
    <w:rsid w:val="00095075"/>
    <w:rsid w:val="00095142"/>
    <w:rsid w:val="0009523F"/>
    <w:rsid w:val="000953B8"/>
    <w:rsid w:val="000953D2"/>
    <w:rsid w:val="00095459"/>
    <w:rsid w:val="0009585C"/>
    <w:rsid w:val="00095970"/>
    <w:rsid w:val="00095B2C"/>
    <w:rsid w:val="00095D28"/>
    <w:rsid w:val="00096127"/>
    <w:rsid w:val="00096152"/>
    <w:rsid w:val="00096225"/>
    <w:rsid w:val="0009636E"/>
    <w:rsid w:val="0009661B"/>
    <w:rsid w:val="00096652"/>
    <w:rsid w:val="0009688E"/>
    <w:rsid w:val="0009695F"/>
    <w:rsid w:val="00096A8A"/>
    <w:rsid w:val="00096BCD"/>
    <w:rsid w:val="00096D2A"/>
    <w:rsid w:val="000970AC"/>
    <w:rsid w:val="00097240"/>
    <w:rsid w:val="0009751D"/>
    <w:rsid w:val="00097592"/>
    <w:rsid w:val="00097619"/>
    <w:rsid w:val="00097736"/>
    <w:rsid w:val="00097737"/>
    <w:rsid w:val="0009776D"/>
    <w:rsid w:val="00097A0E"/>
    <w:rsid w:val="00097FD1"/>
    <w:rsid w:val="000A023E"/>
    <w:rsid w:val="000A027E"/>
    <w:rsid w:val="000A0289"/>
    <w:rsid w:val="000A0885"/>
    <w:rsid w:val="000A08A4"/>
    <w:rsid w:val="000A09CE"/>
    <w:rsid w:val="000A0A8F"/>
    <w:rsid w:val="000A0CAD"/>
    <w:rsid w:val="000A1316"/>
    <w:rsid w:val="000A139A"/>
    <w:rsid w:val="000A14B3"/>
    <w:rsid w:val="000A1560"/>
    <w:rsid w:val="000A178E"/>
    <w:rsid w:val="000A18AF"/>
    <w:rsid w:val="000A1A88"/>
    <w:rsid w:val="000A1C0E"/>
    <w:rsid w:val="000A1F7B"/>
    <w:rsid w:val="000A2053"/>
    <w:rsid w:val="000A221D"/>
    <w:rsid w:val="000A242E"/>
    <w:rsid w:val="000A2449"/>
    <w:rsid w:val="000A267B"/>
    <w:rsid w:val="000A2694"/>
    <w:rsid w:val="000A28A2"/>
    <w:rsid w:val="000A2BFF"/>
    <w:rsid w:val="000A2EF1"/>
    <w:rsid w:val="000A322D"/>
    <w:rsid w:val="000A3389"/>
    <w:rsid w:val="000A33BC"/>
    <w:rsid w:val="000A3566"/>
    <w:rsid w:val="000A380C"/>
    <w:rsid w:val="000A393C"/>
    <w:rsid w:val="000A3B1B"/>
    <w:rsid w:val="000A3B21"/>
    <w:rsid w:val="000A3BB9"/>
    <w:rsid w:val="000A3D99"/>
    <w:rsid w:val="000A3DB0"/>
    <w:rsid w:val="000A3F4C"/>
    <w:rsid w:val="000A4027"/>
    <w:rsid w:val="000A41F6"/>
    <w:rsid w:val="000A42C9"/>
    <w:rsid w:val="000A47A5"/>
    <w:rsid w:val="000A4861"/>
    <w:rsid w:val="000A4883"/>
    <w:rsid w:val="000A4B09"/>
    <w:rsid w:val="000A4B19"/>
    <w:rsid w:val="000A4C8A"/>
    <w:rsid w:val="000A507D"/>
    <w:rsid w:val="000A51B1"/>
    <w:rsid w:val="000A5427"/>
    <w:rsid w:val="000A55C1"/>
    <w:rsid w:val="000A55D4"/>
    <w:rsid w:val="000A56C7"/>
    <w:rsid w:val="000A57D0"/>
    <w:rsid w:val="000A592C"/>
    <w:rsid w:val="000A5B1B"/>
    <w:rsid w:val="000A5BC3"/>
    <w:rsid w:val="000A5C69"/>
    <w:rsid w:val="000A5D00"/>
    <w:rsid w:val="000A5D44"/>
    <w:rsid w:val="000A5F2E"/>
    <w:rsid w:val="000A5FB9"/>
    <w:rsid w:val="000A6065"/>
    <w:rsid w:val="000A60F3"/>
    <w:rsid w:val="000A61A3"/>
    <w:rsid w:val="000A61CE"/>
    <w:rsid w:val="000A6270"/>
    <w:rsid w:val="000A6526"/>
    <w:rsid w:val="000A660E"/>
    <w:rsid w:val="000A671D"/>
    <w:rsid w:val="000A67D6"/>
    <w:rsid w:val="000A6802"/>
    <w:rsid w:val="000A689E"/>
    <w:rsid w:val="000A69EC"/>
    <w:rsid w:val="000A6D26"/>
    <w:rsid w:val="000A6DBF"/>
    <w:rsid w:val="000A6DF8"/>
    <w:rsid w:val="000A6F15"/>
    <w:rsid w:val="000A6F69"/>
    <w:rsid w:val="000A6FBD"/>
    <w:rsid w:val="000A701F"/>
    <w:rsid w:val="000A7274"/>
    <w:rsid w:val="000A7333"/>
    <w:rsid w:val="000A73CF"/>
    <w:rsid w:val="000A74E8"/>
    <w:rsid w:val="000A7522"/>
    <w:rsid w:val="000A7535"/>
    <w:rsid w:val="000A77DE"/>
    <w:rsid w:val="000A78D1"/>
    <w:rsid w:val="000A7B47"/>
    <w:rsid w:val="000A7C7D"/>
    <w:rsid w:val="000A7CB1"/>
    <w:rsid w:val="000A7DB5"/>
    <w:rsid w:val="000A7E5D"/>
    <w:rsid w:val="000A7EA5"/>
    <w:rsid w:val="000A7EDC"/>
    <w:rsid w:val="000B00B3"/>
    <w:rsid w:val="000B0186"/>
    <w:rsid w:val="000B01C4"/>
    <w:rsid w:val="000B0598"/>
    <w:rsid w:val="000B062B"/>
    <w:rsid w:val="000B0848"/>
    <w:rsid w:val="000B0894"/>
    <w:rsid w:val="000B0D00"/>
    <w:rsid w:val="000B0DF6"/>
    <w:rsid w:val="000B111E"/>
    <w:rsid w:val="000B1447"/>
    <w:rsid w:val="000B1757"/>
    <w:rsid w:val="000B1782"/>
    <w:rsid w:val="000B17AC"/>
    <w:rsid w:val="000B18CA"/>
    <w:rsid w:val="000B1C6A"/>
    <w:rsid w:val="000B2085"/>
    <w:rsid w:val="000B216E"/>
    <w:rsid w:val="000B2258"/>
    <w:rsid w:val="000B225D"/>
    <w:rsid w:val="000B24D3"/>
    <w:rsid w:val="000B2697"/>
    <w:rsid w:val="000B26E6"/>
    <w:rsid w:val="000B273A"/>
    <w:rsid w:val="000B276B"/>
    <w:rsid w:val="000B289D"/>
    <w:rsid w:val="000B28EA"/>
    <w:rsid w:val="000B290F"/>
    <w:rsid w:val="000B2A8A"/>
    <w:rsid w:val="000B2AA2"/>
    <w:rsid w:val="000B2B06"/>
    <w:rsid w:val="000B2B4E"/>
    <w:rsid w:val="000B2BE3"/>
    <w:rsid w:val="000B2CAB"/>
    <w:rsid w:val="000B2D5D"/>
    <w:rsid w:val="000B333E"/>
    <w:rsid w:val="000B339D"/>
    <w:rsid w:val="000B3507"/>
    <w:rsid w:val="000B355D"/>
    <w:rsid w:val="000B35EA"/>
    <w:rsid w:val="000B375D"/>
    <w:rsid w:val="000B37AE"/>
    <w:rsid w:val="000B3972"/>
    <w:rsid w:val="000B3B8D"/>
    <w:rsid w:val="000B3B94"/>
    <w:rsid w:val="000B3BE6"/>
    <w:rsid w:val="000B3ED0"/>
    <w:rsid w:val="000B3F05"/>
    <w:rsid w:val="000B4045"/>
    <w:rsid w:val="000B4659"/>
    <w:rsid w:val="000B472A"/>
    <w:rsid w:val="000B4A01"/>
    <w:rsid w:val="000B4BEE"/>
    <w:rsid w:val="000B4C21"/>
    <w:rsid w:val="000B4D25"/>
    <w:rsid w:val="000B4D2F"/>
    <w:rsid w:val="000B4EE5"/>
    <w:rsid w:val="000B500C"/>
    <w:rsid w:val="000B50F4"/>
    <w:rsid w:val="000B5168"/>
    <w:rsid w:val="000B51D8"/>
    <w:rsid w:val="000B5206"/>
    <w:rsid w:val="000B522A"/>
    <w:rsid w:val="000B538A"/>
    <w:rsid w:val="000B53A4"/>
    <w:rsid w:val="000B5531"/>
    <w:rsid w:val="000B5606"/>
    <w:rsid w:val="000B568A"/>
    <w:rsid w:val="000B56CD"/>
    <w:rsid w:val="000B57B2"/>
    <w:rsid w:val="000B57F3"/>
    <w:rsid w:val="000B5847"/>
    <w:rsid w:val="000B59FB"/>
    <w:rsid w:val="000B5A71"/>
    <w:rsid w:val="000B5B39"/>
    <w:rsid w:val="000B5C25"/>
    <w:rsid w:val="000B6053"/>
    <w:rsid w:val="000B6097"/>
    <w:rsid w:val="000B60B3"/>
    <w:rsid w:val="000B60F1"/>
    <w:rsid w:val="000B614E"/>
    <w:rsid w:val="000B6259"/>
    <w:rsid w:val="000B6727"/>
    <w:rsid w:val="000B6B69"/>
    <w:rsid w:val="000B6F60"/>
    <w:rsid w:val="000B7541"/>
    <w:rsid w:val="000B76E8"/>
    <w:rsid w:val="000B7706"/>
    <w:rsid w:val="000B795E"/>
    <w:rsid w:val="000B7A61"/>
    <w:rsid w:val="000B7AED"/>
    <w:rsid w:val="000B7B7B"/>
    <w:rsid w:val="000B7C84"/>
    <w:rsid w:val="000C00A0"/>
    <w:rsid w:val="000C0104"/>
    <w:rsid w:val="000C0142"/>
    <w:rsid w:val="000C0171"/>
    <w:rsid w:val="000C02DB"/>
    <w:rsid w:val="000C0307"/>
    <w:rsid w:val="000C0367"/>
    <w:rsid w:val="000C04AD"/>
    <w:rsid w:val="000C058D"/>
    <w:rsid w:val="000C059E"/>
    <w:rsid w:val="000C059F"/>
    <w:rsid w:val="000C0833"/>
    <w:rsid w:val="000C0839"/>
    <w:rsid w:val="000C08AF"/>
    <w:rsid w:val="000C0953"/>
    <w:rsid w:val="000C0996"/>
    <w:rsid w:val="000C0BA1"/>
    <w:rsid w:val="000C0C15"/>
    <w:rsid w:val="000C0D23"/>
    <w:rsid w:val="000C0D7C"/>
    <w:rsid w:val="000C11CC"/>
    <w:rsid w:val="000C129C"/>
    <w:rsid w:val="000C12C4"/>
    <w:rsid w:val="000C1445"/>
    <w:rsid w:val="000C1469"/>
    <w:rsid w:val="000C14BF"/>
    <w:rsid w:val="000C1630"/>
    <w:rsid w:val="000C17BA"/>
    <w:rsid w:val="000C1A0D"/>
    <w:rsid w:val="000C1D33"/>
    <w:rsid w:val="000C1E01"/>
    <w:rsid w:val="000C20CE"/>
    <w:rsid w:val="000C22A8"/>
    <w:rsid w:val="000C279B"/>
    <w:rsid w:val="000C2EEF"/>
    <w:rsid w:val="000C3102"/>
    <w:rsid w:val="000C3326"/>
    <w:rsid w:val="000C358B"/>
    <w:rsid w:val="000C372E"/>
    <w:rsid w:val="000C37D7"/>
    <w:rsid w:val="000C38C8"/>
    <w:rsid w:val="000C3C25"/>
    <w:rsid w:val="000C3C78"/>
    <w:rsid w:val="000C3CEE"/>
    <w:rsid w:val="000C3D64"/>
    <w:rsid w:val="000C3D9A"/>
    <w:rsid w:val="000C3DCE"/>
    <w:rsid w:val="000C3E3C"/>
    <w:rsid w:val="000C3ED9"/>
    <w:rsid w:val="000C3FCC"/>
    <w:rsid w:val="000C4250"/>
    <w:rsid w:val="000C4332"/>
    <w:rsid w:val="000C4463"/>
    <w:rsid w:val="000C455C"/>
    <w:rsid w:val="000C4564"/>
    <w:rsid w:val="000C45BD"/>
    <w:rsid w:val="000C46F7"/>
    <w:rsid w:val="000C48AF"/>
    <w:rsid w:val="000C4A07"/>
    <w:rsid w:val="000C4A3B"/>
    <w:rsid w:val="000C4B62"/>
    <w:rsid w:val="000C4DB2"/>
    <w:rsid w:val="000C4EC1"/>
    <w:rsid w:val="000C50F9"/>
    <w:rsid w:val="000C52B3"/>
    <w:rsid w:val="000C545D"/>
    <w:rsid w:val="000C5484"/>
    <w:rsid w:val="000C5589"/>
    <w:rsid w:val="000C56AE"/>
    <w:rsid w:val="000C576D"/>
    <w:rsid w:val="000C579B"/>
    <w:rsid w:val="000C5911"/>
    <w:rsid w:val="000C595C"/>
    <w:rsid w:val="000C5A24"/>
    <w:rsid w:val="000C5BA1"/>
    <w:rsid w:val="000C5D44"/>
    <w:rsid w:val="000C5D64"/>
    <w:rsid w:val="000C5EE4"/>
    <w:rsid w:val="000C602D"/>
    <w:rsid w:val="000C610B"/>
    <w:rsid w:val="000C63EF"/>
    <w:rsid w:val="000C6583"/>
    <w:rsid w:val="000C6604"/>
    <w:rsid w:val="000C668E"/>
    <w:rsid w:val="000C682A"/>
    <w:rsid w:val="000C69B8"/>
    <w:rsid w:val="000C6A40"/>
    <w:rsid w:val="000C6B5B"/>
    <w:rsid w:val="000C6CD2"/>
    <w:rsid w:val="000C6D12"/>
    <w:rsid w:val="000C6D8B"/>
    <w:rsid w:val="000C6E56"/>
    <w:rsid w:val="000C70B9"/>
    <w:rsid w:val="000C71CD"/>
    <w:rsid w:val="000C7367"/>
    <w:rsid w:val="000C7458"/>
    <w:rsid w:val="000C7514"/>
    <w:rsid w:val="000C759F"/>
    <w:rsid w:val="000C783C"/>
    <w:rsid w:val="000C7883"/>
    <w:rsid w:val="000C793A"/>
    <w:rsid w:val="000C793F"/>
    <w:rsid w:val="000C79EC"/>
    <w:rsid w:val="000C7A79"/>
    <w:rsid w:val="000C7B1E"/>
    <w:rsid w:val="000C7C13"/>
    <w:rsid w:val="000C7CBE"/>
    <w:rsid w:val="000C7F6B"/>
    <w:rsid w:val="000D000C"/>
    <w:rsid w:val="000D0017"/>
    <w:rsid w:val="000D0023"/>
    <w:rsid w:val="000D00B7"/>
    <w:rsid w:val="000D0225"/>
    <w:rsid w:val="000D0246"/>
    <w:rsid w:val="000D0263"/>
    <w:rsid w:val="000D04C2"/>
    <w:rsid w:val="000D051F"/>
    <w:rsid w:val="000D05F5"/>
    <w:rsid w:val="000D0A81"/>
    <w:rsid w:val="000D0AF4"/>
    <w:rsid w:val="000D0C5F"/>
    <w:rsid w:val="000D0D3E"/>
    <w:rsid w:val="000D0EBB"/>
    <w:rsid w:val="000D1223"/>
    <w:rsid w:val="000D14AD"/>
    <w:rsid w:val="000D1513"/>
    <w:rsid w:val="000D163B"/>
    <w:rsid w:val="000D169F"/>
    <w:rsid w:val="000D16A0"/>
    <w:rsid w:val="000D18E4"/>
    <w:rsid w:val="000D18E5"/>
    <w:rsid w:val="000D1914"/>
    <w:rsid w:val="000D1AB4"/>
    <w:rsid w:val="000D1B40"/>
    <w:rsid w:val="000D1DC4"/>
    <w:rsid w:val="000D1F11"/>
    <w:rsid w:val="000D1F54"/>
    <w:rsid w:val="000D21B2"/>
    <w:rsid w:val="000D2275"/>
    <w:rsid w:val="000D246A"/>
    <w:rsid w:val="000D2606"/>
    <w:rsid w:val="000D26D4"/>
    <w:rsid w:val="000D2851"/>
    <w:rsid w:val="000D294D"/>
    <w:rsid w:val="000D299D"/>
    <w:rsid w:val="000D2A75"/>
    <w:rsid w:val="000D2B62"/>
    <w:rsid w:val="000D2D6E"/>
    <w:rsid w:val="000D2E58"/>
    <w:rsid w:val="000D3058"/>
    <w:rsid w:val="000D319E"/>
    <w:rsid w:val="000D3210"/>
    <w:rsid w:val="000D33A3"/>
    <w:rsid w:val="000D3599"/>
    <w:rsid w:val="000D3609"/>
    <w:rsid w:val="000D3854"/>
    <w:rsid w:val="000D3875"/>
    <w:rsid w:val="000D39EF"/>
    <w:rsid w:val="000D3AB6"/>
    <w:rsid w:val="000D3E33"/>
    <w:rsid w:val="000D3F86"/>
    <w:rsid w:val="000D3FB0"/>
    <w:rsid w:val="000D4035"/>
    <w:rsid w:val="000D411D"/>
    <w:rsid w:val="000D4189"/>
    <w:rsid w:val="000D426E"/>
    <w:rsid w:val="000D4343"/>
    <w:rsid w:val="000D4358"/>
    <w:rsid w:val="000D448B"/>
    <w:rsid w:val="000D46AC"/>
    <w:rsid w:val="000D4793"/>
    <w:rsid w:val="000D4A3F"/>
    <w:rsid w:val="000D4A90"/>
    <w:rsid w:val="000D4CAA"/>
    <w:rsid w:val="000D50AC"/>
    <w:rsid w:val="000D5114"/>
    <w:rsid w:val="000D516A"/>
    <w:rsid w:val="000D51C0"/>
    <w:rsid w:val="000D51CB"/>
    <w:rsid w:val="000D5375"/>
    <w:rsid w:val="000D53D9"/>
    <w:rsid w:val="000D5405"/>
    <w:rsid w:val="000D595C"/>
    <w:rsid w:val="000D59FE"/>
    <w:rsid w:val="000D5B53"/>
    <w:rsid w:val="000D5C02"/>
    <w:rsid w:val="000D5CF5"/>
    <w:rsid w:val="000D5D2C"/>
    <w:rsid w:val="000D6249"/>
    <w:rsid w:val="000D6289"/>
    <w:rsid w:val="000D6306"/>
    <w:rsid w:val="000D6307"/>
    <w:rsid w:val="000D657E"/>
    <w:rsid w:val="000D686A"/>
    <w:rsid w:val="000D6938"/>
    <w:rsid w:val="000D6A05"/>
    <w:rsid w:val="000D6D1C"/>
    <w:rsid w:val="000D6F7C"/>
    <w:rsid w:val="000D7257"/>
    <w:rsid w:val="000D7366"/>
    <w:rsid w:val="000D75AE"/>
    <w:rsid w:val="000D7704"/>
    <w:rsid w:val="000D78C3"/>
    <w:rsid w:val="000D7949"/>
    <w:rsid w:val="000D794F"/>
    <w:rsid w:val="000D79DF"/>
    <w:rsid w:val="000D7A89"/>
    <w:rsid w:val="000D7A9C"/>
    <w:rsid w:val="000D7DC3"/>
    <w:rsid w:val="000E0135"/>
    <w:rsid w:val="000E0169"/>
    <w:rsid w:val="000E01E8"/>
    <w:rsid w:val="000E0251"/>
    <w:rsid w:val="000E0334"/>
    <w:rsid w:val="000E039E"/>
    <w:rsid w:val="000E07CD"/>
    <w:rsid w:val="000E0953"/>
    <w:rsid w:val="000E0974"/>
    <w:rsid w:val="000E0A46"/>
    <w:rsid w:val="000E0C04"/>
    <w:rsid w:val="000E0C74"/>
    <w:rsid w:val="000E0CF4"/>
    <w:rsid w:val="000E0E50"/>
    <w:rsid w:val="000E0E6C"/>
    <w:rsid w:val="000E109D"/>
    <w:rsid w:val="000E1139"/>
    <w:rsid w:val="000E1480"/>
    <w:rsid w:val="000E14B6"/>
    <w:rsid w:val="000E160B"/>
    <w:rsid w:val="000E1750"/>
    <w:rsid w:val="000E17D2"/>
    <w:rsid w:val="000E18F1"/>
    <w:rsid w:val="000E1A99"/>
    <w:rsid w:val="000E1AEF"/>
    <w:rsid w:val="000E1C72"/>
    <w:rsid w:val="000E20B2"/>
    <w:rsid w:val="000E23A7"/>
    <w:rsid w:val="000E2449"/>
    <w:rsid w:val="000E2500"/>
    <w:rsid w:val="000E286D"/>
    <w:rsid w:val="000E29B1"/>
    <w:rsid w:val="000E2AC9"/>
    <w:rsid w:val="000E2B10"/>
    <w:rsid w:val="000E2DDF"/>
    <w:rsid w:val="000E2E56"/>
    <w:rsid w:val="000E2F8B"/>
    <w:rsid w:val="000E33AD"/>
    <w:rsid w:val="000E3600"/>
    <w:rsid w:val="000E360B"/>
    <w:rsid w:val="000E360F"/>
    <w:rsid w:val="000E363B"/>
    <w:rsid w:val="000E36B2"/>
    <w:rsid w:val="000E3861"/>
    <w:rsid w:val="000E391B"/>
    <w:rsid w:val="000E391F"/>
    <w:rsid w:val="000E3CB9"/>
    <w:rsid w:val="000E3EF9"/>
    <w:rsid w:val="000E3F26"/>
    <w:rsid w:val="000E3F42"/>
    <w:rsid w:val="000E3F4E"/>
    <w:rsid w:val="000E4028"/>
    <w:rsid w:val="000E405B"/>
    <w:rsid w:val="000E4269"/>
    <w:rsid w:val="000E42DD"/>
    <w:rsid w:val="000E4BD8"/>
    <w:rsid w:val="000E4CB6"/>
    <w:rsid w:val="000E503B"/>
    <w:rsid w:val="000E5070"/>
    <w:rsid w:val="000E5098"/>
    <w:rsid w:val="000E5121"/>
    <w:rsid w:val="000E52D5"/>
    <w:rsid w:val="000E561C"/>
    <w:rsid w:val="000E58CE"/>
    <w:rsid w:val="000E5C3B"/>
    <w:rsid w:val="000E5E50"/>
    <w:rsid w:val="000E5F81"/>
    <w:rsid w:val="000E5F9A"/>
    <w:rsid w:val="000E61ED"/>
    <w:rsid w:val="000E6269"/>
    <w:rsid w:val="000E6374"/>
    <w:rsid w:val="000E65C0"/>
    <w:rsid w:val="000E667D"/>
    <w:rsid w:val="000E6709"/>
    <w:rsid w:val="000E683C"/>
    <w:rsid w:val="000E68A9"/>
    <w:rsid w:val="000E69BC"/>
    <w:rsid w:val="000E6A7E"/>
    <w:rsid w:val="000E6D13"/>
    <w:rsid w:val="000E6E73"/>
    <w:rsid w:val="000E7019"/>
    <w:rsid w:val="000E7403"/>
    <w:rsid w:val="000E752A"/>
    <w:rsid w:val="000E756C"/>
    <w:rsid w:val="000E75C3"/>
    <w:rsid w:val="000E7605"/>
    <w:rsid w:val="000E76AD"/>
    <w:rsid w:val="000E7700"/>
    <w:rsid w:val="000E7B5B"/>
    <w:rsid w:val="000F0017"/>
    <w:rsid w:val="000F024C"/>
    <w:rsid w:val="000F0420"/>
    <w:rsid w:val="000F0471"/>
    <w:rsid w:val="000F05F8"/>
    <w:rsid w:val="000F06CD"/>
    <w:rsid w:val="000F0837"/>
    <w:rsid w:val="000F08AD"/>
    <w:rsid w:val="000F09C9"/>
    <w:rsid w:val="000F0C41"/>
    <w:rsid w:val="000F0C90"/>
    <w:rsid w:val="000F0CA7"/>
    <w:rsid w:val="000F0CFB"/>
    <w:rsid w:val="000F0D4A"/>
    <w:rsid w:val="000F0FDB"/>
    <w:rsid w:val="000F0FF6"/>
    <w:rsid w:val="000F1064"/>
    <w:rsid w:val="000F122A"/>
    <w:rsid w:val="000F1798"/>
    <w:rsid w:val="000F1AE7"/>
    <w:rsid w:val="000F1C01"/>
    <w:rsid w:val="000F1C21"/>
    <w:rsid w:val="000F1C5B"/>
    <w:rsid w:val="000F1D51"/>
    <w:rsid w:val="000F1DC3"/>
    <w:rsid w:val="000F243A"/>
    <w:rsid w:val="000F24E2"/>
    <w:rsid w:val="000F2534"/>
    <w:rsid w:val="000F27A2"/>
    <w:rsid w:val="000F2B13"/>
    <w:rsid w:val="000F2D5D"/>
    <w:rsid w:val="000F2DEA"/>
    <w:rsid w:val="000F313A"/>
    <w:rsid w:val="000F31D5"/>
    <w:rsid w:val="000F31E5"/>
    <w:rsid w:val="000F3315"/>
    <w:rsid w:val="000F34B9"/>
    <w:rsid w:val="000F3652"/>
    <w:rsid w:val="000F3670"/>
    <w:rsid w:val="000F36EA"/>
    <w:rsid w:val="000F3938"/>
    <w:rsid w:val="000F3A3B"/>
    <w:rsid w:val="000F3AE6"/>
    <w:rsid w:val="000F3B10"/>
    <w:rsid w:val="000F3F2A"/>
    <w:rsid w:val="000F3F88"/>
    <w:rsid w:val="000F403D"/>
    <w:rsid w:val="000F40E5"/>
    <w:rsid w:val="000F4190"/>
    <w:rsid w:val="000F4210"/>
    <w:rsid w:val="000F43D9"/>
    <w:rsid w:val="000F4534"/>
    <w:rsid w:val="000F459D"/>
    <w:rsid w:val="000F45DD"/>
    <w:rsid w:val="000F46F4"/>
    <w:rsid w:val="000F4A0E"/>
    <w:rsid w:val="000F4A36"/>
    <w:rsid w:val="000F4B0E"/>
    <w:rsid w:val="000F4BA5"/>
    <w:rsid w:val="000F4C0F"/>
    <w:rsid w:val="000F4C5E"/>
    <w:rsid w:val="000F4CC4"/>
    <w:rsid w:val="000F4D0D"/>
    <w:rsid w:val="000F5200"/>
    <w:rsid w:val="000F54A5"/>
    <w:rsid w:val="000F557F"/>
    <w:rsid w:val="000F576D"/>
    <w:rsid w:val="000F58AA"/>
    <w:rsid w:val="000F59E8"/>
    <w:rsid w:val="000F5DBE"/>
    <w:rsid w:val="000F5FD0"/>
    <w:rsid w:val="000F6050"/>
    <w:rsid w:val="000F60A5"/>
    <w:rsid w:val="000F668D"/>
    <w:rsid w:val="000F66A1"/>
    <w:rsid w:val="000F670A"/>
    <w:rsid w:val="000F6721"/>
    <w:rsid w:val="000F673B"/>
    <w:rsid w:val="000F6878"/>
    <w:rsid w:val="000F6B55"/>
    <w:rsid w:val="000F7002"/>
    <w:rsid w:val="000F7101"/>
    <w:rsid w:val="000F7202"/>
    <w:rsid w:val="000F773E"/>
    <w:rsid w:val="000F774A"/>
    <w:rsid w:val="000F7E43"/>
    <w:rsid w:val="000F7FCC"/>
    <w:rsid w:val="0010002A"/>
    <w:rsid w:val="00100465"/>
    <w:rsid w:val="00100639"/>
    <w:rsid w:val="001007C1"/>
    <w:rsid w:val="001007F2"/>
    <w:rsid w:val="0010081B"/>
    <w:rsid w:val="0010086D"/>
    <w:rsid w:val="001008D2"/>
    <w:rsid w:val="00100986"/>
    <w:rsid w:val="00100A69"/>
    <w:rsid w:val="00100AC8"/>
    <w:rsid w:val="00100CB7"/>
    <w:rsid w:val="00100F3E"/>
    <w:rsid w:val="0010115C"/>
    <w:rsid w:val="00101366"/>
    <w:rsid w:val="001015C2"/>
    <w:rsid w:val="00101705"/>
    <w:rsid w:val="001018A8"/>
    <w:rsid w:val="0010192B"/>
    <w:rsid w:val="00101C0E"/>
    <w:rsid w:val="00101D3C"/>
    <w:rsid w:val="00101E9D"/>
    <w:rsid w:val="0010204A"/>
    <w:rsid w:val="00102333"/>
    <w:rsid w:val="0010242F"/>
    <w:rsid w:val="00102443"/>
    <w:rsid w:val="00102986"/>
    <w:rsid w:val="0010298E"/>
    <w:rsid w:val="001029EB"/>
    <w:rsid w:val="00102BAA"/>
    <w:rsid w:val="00102CC1"/>
    <w:rsid w:val="00102FE7"/>
    <w:rsid w:val="001032D6"/>
    <w:rsid w:val="001033E8"/>
    <w:rsid w:val="00103484"/>
    <w:rsid w:val="001034C6"/>
    <w:rsid w:val="00103638"/>
    <w:rsid w:val="00103810"/>
    <w:rsid w:val="001039B5"/>
    <w:rsid w:val="001039CD"/>
    <w:rsid w:val="00103B77"/>
    <w:rsid w:val="00103CEF"/>
    <w:rsid w:val="0010426E"/>
    <w:rsid w:val="00104451"/>
    <w:rsid w:val="0010456A"/>
    <w:rsid w:val="001045F4"/>
    <w:rsid w:val="0010466C"/>
    <w:rsid w:val="00104716"/>
    <w:rsid w:val="00104993"/>
    <w:rsid w:val="001049E5"/>
    <w:rsid w:val="00104A1D"/>
    <w:rsid w:val="00104A3D"/>
    <w:rsid w:val="00104C70"/>
    <w:rsid w:val="00104D86"/>
    <w:rsid w:val="00104E6C"/>
    <w:rsid w:val="00104F5C"/>
    <w:rsid w:val="00105049"/>
    <w:rsid w:val="00105058"/>
    <w:rsid w:val="00105103"/>
    <w:rsid w:val="00105184"/>
    <w:rsid w:val="00105281"/>
    <w:rsid w:val="001054F7"/>
    <w:rsid w:val="0010567D"/>
    <w:rsid w:val="001059D6"/>
    <w:rsid w:val="00105BBA"/>
    <w:rsid w:val="00105CCF"/>
    <w:rsid w:val="00105DA0"/>
    <w:rsid w:val="00105DFA"/>
    <w:rsid w:val="00105E4D"/>
    <w:rsid w:val="0010611E"/>
    <w:rsid w:val="0010613E"/>
    <w:rsid w:val="001062F1"/>
    <w:rsid w:val="001063EE"/>
    <w:rsid w:val="00106757"/>
    <w:rsid w:val="001069A7"/>
    <w:rsid w:val="00106AA6"/>
    <w:rsid w:val="00106DFA"/>
    <w:rsid w:val="001072A2"/>
    <w:rsid w:val="001073D2"/>
    <w:rsid w:val="0010748B"/>
    <w:rsid w:val="0010774C"/>
    <w:rsid w:val="00107A49"/>
    <w:rsid w:val="00107CC7"/>
    <w:rsid w:val="00107D29"/>
    <w:rsid w:val="00107D33"/>
    <w:rsid w:val="00107D81"/>
    <w:rsid w:val="00107E1B"/>
    <w:rsid w:val="00107FFA"/>
    <w:rsid w:val="0011009C"/>
    <w:rsid w:val="001101F9"/>
    <w:rsid w:val="0011042F"/>
    <w:rsid w:val="001106C7"/>
    <w:rsid w:val="00110716"/>
    <w:rsid w:val="00110776"/>
    <w:rsid w:val="00110BA9"/>
    <w:rsid w:val="00110C71"/>
    <w:rsid w:val="00110E40"/>
    <w:rsid w:val="00110F4C"/>
    <w:rsid w:val="00111031"/>
    <w:rsid w:val="001111CF"/>
    <w:rsid w:val="00111396"/>
    <w:rsid w:val="00111521"/>
    <w:rsid w:val="00111641"/>
    <w:rsid w:val="00111667"/>
    <w:rsid w:val="001116A3"/>
    <w:rsid w:val="001116B8"/>
    <w:rsid w:val="00111827"/>
    <w:rsid w:val="00111829"/>
    <w:rsid w:val="00111951"/>
    <w:rsid w:val="00111A91"/>
    <w:rsid w:val="00111BC9"/>
    <w:rsid w:val="00111C43"/>
    <w:rsid w:val="00112209"/>
    <w:rsid w:val="00112545"/>
    <w:rsid w:val="0011262A"/>
    <w:rsid w:val="001126E1"/>
    <w:rsid w:val="00112932"/>
    <w:rsid w:val="00112E81"/>
    <w:rsid w:val="00112F1A"/>
    <w:rsid w:val="00112FC6"/>
    <w:rsid w:val="00113184"/>
    <w:rsid w:val="00113388"/>
    <w:rsid w:val="001134E8"/>
    <w:rsid w:val="001136A7"/>
    <w:rsid w:val="00113773"/>
    <w:rsid w:val="00113A30"/>
    <w:rsid w:val="00113A48"/>
    <w:rsid w:val="00113B9E"/>
    <w:rsid w:val="00113D84"/>
    <w:rsid w:val="001140A2"/>
    <w:rsid w:val="001144E6"/>
    <w:rsid w:val="001146B4"/>
    <w:rsid w:val="00114798"/>
    <w:rsid w:val="001148F7"/>
    <w:rsid w:val="00114900"/>
    <w:rsid w:val="0011499A"/>
    <w:rsid w:val="00114B82"/>
    <w:rsid w:val="00114BF5"/>
    <w:rsid w:val="00114E6F"/>
    <w:rsid w:val="0011509E"/>
    <w:rsid w:val="00115189"/>
    <w:rsid w:val="00115264"/>
    <w:rsid w:val="0011531F"/>
    <w:rsid w:val="00115574"/>
    <w:rsid w:val="001156D7"/>
    <w:rsid w:val="001158CF"/>
    <w:rsid w:val="00115D20"/>
    <w:rsid w:val="00115FF5"/>
    <w:rsid w:val="0011600E"/>
    <w:rsid w:val="0011634E"/>
    <w:rsid w:val="001163C8"/>
    <w:rsid w:val="0011646C"/>
    <w:rsid w:val="00116527"/>
    <w:rsid w:val="00116618"/>
    <w:rsid w:val="00116639"/>
    <w:rsid w:val="0011663C"/>
    <w:rsid w:val="001166AA"/>
    <w:rsid w:val="001166D7"/>
    <w:rsid w:val="001167CB"/>
    <w:rsid w:val="00116A20"/>
    <w:rsid w:val="00116B91"/>
    <w:rsid w:val="00116DDB"/>
    <w:rsid w:val="00116FC8"/>
    <w:rsid w:val="00116FEE"/>
    <w:rsid w:val="0011706F"/>
    <w:rsid w:val="001171E9"/>
    <w:rsid w:val="001172AF"/>
    <w:rsid w:val="001174BC"/>
    <w:rsid w:val="0011751A"/>
    <w:rsid w:val="00117660"/>
    <w:rsid w:val="001176CA"/>
    <w:rsid w:val="0011785F"/>
    <w:rsid w:val="00117D87"/>
    <w:rsid w:val="00117EBA"/>
    <w:rsid w:val="00117F28"/>
    <w:rsid w:val="00117F50"/>
    <w:rsid w:val="00120033"/>
    <w:rsid w:val="00120369"/>
    <w:rsid w:val="00120539"/>
    <w:rsid w:val="00120544"/>
    <w:rsid w:val="00120635"/>
    <w:rsid w:val="00120674"/>
    <w:rsid w:val="0012087D"/>
    <w:rsid w:val="00120995"/>
    <w:rsid w:val="001209B9"/>
    <w:rsid w:val="00120A71"/>
    <w:rsid w:val="00120D3C"/>
    <w:rsid w:val="00120F1F"/>
    <w:rsid w:val="001210A6"/>
    <w:rsid w:val="001210CA"/>
    <w:rsid w:val="0012124C"/>
    <w:rsid w:val="001212FE"/>
    <w:rsid w:val="001213D3"/>
    <w:rsid w:val="0012156E"/>
    <w:rsid w:val="00121632"/>
    <w:rsid w:val="0012164A"/>
    <w:rsid w:val="0012169D"/>
    <w:rsid w:val="0012191E"/>
    <w:rsid w:val="00121A06"/>
    <w:rsid w:val="00121A32"/>
    <w:rsid w:val="00121B8D"/>
    <w:rsid w:val="00121E64"/>
    <w:rsid w:val="0012213C"/>
    <w:rsid w:val="001221C9"/>
    <w:rsid w:val="001223F7"/>
    <w:rsid w:val="0012245E"/>
    <w:rsid w:val="001224D3"/>
    <w:rsid w:val="00122559"/>
    <w:rsid w:val="0012263C"/>
    <w:rsid w:val="0012278D"/>
    <w:rsid w:val="0012283E"/>
    <w:rsid w:val="00122B08"/>
    <w:rsid w:val="00122C04"/>
    <w:rsid w:val="00122C25"/>
    <w:rsid w:val="00122D87"/>
    <w:rsid w:val="00122EB0"/>
    <w:rsid w:val="001233DD"/>
    <w:rsid w:val="001234CC"/>
    <w:rsid w:val="0012352B"/>
    <w:rsid w:val="001236A4"/>
    <w:rsid w:val="001236A5"/>
    <w:rsid w:val="00123991"/>
    <w:rsid w:val="00123AEC"/>
    <w:rsid w:val="00123C7C"/>
    <w:rsid w:val="00123CCD"/>
    <w:rsid w:val="00123D44"/>
    <w:rsid w:val="00123D8D"/>
    <w:rsid w:val="00123E01"/>
    <w:rsid w:val="00123E81"/>
    <w:rsid w:val="00123E88"/>
    <w:rsid w:val="001242A7"/>
    <w:rsid w:val="00124433"/>
    <w:rsid w:val="00124788"/>
    <w:rsid w:val="00124891"/>
    <w:rsid w:val="001249EA"/>
    <w:rsid w:val="00124C9D"/>
    <w:rsid w:val="0012508B"/>
    <w:rsid w:val="00125186"/>
    <w:rsid w:val="00125199"/>
    <w:rsid w:val="0012523C"/>
    <w:rsid w:val="00125272"/>
    <w:rsid w:val="0012541D"/>
    <w:rsid w:val="0012553A"/>
    <w:rsid w:val="00125673"/>
    <w:rsid w:val="00125686"/>
    <w:rsid w:val="0012569F"/>
    <w:rsid w:val="001257E9"/>
    <w:rsid w:val="00125957"/>
    <w:rsid w:val="00125B6E"/>
    <w:rsid w:val="00125CC9"/>
    <w:rsid w:val="00125CF9"/>
    <w:rsid w:val="00125D35"/>
    <w:rsid w:val="00125D6E"/>
    <w:rsid w:val="00125F3F"/>
    <w:rsid w:val="00126005"/>
    <w:rsid w:val="001262C9"/>
    <w:rsid w:val="00126496"/>
    <w:rsid w:val="0012693D"/>
    <w:rsid w:val="00126AD9"/>
    <w:rsid w:val="00126B0D"/>
    <w:rsid w:val="00126CE4"/>
    <w:rsid w:val="00126DF3"/>
    <w:rsid w:val="00127002"/>
    <w:rsid w:val="0012701F"/>
    <w:rsid w:val="001272A1"/>
    <w:rsid w:val="0012749C"/>
    <w:rsid w:val="0012764E"/>
    <w:rsid w:val="001276B0"/>
    <w:rsid w:val="00127782"/>
    <w:rsid w:val="001279AE"/>
    <w:rsid w:val="00127B9B"/>
    <w:rsid w:val="00127CBB"/>
    <w:rsid w:val="00127E22"/>
    <w:rsid w:val="00127FF1"/>
    <w:rsid w:val="001300A9"/>
    <w:rsid w:val="00130193"/>
    <w:rsid w:val="00130385"/>
    <w:rsid w:val="00130652"/>
    <w:rsid w:val="001308EB"/>
    <w:rsid w:val="00130BFA"/>
    <w:rsid w:val="00130C0F"/>
    <w:rsid w:val="00130C21"/>
    <w:rsid w:val="00130C31"/>
    <w:rsid w:val="00130C6E"/>
    <w:rsid w:val="0013130E"/>
    <w:rsid w:val="001314DD"/>
    <w:rsid w:val="00131571"/>
    <w:rsid w:val="001315A8"/>
    <w:rsid w:val="00131877"/>
    <w:rsid w:val="00131897"/>
    <w:rsid w:val="00131C63"/>
    <w:rsid w:val="00131E56"/>
    <w:rsid w:val="00132024"/>
    <w:rsid w:val="0013217F"/>
    <w:rsid w:val="001323D6"/>
    <w:rsid w:val="00132402"/>
    <w:rsid w:val="00132739"/>
    <w:rsid w:val="00132760"/>
    <w:rsid w:val="00132786"/>
    <w:rsid w:val="00132901"/>
    <w:rsid w:val="00132909"/>
    <w:rsid w:val="00132AD6"/>
    <w:rsid w:val="00132B55"/>
    <w:rsid w:val="00132C8E"/>
    <w:rsid w:val="00132CE9"/>
    <w:rsid w:val="00132E60"/>
    <w:rsid w:val="00132EAA"/>
    <w:rsid w:val="001331A4"/>
    <w:rsid w:val="0013323E"/>
    <w:rsid w:val="001333DB"/>
    <w:rsid w:val="0013341D"/>
    <w:rsid w:val="001335A5"/>
    <w:rsid w:val="001336B0"/>
    <w:rsid w:val="001336C6"/>
    <w:rsid w:val="00133980"/>
    <w:rsid w:val="00133A45"/>
    <w:rsid w:val="00133B1C"/>
    <w:rsid w:val="00133B6D"/>
    <w:rsid w:val="00133C35"/>
    <w:rsid w:val="00133D38"/>
    <w:rsid w:val="00133DE8"/>
    <w:rsid w:val="0013410D"/>
    <w:rsid w:val="00134165"/>
    <w:rsid w:val="0013420C"/>
    <w:rsid w:val="001344F7"/>
    <w:rsid w:val="0013455C"/>
    <w:rsid w:val="00134690"/>
    <w:rsid w:val="00134862"/>
    <w:rsid w:val="00134A70"/>
    <w:rsid w:val="00134CCE"/>
    <w:rsid w:val="00134DEF"/>
    <w:rsid w:val="00134E08"/>
    <w:rsid w:val="00134EE5"/>
    <w:rsid w:val="00135050"/>
    <w:rsid w:val="0013515F"/>
    <w:rsid w:val="00135307"/>
    <w:rsid w:val="00135491"/>
    <w:rsid w:val="001355F4"/>
    <w:rsid w:val="001356FD"/>
    <w:rsid w:val="001357BB"/>
    <w:rsid w:val="00135854"/>
    <w:rsid w:val="00135870"/>
    <w:rsid w:val="00135AA5"/>
    <w:rsid w:val="00135B5F"/>
    <w:rsid w:val="00135DA0"/>
    <w:rsid w:val="00135E9B"/>
    <w:rsid w:val="001360FF"/>
    <w:rsid w:val="00136176"/>
    <w:rsid w:val="0013619C"/>
    <w:rsid w:val="0013627A"/>
    <w:rsid w:val="00136306"/>
    <w:rsid w:val="00136348"/>
    <w:rsid w:val="00136399"/>
    <w:rsid w:val="001363C9"/>
    <w:rsid w:val="00136410"/>
    <w:rsid w:val="0013651C"/>
    <w:rsid w:val="00136BCE"/>
    <w:rsid w:val="00136CD4"/>
    <w:rsid w:val="00136E2E"/>
    <w:rsid w:val="00136E3D"/>
    <w:rsid w:val="00136E76"/>
    <w:rsid w:val="00136EAC"/>
    <w:rsid w:val="00136F0F"/>
    <w:rsid w:val="00136F60"/>
    <w:rsid w:val="001371B4"/>
    <w:rsid w:val="00137441"/>
    <w:rsid w:val="0013770B"/>
    <w:rsid w:val="0013798B"/>
    <w:rsid w:val="00137995"/>
    <w:rsid w:val="00137C12"/>
    <w:rsid w:val="00137D0A"/>
    <w:rsid w:val="0014000D"/>
    <w:rsid w:val="00140068"/>
    <w:rsid w:val="00140239"/>
    <w:rsid w:val="001406C3"/>
    <w:rsid w:val="001407D5"/>
    <w:rsid w:val="001409A4"/>
    <w:rsid w:val="00140A20"/>
    <w:rsid w:val="00140ACC"/>
    <w:rsid w:val="00140C2A"/>
    <w:rsid w:val="00140C5F"/>
    <w:rsid w:val="001410ED"/>
    <w:rsid w:val="00141594"/>
    <w:rsid w:val="00141623"/>
    <w:rsid w:val="0014163A"/>
    <w:rsid w:val="0014179D"/>
    <w:rsid w:val="00141946"/>
    <w:rsid w:val="00141B8C"/>
    <w:rsid w:val="00141E1B"/>
    <w:rsid w:val="00141E4B"/>
    <w:rsid w:val="00141E5E"/>
    <w:rsid w:val="00141EA8"/>
    <w:rsid w:val="00141EFB"/>
    <w:rsid w:val="00141F57"/>
    <w:rsid w:val="0014208E"/>
    <w:rsid w:val="001420FD"/>
    <w:rsid w:val="0014212D"/>
    <w:rsid w:val="00142407"/>
    <w:rsid w:val="0014259F"/>
    <w:rsid w:val="0014280E"/>
    <w:rsid w:val="0014283A"/>
    <w:rsid w:val="00142862"/>
    <w:rsid w:val="00142967"/>
    <w:rsid w:val="0014296B"/>
    <w:rsid w:val="00142A9F"/>
    <w:rsid w:val="00142B05"/>
    <w:rsid w:val="00142C3C"/>
    <w:rsid w:val="00142CD7"/>
    <w:rsid w:val="00142E37"/>
    <w:rsid w:val="00142F97"/>
    <w:rsid w:val="00142F98"/>
    <w:rsid w:val="001433C2"/>
    <w:rsid w:val="001435E3"/>
    <w:rsid w:val="0014371F"/>
    <w:rsid w:val="00143BD6"/>
    <w:rsid w:val="00143F2E"/>
    <w:rsid w:val="0014408C"/>
    <w:rsid w:val="00144254"/>
    <w:rsid w:val="00144347"/>
    <w:rsid w:val="00144393"/>
    <w:rsid w:val="001444A2"/>
    <w:rsid w:val="0014457B"/>
    <w:rsid w:val="001445FE"/>
    <w:rsid w:val="00144724"/>
    <w:rsid w:val="001447AA"/>
    <w:rsid w:val="001447F8"/>
    <w:rsid w:val="00144BC2"/>
    <w:rsid w:val="00144D92"/>
    <w:rsid w:val="001451BD"/>
    <w:rsid w:val="0014541F"/>
    <w:rsid w:val="001455E1"/>
    <w:rsid w:val="00145648"/>
    <w:rsid w:val="001456D6"/>
    <w:rsid w:val="001459EB"/>
    <w:rsid w:val="001459FD"/>
    <w:rsid w:val="00145A29"/>
    <w:rsid w:val="00145B03"/>
    <w:rsid w:val="00145DFA"/>
    <w:rsid w:val="00145F1A"/>
    <w:rsid w:val="00145FB9"/>
    <w:rsid w:val="00145FF2"/>
    <w:rsid w:val="0014600F"/>
    <w:rsid w:val="0014606B"/>
    <w:rsid w:val="00146291"/>
    <w:rsid w:val="0014635C"/>
    <w:rsid w:val="00146569"/>
    <w:rsid w:val="00146644"/>
    <w:rsid w:val="00146811"/>
    <w:rsid w:val="001468C6"/>
    <w:rsid w:val="001468E0"/>
    <w:rsid w:val="0014694F"/>
    <w:rsid w:val="00146A17"/>
    <w:rsid w:val="00146C47"/>
    <w:rsid w:val="00146CA9"/>
    <w:rsid w:val="00146F39"/>
    <w:rsid w:val="0014700F"/>
    <w:rsid w:val="001470B9"/>
    <w:rsid w:val="0014713B"/>
    <w:rsid w:val="0014734A"/>
    <w:rsid w:val="001475D3"/>
    <w:rsid w:val="001476BD"/>
    <w:rsid w:val="00147841"/>
    <w:rsid w:val="00147ADC"/>
    <w:rsid w:val="00147C36"/>
    <w:rsid w:val="00147E0A"/>
    <w:rsid w:val="00147F24"/>
    <w:rsid w:val="00147FD2"/>
    <w:rsid w:val="00150554"/>
    <w:rsid w:val="00150644"/>
    <w:rsid w:val="001506CB"/>
    <w:rsid w:val="00150757"/>
    <w:rsid w:val="00150943"/>
    <w:rsid w:val="00150AC7"/>
    <w:rsid w:val="00150BC8"/>
    <w:rsid w:val="00150C29"/>
    <w:rsid w:val="00150C55"/>
    <w:rsid w:val="00150CD4"/>
    <w:rsid w:val="00150D4D"/>
    <w:rsid w:val="00150D7D"/>
    <w:rsid w:val="00151176"/>
    <w:rsid w:val="00151215"/>
    <w:rsid w:val="00151337"/>
    <w:rsid w:val="001513A9"/>
    <w:rsid w:val="001513BB"/>
    <w:rsid w:val="00151430"/>
    <w:rsid w:val="0015147C"/>
    <w:rsid w:val="0015150F"/>
    <w:rsid w:val="00151536"/>
    <w:rsid w:val="00151859"/>
    <w:rsid w:val="001518AD"/>
    <w:rsid w:val="00151C1A"/>
    <w:rsid w:val="00151F30"/>
    <w:rsid w:val="001521DB"/>
    <w:rsid w:val="001523DC"/>
    <w:rsid w:val="0015247C"/>
    <w:rsid w:val="001524C0"/>
    <w:rsid w:val="00152635"/>
    <w:rsid w:val="00152639"/>
    <w:rsid w:val="00152835"/>
    <w:rsid w:val="001532B4"/>
    <w:rsid w:val="001532DD"/>
    <w:rsid w:val="00153317"/>
    <w:rsid w:val="0015353A"/>
    <w:rsid w:val="0015360B"/>
    <w:rsid w:val="00153954"/>
    <w:rsid w:val="001539FC"/>
    <w:rsid w:val="00153A3C"/>
    <w:rsid w:val="00153E0E"/>
    <w:rsid w:val="00153E24"/>
    <w:rsid w:val="00153FF9"/>
    <w:rsid w:val="00154058"/>
    <w:rsid w:val="001540FD"/>
    <w:rsid w:val="001541A3"/>
    <w:rsid w:val="001544AF"/>
    <w:rsid w:val="001545BA"/>
    <w:rsid w:val="00154602"/>
    <w:rsid w:val="001546F3"/>
    <w:rsid w:val="00154704"/>
    <w:rsid w:val="00154735"/>
    <w:rsid w:val="001547EE"/>
    <w:rsid w:val="001548E3"/>
    <w:rsid w:val="00154B2D"/>
    <w:rsid w:val="00154E39"/>
    <w:rsid w:val="00154F6B"/>
    <w:rsid w:val="0015503D"/>
    <w:rsid w:val="001552B5"/>
    <w:rsid w:val="001552BB"/>
    <w:rsid w:val="00155417"/>
    <w:rsid w:val="0015544A"/>
    <w:rsid w:val="001554AA"/>
    <w:rsid w:val="001557DF"/>
    <w:rsid w:val="0015588B"/>
    <w:rsid w:val="00155AFE"/>
    <w:rsid w:val="00155B43"/>
    <w:rsid w:val="00155E95"/>
    <w:rsid w:val="00156019"/>
    <w:rsid w:val="001560F8"/>
    <w:rsid w:val="0015633E"/>
    <w:rsid w:val="001563C1"/>
    <w:rsid w:val="001564BD"/>
    <w:rsid w:val="001565A8"/>
    <w:rsid w:val="00156826"/>
    <w:rsid w:val="00156871"/>
    <w:rsid w:val="00156A7D"/>
    <w:rsid w:val="00156B60"/>
    <w:rsid w:val="00156B72"/>
    <w:rsid w:val="00156C0B"/>
    <w:rsid w:val="00156CC3"/>
    <w:rsid w:val="00156CF3"/>
    <w:rsid w:val="00157007"/>
    <w:rsid w:val="00157045"/>
    <w:rsid w:val="001571B6"/>
    <w:rsid w:val="0015756A"/>
    <w:rsid w:val="001575C3"/>
    <w:rsid w:val="00157920"/>
    <w:rsid w:val="00157B96"/>
    <w:rsid w:val="00157C48"/>
    <w:rsid w:val="00157CB1"/>
    <w:rsid w:val="00157CF8"/>
    <w:rsid w:val="00157D58"/>
    <w:rsid w:val="00157D89"/>
    <w:rsid w:val="00157D8A"/>
    <w:rsid w:val="0016014E"/>
    <w:rsid w:val="00160239"/>
    <w:rsid w:val="0016030C"/>
    <w:rsid w:val="0016057F"/>
    <w:rsid w:val="001606D4"/>
    <w:rsid w:val="00160874"/>
    <w:rsid w:val="001609A4"/>
    <w:rsid w:val="00160A9C"/>
    <w:rsid w:val="00160B7E"/>
    <w:rsid w:val="0016124F"/>
    <w:rsid w:val="001613EF"/>
    <w:rsid w:val="00161686"/>
    <w:rsid w:val="001618F5"/>
    <w:rsid w:val="001619A7"/>
    <w:rsid w:val="00161A18"/>
    <w:rsid w:val="00161B9C"/>
    <w:rsid w:val="00161E02"/>
    <w:rsid w:val="00161E29"/>
    <w:rsid w:val="00161E3C"/>
    <w:rsid w:val="00161F58"/>
    <w:rsid w:val="0016202B"/>
    <w:rsid w:val="00162156"/>
    <w:rsid w:val="001622AD"/>
    <w:rsid w:val="00162744"/>
    <w:rsid w:val="001627D0"/>
    <w:rsid w:val="00162850"/>
    <w:rsid w:val="00162A0D"/>
    <w:rsid w:val="00162E70"/>
    <w:rsid w:val="00162F95"/>
    <w:rsid w:val="001630B4"/>
    <w:rsid w:val="001630BE"/>
    <w:rsid w:val="001632CB"/>
    <w:rsid w:val="00163586"/>
    <w:rsid w:val="00163598"/>
    <w:rsid w:val="00163663"/>
    <w:rsid w:val="001637C4"/>
    <w:rsid w:val="001638C4"/>
    <w:rsid w:val="001638FE"/>
    <w:rsid w:val="00163925"/>
    <w:rsid w:val="001639A0"/>
    <w:rsid w:val="00163A53"/>
    <w:rsid w:val="00163E44"/>
    <w:rsid w:val="00163E9A"/>
    <w:rsid w:val="00164047"/>
    <w:rsid w:val="001640DC"/>
    <w:rsid w:val="00164170"/>
    <w:rsid w:val="0016422D"/>
    <w:rsid w:val="0016431D"/>
    <w:rsid w:val="00164650"/>
    <w:rsid w:val="001649D1"/>
    <w:rsid w:val="00164D02"/>
    <w:rsid w:val="0016503D"/>
    <w:rsid w:val="0016511E"/>
    <w:rsid w:val="00165418"/>
    <w:rsid w:val="001657F5"/>
    <w:rsid w:val="0016587E"/>
    <w:rsid w:val="001658C9"/>
    <w:rsid w:val="00165935"/>
    <w:rsid w:val="0016598C"/>
    <w:rsid w:val="00165A49"/>
    <w:rsid w:val="00165AD9"/>
    <w:rsid w:val="00165AE2"/>
    <w:rsid w:val="00165AFA"/>
    <w:rsid w:val="00165AFE"/>
    <w:rsid w:val="00165BD8"/>
    <w:rsid w:val="00165D3B"/>
    <w:rsid w:val="001660E4"/>
    <w:rsid w:val="00166138"/>
    <w:rsid w:val="0016619E"/>
    <w:rsid w:val="00166274"/>
    <w:rsid w:val="001664FB"/>
    <w:rsid w:val="00166632"/>
    <w:rsid w:val="00166741"/>
    <w:rsid w:val="00166789"/>
    <w:rsid w:val="001667A9"/>
    <w:rsid w:val="00166A36"/>
    <w:rsid w:val="00166C20"/>
    <w:rsid w:val="00166C49"/>
    <w:rsid w:val="00166E5A"/>
    <w:rsid w:val="001674D4"/>
    <w:rsid w:val="001675A9"/>
    <w:rsid w:val="001675F1"/>
    <w:rsid w:val="001677FA"/>
    <w:rsid w:val="0016780D"/>
    <w:rsid w:val="001678E7"/>
    <w:rsid w:val="00167A3C"/>
    <w:rsid w:val="00167C6A"/>
    <w:rsid w:val="00167CE8"/>
    <w:rsid w:val="00167D3D"/>
    <w:rsid w:val="001701A0"/>
    <w:rsid w:val="00170271"/>
    <w:rsid w:val="00170395"/>
    <w:rsid w:val="0017040E"/>
    <w:rsid w:val="0017041D"/>
    <w:rsid w:val="00170449"/>
    <w:rsid w:val="0017079C"/>
    <w:rsid w:val="001707D9"/>
    <w:rsid w:val="00170955"/>
    <w:rsid w:val="001709D4"/>
    <w:rsid w:val="00170A1E"/>
    <w:rsid w:val="00170A56"/>
    <w:rsid w:val="00170B3C"/>
    <w:rsid w:val="00170B50"/>
    <w:rsid w:val="00170B6B"/>
    <w:rsid w:val="00170BCC"/>
    <w:rsid w:val="00170F4D"/>
    <w:rsid w:val="0017103F"/>
    <w:rsid w:val="0017132B"/>
    <w:rsid w:val="001715EF"/>
    <w:rsid w:val="00171849"/>
    <w:rsid w:val="00171896"/>
    <w:rsid w:val="00171A57"/>
    <w:rsid w:val="00171AE9"/>
    <w:rsid w:val="00171B91"/>
    <w:rsid w:val="00171C69"/>
    <w:rsid w:val="0017217A"/>
    <w:rsid w:val="00172340"/>
    <w:rsid w:val="001724D0"/>
    <w:rsid w:val="0017250B"/>
    <w:rsid w:val="0017252E"/>
    <w:rsid w:val="00172703"/>
    <w:rsid w:val="00172B82"/>
    <w:rsid w:val="00172D5F"/>
    <w:rsid w:val="00172FB4"/>
    <w:rsid w:val="00172FFC"/>
    <w:rsid w:val="001733EF"/>
    <w:rsid w:val="001734FB"/>
    <w:rsid w:val="00173553"/>
    <w:rsid w:val="00173577"/>
    <w:rsid w:val="001736C7"/>
    <w:rsid w:val="00173793"/>
    <w:rsid w:val="00173D25"/>
    <w:rsid w:val="00173D91"/>
    <w:rsid w:val="00173E55"/>
    <w:rsid w:val="00173EEC"/>
    <w:rsid w:val="00174058"/>
    <w:rsid w:val="00174454"/>
    <w:rsid w:val="00174576"/>
    <w:rsid w:val="0017459D"/>
    <w:rsid w:val="001745B3"/>
    <w:rsid w:val="00174632"/>
    <w:rsid w:val="001749A5"/>
    <w:rsid w:val="00174A5A"/>
    <w:rsid w:val="00174AAC"/>
    <w:rsid w:val="00174B5E"/>
    <w:rsid w:val="00174B79"/>
    <w:rsid w:val="00174C1F"/>
    <w:rsid w:val="00174C97"/>
    <w:rsid w:val="00174E68"/>
    <w:rsid w:val="00174E6A"/>
    <w:rsid w:val="00174F86"/>
    <w:rsid w:val="00175045"/>
    <w:rsid w:val="001751C8"/>
    <w:rsid w:val="0017529A"/>
    <w:rsid w:val="00175308"/>
    <w:rsid w:val="00175354"/>
    <w:rsid w:val="00175424"/>
    <w:rsid w:val="0017564E"/>
    <w:rsid w:val="00175654"/>
    <w:rsid w:val="0017566D"/>
    <w:rsid w:val="0017588E"/>
    <w:rsid w:val="0017589B"/>
    <w:rsid w:val="00175971"/>
    <w:rsid w:val="00175A87"/>
    <w:rsid w:val="00175D80"/>
    <w:rsid w:val="00175EB8"/>
    <w:rsid w:val="00176412"/>
    <w:rsid w:val="001765E9"/>
    <w:rsid w:val="00176658"/>
    <w:rsid w:val="00176770"/>
    <w:rsid w:val="00176791"/>
    <w:rsid w:val="001769A1"/>
    <w:rsid w:val="00176A8F"/>
    <w:rsid w:val="00176AA5"/>
    <w:rsid w:val="00176B73"/>
    <w:rsid w:val="00176BB1"/>
    <w:rsid w:val="00176C4C"/>
    <w:rsid w:val="00176C9A"/>
    <w:rsid w:val="00176E44"/>
    <w:rsid w:val="00176EF4"/>
    <w:rsid w:val="00177033"/>
    <w:rsid w:val="0017706A"/>
    <w:rsid w:val="001770A7"/>
    <w:rsid w:val="001770E4"/>
    <w:rsid w:val="0017720E"/>
    <w:rsid w:val="001772CC"/>
    <w:rsid w:val="001773A9"/>
    <w:rsid w:val="00177535"/>
    <w:rsid w:val="00177689"/>
    <w:rsid w:val="00177849"/>
    <w:rsid w:val="0017787B"/>
    <w:rsid w:val="0017788B"/>
    <w:rsid w:val="00177893"/>
    <w:rsid w:val="001778E6"/>
    <w:rsid w:val="00177A41"/>
    <w:rsid w:val="00177CD5"/>
    <w:rsid w:val="00177F6A"/>
    <w:rsid w:val="0018015A"/>
    <w:rsid w:val="0018019D"/>
    <w:rsid w:val="00180217"/>
    <w:rsid w:val="00180260"/>
    <w:rsid w:val="001803E6"/>
    <w:rsid w:val="00180509"/>
    <w:rsid w:val="00180702"/>
    <w:rsid w:val="00180A0E"/>
    <w:rsid w:val="00180A84"/>
    <w:rsid w:val="00180BB4"/>
    <w:rsid w:val="00180C12"/>
    <w:rsid w:val="00180FB9"/>
    <w:rsid w:val="001811B6"/>
    <w:rsid w:val="001812F0"/>
    <w:rsid w:val="00181359"/>
    <w:rsid w:val="001813C9"/>
    <w:rsid w:val="00181412"/>
    <w:rsid w:val="0018141A"/>
    <w:rsid w:val="00181566"/>
    <w:rsid w:val="0018169F"/>
    <w:rsid w:val="001818E1"/>
    <w:rsid w:val="001819EE"/>
    <w:rsid w:val="00181BAF"/>
    <w:rsid w:val="00181BB6"/>
    <w:rsid w:val="00181E19"/>
    <w:rsid w:val="00181F19"/>
    <w:rsid w:val="00181F4F"/>
    <w:rsid w:val="001821B2"/>
    <w:rsid w:val="0018228E"/>
    <w:rsid w:val="0018277F"/>
    <w:rsid w:val="0018281C"/>
    <w:rsid w:val="001830F1"/>
    <w:rsid w:val="00183337"/>
    <w:rsid w:val="001833F3"/>
    <w:rsid w:val="00183433"/>
    <w:rsid w:val="00183516"/>
    <w:rsid w:val="00183543"/>
    <w:rsid w:val="0018355D"/>
    <w:rsid w:val="0018371E"/>
    <w:rsid w:val="0018373E"/>
    <w:rsid w:val="001837AC"/>
    <w:rsid w:val="001838CC"/>
    <w:rsid w:val="00183948"/>
    <w:rsid w:val="001839C0"/>
    <w:rsid w:val="00183A05"/>
    <w:rsid w:val="00183A87"/>
    <w:rsid w:val="00183AF6"/>
    <w:rsid w:val="00183D32"/>
    <w:rsid w:val="00183ED8"/>
    <w:rsid w:val="00183F3C"/>
    <w:rsid w:val="00183FDE"/>
    <w:rsid w:val="00184048"/>
    <w:rsid w:val="00184081"/>
    <w:rsid w:val="0018411F"/>
    <w:rsid w:val="001841DE"/>
    <w:rsid w:val="00184221"/>
    <w:rsid w:val="00184238"/>
    <w:rsid w:val="0018423A"/>
    <w:rsid w:val="0018443E"/>
    <w:rsid w:val="00184793"/>
    <w:rsid w:val="00184928"/>
    <w:rsid w:val="001849E9"/>
    <w:rsid w:val="00184B03"/>
    <w:rsid w:val="00184DD9"/>
    <w:rsid w:val="00184FD0"/>
    <w:rsid w:val="00184FFA"/>
    <w:rsid w:val="00185075"/>
    <w:rsid w:val="00185344"/>
    <w:rsid w:val="001853C8"/>
    <w:rsid w:val="001853F0"/>
    <w:rsid w:val="00185505"/>
    <w:rsid w:val="0018550C"/>
    <w:rsid w:val="0018562C"/>
    <w:rsid w:val="00185798"/>
    <w:rsid w:val="00185905"/>
    <w:rsid w:val="001859E8"/>
    <w:rsid w:val="00185C35"/>
    <w:rsid w:val="00185E2C"/>
    <w:rsid w:val="00185ED7"/>
    <w:rsid w:val="00185F29"/>
    <w:rsid w:val="00185FBF"/>
    <w:rsid w:val="00186127"/>
    <w:rsid w:val="00186169"/>
    <w:rsid w:val="00186307"/>
    <w:rsid w:val="0018639A"/>
    <w:rsid w:val="001863F7"/>
    <w:rsid w:val="0018669D"/>
    <w:rsid w:val="001866AC"/>
    <w:rsid w:val="00186924"/>
    <w:rsid w:val="001869B2"/>
    <w:rsid w:val="00186EBC"/>
    <w:rsid w:val="001870C5"/>
    <w:rsid w:val="001870F1"/>
    <w:rsid w:val="00187105"/>
    <w:rsid w:val="00187293"/>
    <w:rsid w:val="00187514"/>
    <w:rsid w:val="001876EC"/>
    <w:rsid w:val="00187789"/>
    <w:rsid w:val="00187805"/>
    <w:rsid w:val="0018792C"/>
    <w:rsid w:val="00187B21"/>
    <w:rsid w:val="00190110"/>
    <w:rsid w:val="00190297"/>
    <w:rsid w:val="00190304"/>
    <w:rsid w:val="0019037B"/>
    <w:rsid w:val="001904ED"/>
    <w:rsid w:val="00190AB4"/>
    <w:rsid w:val="00190C18"/>
    <w:rsid w:val="00190CC5"/>
    <w:rsid w:val="00190F69"/>
    <w:rsid w:val="001912D9"/>
    <w:rsid w:val="00191313"/>
    <w:rsid w:val="001916C0"/>
    <w:rsid w:val="00191744"/>
    <w:rsid w:val="00191867"/>
    <w:rsid w:val="001918BD"/>
    <w:rsid w:val="001918EF"/>
    <w:rsid w:val="001919DE"/>
    <w:rsid w:val="001919EF"/>
    <w:rsid w:val="00191AC7"/>
    <w:rsid w:val="00191B1A"/>
    <w:rsid w:val="00191FEB"/>
    <w:rsid w:val="00192248"/>
    <w:rsid w:val="00192670"/>
    <w:rsid w:val="0019279F"/>
    <w:rsid w:val="001927F1"/>
    <w:rsid w:val="001929AD"/>
    <w:rsid w:val="00192DC3"/>
    <w:rsid w:val="00193278"/>
    <w:rsid w:val="00193564"/>
    <w:rsid w:val="0019366F"/>
    <w:rsid w:val="001936A8"/>
    <w:rsid w:val="00193CF9"/>
    <w:rsid w:val="0019407E"/>
    <w:rsid w:val="001941E2"/>
    <w:rsid w:val="00194528"/>
    <w:rsid w:val="00194766"/>
    <w:rsid w:val="001949D5"/>
    <w:rsid w:val="00194A5C"/>
    <w:rsid w:val="00194AA5"/>
    <w:rsid w:val="00194F5E"/>
    <w:rsid w:val="00194F97"/>
    <w:rsid w:val="00195258"/>
    <w:rsid w:val="001952AA"/>
    <w:rsid w:val="001952BB"/>
    <w:rsid w:val="0019539A"/>
    <w:rsid w:val="00195692"/>
    <w:rsid w:val="001956CB"/>
    <w:rsid w:val="001956D0"/>
    <w:rsid w:val="0019571C"/>
    <w:rsid w:val="00195927"/>
    <w:rsid w:val="00195B84"/>
    <w:rsid w:val="00195DA4"/>
    <w:rsid w:val="00196053"/>
    <w:rsid w:val="001961F3"/>
    <w:rsid w:val="00196226"/>
    <w:rsid w:val="00196280"/>
    <w:rsid w:val="0019628C"/>
    <w:rsid w:val="001962A5"/>
    <w:rsid w:val="001962E5"/>
    <w:rsid w:val="0019637C"/>
    <w:rsid w:val="00196501"/>
    <w:rsid w:val="0019685C"/>
    <w:rsid w:val="00196876"/>
    <w:rsid w:val="001968BC"/>
    <w:rsid w:val="001969C1"/>
    <w:rsid w:val="00196B57"/>
    <w:rsid w:val="00196BA8"/>
    <w:rsid w:val="00196C01"/>
    <w:rsid w:val="00196C73"/>
    <w:rsid w:val="0019701B"/>
    <w:rsid w:val="001971F0"/>
    <w:rsid w:val="001973DF"/>
    <w:rsid w:val="00197764"/>
    <w:rsid w:val="00197834"/>
    <w:rsid w:val="00197874"/>
    <w:rsid w:val="00197CA2"/>
    <w:rsid w:val="00197D31"/>
    <w:rsid w:val="00197DE0"/>
    <w:rsid w:val="00197E35"/>
    <w:rsid w:val="00197E49"/>
    <w:rsid w:val="00197FE6"/>
    <w:rsid w:val="001A0142"/>
    <w:rsid w:val="001A04D2"/>
    <w:rsid w:val="001A0767"/>
    <w:rsid w:val="001A0794"/>
    <w:rsid w:val="001A07DD"/>
    <w:rsid w:val="001A0B1C"/>
    <w:rsid w:val="001A0E21"/>
    <w:rsid w:val="001A0F79"/>
    <w:rsid w:val="001A0F9E"/>
    <w:rsid w:val="001A0FAA"/>
    <w:rsid w:val="001A0FFC"/>
    <w:rsid w:val="001A1018"/>
    <w:rsid w:val="001A1022"/>
    <w:rsid w:val="001A1197"/>
    <w:rsid w:val="001A11D4"/>
    <w:rsid w:val="001A136D"/>
    <w:rsid w:val="001A19CD"/>
    <w:rsid w:val="001A1F58"/>
    <w:rsid w:val="001A20DC"/>
    <w:rsid w:val="001A20F5"/>
    <w:rsid w:val="001A2145"/>
    <w:rsid w:val="001A24AF"/>
    <w:rsid w:val="001A254A"/>
    <w:rsid w:val="001A25D8"/>
    <w:rsid w:val="001A2753"/>
    <w:rsid w:val="001A2830"/>
    <w:rsid w:val="001A2991"/>
    <w:rsid w:val="001A2A96"/>
    <w:rsid w:val="001A2E64"/>
    <w:rsid w:val="001A2F3A"/>
    <w:rsid w:val="001A2F46"/>
    <w:rsid w:val="001A2FBD"/>
    <w:rsid w:val="001A31F3"/>
    <w:rsid w:val="001A3228"/>
    <w:rsid w:val="001A32FA"/>
    <w:rsid w:val="001A3395"/>
    <w:rsid w:val="001A3452"/>
    <w:rsid w:val="001A3458"/>
    <w:rsid w:val="001A3588"/>
    <w:rsid w:val="001A37C9"/>
    <w:rsid w:val="001A37EF"/>
    <w:rsid w:val="001A3DC9"/>
    <w:rsid w:val="001A3E7C"/>
    <w:rsid w:val="001A4049"/>
    <w:rsid w:val="001A4194"/>
    <w:rsid w:val="001A41EB"/>
    <w:rsid w:val="001A430A"/>
    <w:rsid w:val="001A4334"/>
    <w:rsid w:val="001A46E2"/>
    <w:rsid w:val="001A4783"/>
    <w:rsid w:val="001A4998"/>
    <w:rsid w:val="001A4BA0"/>
    <w:rsid w:val="001A4C25"/>
    <w:rsid w:val="001A4D29"/>
    <w:rsid w:val="001A4DBA"/>
    <w:rsid w:val="001A4F9B"/>
    <w:rsid w:val="001A4FBA"/>
    <w:rsid w:val="001A5087"/>
    <w:rsid w:val="001A57F0"/>
    <w:rsid w:val="001A5853"/>
    <w:rsid w:val="001A590D"/>
    <w:rsid w:val="001A597A"/>
    <w:rsid w:val="001A5A6E"/>
    <w:rsid w:val="001A5AA6"/>
    <w:rsid w:val="001A5BBF"/>
    <w:rsid w:val="001A6120"/>
    <w:rsid w:val="001A6159"/>
    <w:rsid w:val="001A6455"/>
    <w:rsid w:val="001A6483"/>
    <w:rsid w:val="001A6604"/>
    <w:rsid w:val="001A669B"/>
    <w:rsid w:val="001A6B4D"/>
    <w:rsid w:val="001A6B70"/>
    <w:rsid w:val="001A6F9F"/>
    <w:rsid w:val="001A7228"/>
    <w:rsid w:val="001A73B6"/>
    <w:rsid w:val="001A754A"/>
    <w:rsid w:val="001A7DEF"/>
    <w:rsid w:val="001A7E0F"/>
    <w:rsid w:val="001A7EB6"/>
    <w:rsid w:val="001A7FBC"/>
    <w:rsid w:val="001B00CE"/>
    <w:rsid w:val="001B0274"/>
    <w:rsid w:val="001B04C0"/>
    <w:rsid w:val="001B061A"/>
    <w:rsid w:val="001B0B3F"/>
    <w:rsid w:val="001B0B42"/>
    <w:rsid w:val="001B0BDA"/>
    <w:rsid w:val="001B0D54"/>
    <w:rsid w:val="001B10C0"/>
    <w:rsid w:val="001B11B2"/>
    <w:rsid w:val="001B1250"/>
    <w:rsid w:val="001B1280"/>
    <w:rsid w:val="001B12A9"/>
    <w:rsid w:val="001B132B"/>
    <w:rsid w:val="001B13A6"/>
    <w:rsid w:val="001B1401"/>
    <w:rsid w:val="001B15B4"/>
    <w:rsid w:val="001B1639"/>
    <w:rsid w:val="001B167C"/>
    <w:rsid w:val="001B173D"/>
    <w:rsid w:val="001B1835"/>
    <w:rsid w:val="001B18FF"/>
    <w:rsid w:val="001B1C6E"/>
    <w:rsid w:val="001B1D85"/>
    <w:rsid w:val="001B2429"/>
    <w:rsid w:val="001B28A9"/>
    <w:rsid w:val="001B28BA"/>
    <w:rsid w:val="001B292F"/>
    <w:rsid w:val="001B2DEC"/>
    <w:rsid w:val="001B2F1A"/>
    <w:rsid w:val="001B3140"/>
    <w:rsid w:val="001B32BD"/>
    <w:rsid w:val="001B356B"/>
    <w:rsid w:val="001B3813"/>
    <w:rsid w:val="001B3860"/>
    <w:rsid w:val="001B3A74"/>
    <w:rsid w:val="001B3C0D"/>
    <w:rsid w:val="001B3ED9"/>
    <w:rsid w:val="001B4105"/>
    <w:rsid w:val="001B4233"/>
    <w:rsid w:val="001B42AF"/>
    <w:rsid w:val="001B4387"/>
    <w:rsid w:val="001B43D0"/>
    <w:rsid w:val="001B4437"/>
    <w:rsid w:val="001B44AC"/>
    <w:rsid w:val="001B44D2"/>
    <w:rsid w:val="001B4584"/>
    <w:rsid w:val="001B48B6"/>
    <w:rsid w:val="001B48EB"/>
    <w:rsid w:val="001B50E7"/>
    <w:rsid w:val="001B5177"/>
    <w:rsid w:val="001B56BC"/>
    <w:rsid w:val="001B570D"/>
    <w:rsid w:val="001B57E4"/>
    <w:rsid w:val="001B5B6B"/>
    <w:rsid w:val="001B5D05"/>
    <w:rsid w:val="001B5DB0"/>
    <w:rsid w:val="001B5E6E"/>
    <w:rsid w:val="001B6389"/>
    <w:rsid w:val="001B6416"/>
    <w:rsid w:val="001B65EE"/>
    <w:rsid w:val="001B673E"/>
    <w:rsid w:val="001B67D0"/>
    <w:rsid w:val="001B69A9"/>
    <w:rsid w:val="001B6DC2"/>
    <w:rsid w:val="001B6DE6"/>
    <w:rsid w:val="001B6EBB"/>
    <w:rsid w:val="001B6F9E"/>
    <w:rsid w:val="001B707C"/>
    <w:rsid w:val="001B717C"/>
    <w:rsid w:val="001B727B"/>
    <w:rsid w:val="001B731B"/>
    <w:rsid w:val="001B747C"/>
    <w:rsid w:val="001B799D"/>
    <w:rsid w:val="001C0242"/>
    <w:rsid w:val="001C04CC"/>
    <w:rsid w:val="001C051E"/>
    <w:rsid w:val="001C05AB"/>
    <w:rsid w:val="001C06AA"/>
    <w:rsid w:val="001C07A1"/>
    <w:rsid w:val="001C0A69"/>
    <w:rsid w:val="001C0AE8"/>
    <w:rsid w:val="001C0C02"/>
    <w:rsid w:val="001C0C2B"/>
    <w:rsid w:val="001C0DC1"/>
    <w:rsid w:val="001C1297"/>
    <w:rsid w:val="001C12DC"/>
    <w:rsid w:val="001C13AA"/>
    <w:rsid w:val="001C14AD"/>
    <w:rsid w:val="001C1510"/>
    <w:rsid w:val="001C16AB"/>
    <w:rsid w:val="001C18E5"/>
    <w:rsid w:val="001C1A05"/>
    <w:rsid w:val="001C1A45"/>
    <w:rsid w:val="001C1C5B"/>
    <w:rsid w:val="001C1D81"/>
    <w:rsid w:val="001C1DC1"/>
    <w:rsid w:val="001C1DEC"/>
    <w:rsid w:val="001C1EB3"/>
    <w:rsid w:val="001C203E"/>
    <w:rsid w:val="001C209B"/>
    <w:rsid w:val="001C20B0"/>
    <w:rsid w:val="001C227C"/>
    <w:rsid w:val="001C24AD"/>
    <w:rsid w:val="001C260F"/>
    <w:rsid w:val="001C2698"/>
    <w:rsid w:val="001C2D31"/>
    <w:rsid w:val="001C2DF6"/>
    <w:rsid w:val="001C2E24"/>
    <w:rsid w:val="001C3355"/>
    <w:rsid w:val="001C3502"/>
    <w:rsid w:val="001C35F2"/>
    <w:rsid w:val="001C391C"/>
    <w:rsid w:val="001C3960"/>
    <w:rsid w:val="001C3A88"/>
    <w:rsid w:val="001C3AD4"/>
    <w:rsid w:val="001C3DB6"/>
    <w:rsid w:val="001C3E35"/>
    <w:rsid w:val="001C40A1"/>
    <w:rsid w:val="001C41CB"/>
    <w:rsid w:val="001C424F"/>
    <w:rsid w:val="001C4429"/>
    <w:rsid w:val="001C4660"/>
    <w:rsid w:val="001C4AFF"/>
    <w:rsid w:val="001C4B97"/>
    <w:rsid w:val="001C50E9"/>
    <w:rsid w:val="001C512C"/>
    <w:rsid w:val="001C5778"/>
    <w:rsid w:val="001C5779"/>
    <w:rsid w:val="001C5932"/>
    <w:rsid w:val="001C596B"/>
    <w:rsid w:val="001C621D"/>
    <w:rsid w:val="001C6493"/>
    <w:rsid w:val="001C650F"/>
    <w:rsid w:val="001C65ED"/>
    <w:rsid w:val="001C6689"/>
    <w:rsid w:val="001C67A5"/>
    <w:rsid w:val="001C67CA"/>
    <w:rsid w:val="001C69D7"/>
    <w:rsid w:val="001C6A40"/>
    <w:rsid w:val="001C6AE2"/>
    <w:rsid w:val="001C6B51"/>
    <w:rsid w:val="001C6E1B"/>
    <w:rsid w:val="001C6E87"/>
    <w:rsid w:val="001C713A"/>
    <w:rsid w:val="001C72DD"/>
    <w:rsid w:val="001C730D"/>
    <w:rsid w:val="001C7497"/>
    <w:rsid w:val="001C778E"/>
    <w:rsid w:val="001C796E"/>
    <w:rsid w:val="001C7D17"/>
    <w:rsid w:val="001C7D1B"/>
    <w:rsid w:val="001C7E0D"/>
    <w:rsid w:val="001C7FE8"/>
    <w:rsid w:val="001D0174"/>
    <w:rsid w:val="001D020F"/>
    <w:rsid w:val="001D052C"/>
    <w:rsid w:val="001D053B"/>
    <w:rsid w:val="001D071A"/>
    <w:rsid w:val="001D0853"/>
    <w:rsid w:val="001D0899"/>
    <w:rsid w:val="001D0DD5"/>
    <w:rsid w:val="001D0DF7"/>
    <w:rsid w:val="001D0E56"/>
    <w:rsid w:val="001D100E"/>
    <w:rsid w:val="001D104E"/>
    <w:rsid w:val="001D1144"/>
    <w:rsid w:val="001D17A7"/>
    <w:rsid w:val="001D17FB"/>
    <w:rsid w:val="001D1997"/>
    <w:rsid w:val="001D1AB2"/>
    <w:rsid w:val="001D1B57"/>
    <w:rsid w:val="001D1CFA"/>
    <w:rsid w:val="001D1E48"/>
    <w:rsid w:val="001D1F11"/>
    <w:rsid w:val="001D21F9"/>
    <w:rsid w:val="001D2546"/>
    <w:rsid w:val="001D259F"/>
    <w:rsid w:val="001D25D2"/>
    <w:rsid w:val="001D278A"/>
    <w:rsid w:val="001D2802"/>
    <w:rsid w:val="001D28EC"/>
    <w:rsid w:val="001D2987"/>
    <w:rsid w:val="001D2A99"/>
    <w:rsid w:val="001D2AB4"/>
    <w:rsid w:val="001D2E2C"/>
    <w:rsid w:val="001D2E30"/>
    <w:rsid w:val="001D2E5E"/>
    <w:rsid w:val="001D3478"/>
    <w:rsid w:val="001D34CB"/>
    <w:rsid w:val="001D3605"/>
    <w:rsid w:val="001D36C6"/>
    <w:rsid w:val="001D3702"/>
    <w:rsid w:val="001D3980"/>
    <w:rsid w:val="001D3D44"/>
    <w:rsid w:val="001D4026"/>
    <w:rsid w:val="001D4098"/>
    <w:rsid w:val="001D40B3"/>
    <w:rsid w:val="001D4218"/>
    <w:rsid w:val="001D4464"/>
    <w:rsid w:val="001D44F9"/>
    <w:rsid w:val="001D44FF"/>
    <w:rsid w:val="001D46A1"/>
    <w:rsid w:val="001D4873"/>
    <w:rsid w:val="001D487C"/>
    <w:rsid w:val="001D496B"/>
    <w:rsid w:val="001D4971"/>
    <w:rsid w:val="001D49A8"/>
    <w:rsid w:val="001D49B6"/>
    <w:rsid w:val="001D4B64"/>
    <w:rsid w:val="001D4D94"/>
    <w:rsid w:val="001D52B5"/>
    <w:rsid w:val="001D54AE"/>
    <w:rsid w:val="001D55AC"/>
    <w:rsid w:val="001D56D5"/>
    <w:rsid w:val="001D5721"/>
    <w:rsid w:val="001D5771"/>
    <w:rsid w:val="001D5802"/>
    <w:rsid w:val="001D5808"/>
    <w:rsid w:val="001D58DE"/>
    <w:rsid w:val="001D599B"/>
    <w:rsid w:val="001D5A15"/>
    <w:rsid w:val="001D5A72"/>
    <w:rsid w:val="001D5B11"/>
    <w:rsid w:val="001D5D47"/>
    <w:rsid w:val="001D5DE3"/>
    <w:rsid w:val="001D5E14"/>
    <w:rsid w:val="001D5F35"/>
    <w:rsid w:val="001D6068"/>
    <w:rsid w:val="001D614C"/>
    <w:rsid w:val="001D6226"/>
    <w:rsid w:val="001D624B"/>
    <w:rsid w:val="001D64D2"/>
    <w:rsid w:val="001D64EC"/>
    <w:rsid w:val="001D6733"/>
    <w:rsid w:val="001D6743"/>
    <w:rsid w:val="001D6841"/>
    <w:rsid w:val="001D6923"/>
    <w:rsid w:val="001D6A98"/>
    <w:rsid w:val="001D6C53"/>
    <w:rsid w:val="001D6F1D"/>
    <w:rsid w:val="001D73AE"/>
    <w:rsid w:val="001D7479"/>
    <w:rsid w:val="001D7698"/>
    <w:rsid w:val="001D7720"/>
    <w:rsid w:val="001D7929"/>
    <w:rsid w:val="001D792C"/>
    <w:rsid w:val="001D79A3"/>
    <w:rsid w:val="001D7BC4"/>
    <w:rsid w:val="001D7BFC"/>
    <w:rsid w:val="001D7CF1"/>
    <w:rsid w:val="001E0121"/>
    <w:rsid w:val="001E03DB"/>
    <w:rsid w:val="001E0805"/>
    <w:rsid w:val="001E0994"/>
    <w:rsid w:val="001E0B0D"/>
    <w:rsid w:val="001E0B2D"/>
    <w:rsid w:val="001E0B6A"/>
    <w:rsid w:val="001E0C79"/>
    <w:rsid w:val="001E11AF"/>
    <w:rsid w:val="001E12E9"/>
    <w:rsid w:val="001E145F"/>
    <w:rsid w:val="001E1492"/>
    <w:rsid w:val="001E1517"/>
    <w:rsid w:val="001E1685"/>
    <w:rsid w:val="001E1827"/>
    <w:rsid w:val="001E1AA7"/>
    <w:rsid w:val="001E1AE6"/>
    <w:rsid w:val="001E1AE9"/>
    <w:rsid w:val="001E1D4F"/>
    <w:rsid w:val="001E1EA1"/>
    <w:rsid w:val="001E1FF1"/>
    <w:rsid w:val="001E2132"/>
    <w:rsid w:val="001E220C"/>
    <w:rsid w:val="001E247D"/>
    <w:rsid w:val="001E25EC"/>
    <w:rsid w:val="001E290A"/>
    <w:rsid w:val="001E29A1"/>
    <w:rsid w:val="001E2A29"/>
    <w:rsid w:val="001E2A35"/>
    <w:rsid w:val="001E2AA3"/>
    <w:rsid w:val="001E2B8D"/>
    <w:rsid w:val="001E2BA0"/>
    <w:rsid w:val="001E2DE5"/>
    <w:rsid w:val="001E2E25"/>
    <w:rsid w:val="001E2E48"/>
    <w:rsid w:val="001E2E6F"/>
    <w:rsid w:val="001E2ED8"/>
    <w:rsid w:val="001E2F0B"/>
    <w:rsid w:val="001E32F4"/>
    <w:rsid w:val="001E3603"/>
    <w:rsid w:val="001E36F3"/>
    <w:rsid w:val="001E3842"/>
    <w:rsid w:val="001E39A7"/>
    <w:rsid w:val="001E3BAE"/>
    <w:rsid w:val="001E3F78"/>
    <w:rsid w:val="001E4018"/>
    <w:rsid w:val="001E4111"/>
    <w:rsid w:val="001E422A"/>
    <w:rsid w:val="001E436A"/>
    <w:rsid w:val="001E451D"/>
    <w:rsid w:val="001E45B9"/>
    <w:rsid w:val="001E4A59"/>
    <w:rsid w:val="001E4AE7"/>
    <w:rsid w:val="001E4BED"/>
    <w:rsid w:val="001E4C33"/>
    <w:rsid w:val="001E4C37"/>
    <w:rsid w:val="001E4CD9"/>
    <w:rsid w:val="001E4CDE"/>
    <w:rsid w:val="001E4DCC"/>
    <w:rsid w:val="001E4E98"/>
    <w:rsid w:val="001E4EC3"/>
    <w:rsid w:val="001E5102"/>
    <w:rsid w:val="001E514A"/>
    <w:rsid w:val="001E52F4"/>
    <w:rsid w:val="001E52F8"/>
    <w:rsid w:val="001E53D8"/>
    <w:rsid w:val="001E5525"/>
    <w:rsid w:val="001E55C9"/>
    <w:rsid w:val="001E56B9"/>
    <w:rsid w:val="001E5768"/>
    <w:rsid w:val="001E5896"/>
    <w:rsid w:val="001E5918"/>
    <w:rsid w:val="001E594B"/>
    <w:rsid w:val="001E594D"/>
    <w:rsid w:val="001E5A9F"/>
    <w:rsid w:val="001E5B6F"/>
    <w:rsid w:val="001E5C54"/>
    <w:rsid w:val="001E5DBB"/>
    <w:rsid w:val="001E5F47"/>
    <w:rsid w:val="001E6055"/>
    <w:rsid w:val="001E6256"/>
    <w:rsid w:val="001E6408"/>
    <w:rsid w:val="001E665E"/>
    <w:rsid w:val="001E6C41"/>
    <w:rsid w:val="001E6C55"/>
    <w:rsid w:val="001E6EB4"/>
    <w:rsid w:val="001E71AE"/>
    <w:rsid w:val="001E7439"/>
    <w:rsid w:val="001E7487"/>
    <w:rsid w:val="001E76B8"/>
    <w:rsid w:val="001E76F4"/>
    <w:rsid w:val="001E7B0F"/>
    <w:rsid w:val="001E7D90"/>
    <w:rsid w:val="001E7ECE"/>
    <w:rsid w:val="001E7F8D"/>
    <w:rsid w:val="001E7FB3"/>
    <w:rsid w:val="001F0357"/>
    <w:rsid w:val="001F0455"/>
    <w:rsid w:val="001F0517"/>
    <w:rsid w:val="001F062F"/>
    <w:rsid w:val="001F06DE"/>
    <w:rsid w:val="001F073C"/>
    <w:rsid w:val="001F0919"/>
    <w:rsid w:val="001F0923"/>
    <w:rsid w:val="001F0D0A"/>
    <w:rsid w:val="001F0E33"/>
    <w:rsid w:val="001F1025"/>
    <w:rsid w:val="001F1501"/>
    <w:rsid w:val="001F167A"/>
    <w:rsid w:val="001F16C2"/>
    <w:rsid w:val="001F17B3"/>
    <w:rsid w:val="001F18C2"/>
    <w:rsid w:val="001F1C89"/>
    <w:rsid w:val="001F1D07"/>
    <w:rsid w:val="001F1EAC"/>
    <w:rsid w:val="001F2150"/>
    <w:rsid w:val="001F226A"/>
    <w:rsid w:val="001F2406"/>
    <w:rsid w:val="001F25BA"/>
    <w:rsid w:val="001F2840"/>
    <w:rsid w:val="001F2859"/>
    <w:rsid w:val="001F2910"/>
    <w:rsid w:val="001F2912"/>
    <w:rsid w:val="001F296A"/>
    <w:rsid w:val="001F29DC"/>
    <w:rsid w:val="001F2DAD"/>
    <w:rsid w:val="001F2F47"/>
    <w:rsid w:val="001F34B5"/>
    <w:rsid w:val="001F34B9"/>
    <w:rsid w:val="001F35A2"/>
    <w:rsid w:val="001F366A"/>
    <w:rsid w:val="001F3800"/>
    <w:rsid w:val="001F38E0"/>
    <w:rsid w:val="001F399E"/>
    <w:rsid w:val="001F3C4A"/>
    <w:rsid w:val="001F3F2F"/>
    <w:rsid w:val="001F4184"/>
    <w:rsid w:val="001F41C1"/>
    <w:rsid w:val="001F4310"/>
    <w:rsid w:val="001F4362"/>
    <w:rsid w:val="001F4480"/>
    <w:rsid w:val="001F4645"/>
    <w:rsid w:val="001F4B92"/>
    <w:rsid w:val="001F4D0A"/>
    <w:rsid w:val="001F4D0C"/>
    <w:rsid w:val="001F4EBB"/>
    <w:rsid w:val="001F5016"/>
    <w:rsid w:val="001F51B8"/>
    <w:rsid w:val="001F53CF"/>
    <w:rsid w:val="001F58F1"/>
    <w:rsid w:val="001F5A0F"/>
    <w:rsid w:val="001F5B0D"/>
    <w:rsid w:val="001F5CED"/>
    <w:rsid w:val="001F5D34"/>
    <w:rsid w:val="001F5D70"/>
    <w:rsid w:val="001F5F86"/>
    <w:rsid w:val="001F6021"/>
    <w:rsid w:val="001F6113"/>
    <w:rsid w:val="001F6167"/>
    <w:rsid w:val="001F61C1"/>
    <w:rsid w:val="001F62D8"/>
    <w:rsid w:val="001F646A"/>
    <w:rsid w:val="001F66BD"/>
    <w:rsid w:val="001F66CB"/>
    <w:rsid w:val="001F6780"/>
    <w:rsid w:val="001F6896"/>
    <w:rsid w:val="001F68BA"/>
    <w:rsid w:val="001F68D2"/>
    <w:rsid w:val="001F6A98"/>
    <w:rsid w:val="001F6C6B"/>
    <w:rsid w:val="001F70DF"/>
    <w:rsid w:val="001F73B8"/>
    <w:rsid w:val="001F7479"/>
    <w:rsid w:val="001F7518"/>
    <w:rsid w:val="001F752E"/>
    <w:rsid w:val="001F7661"/>
    <w:rsid w:val="001F7856"/>
    <w:rsid w:val="001F7A4A"/>
    <w:rsid w:val="001F7AB9"/>
    <w:rsid w:val="001F7B7D"/>
    <w:rsid w:val="001F7F38"/>
    <w:rsid w:val="001F7F7B"/>
    <w:rsid w:val="002001DD"/>
    <w:rsid w:val="00200296"/>
    <w:rsid w:val="002003CD"/>
    <w:rsid w:val="002003DA"/>
    <w:rsid w:val="00200400"/>
    <w:rsid w:val="00200465"/>
    <w:rsid w:val="002005A6"/>
    <w:rsid w:val="00200628"/>
    <w:rsid w:val="00200654"/>
    <w:rsid w:val="0020072B"/>
    <w:rsid w:val="002007BD"/>
    <w:rsid w:val="00200919"/>
    <w:rsid w:val="00200939"/>
    <w:rsid w:val="00200A6C"/>
    <w:rsid w:val="00200B72"/>
    <w:rsid w:val="00200BE0"/>
    <w:rsid w:val="00200F73"/>
    <w:rsid w:val="00200F94"/>
    <w:rsid w:val="00200FCC"/>
    <w:rsid w:val="00201432"/>
    <w:rsid w:val="002016EF"/>
    <w:rsid w:val="0020170B"/>
    <w:rsid w:val="0020192B"/>
    <w:rsid w:val="00201ADB"/>
    <w:rsid w:val="00201B5C"/>
    <w:rsid w:val="00201CED"/>
    <w:rsid w:val="00201DDE"/>
    <w:rsid w:val="00201DFB"/>
    <w:rsid w:val="00201F96"/>
    <w:rsid w:val="002020C5"/>
    <w:rsid w:val="0020250C"/>
    <w:rsid w:val="00202802"/>
    <w:rsid w:val="002028E4"/>
    <w:rsid w:val="00202D4A"/>
    <w:rsid w:val="00202D59"/>
    <w:rsid w:val="00202DA8"/>
    <w:rsid w:val="00203240"/>
    <w:rsid w:val="0020377A"/>
    <w:rsid w:val="0020387E"/>
    <w:rsid w:val="0020393D"/>
    <w:rsid w:val="0020399D"/>
    <w:rsid w:val="00203ABB"/>
    <w:rsid w:val="00203ADD"/>
    <w:rsid w:val="00203C3C"/>
    <w:rsid w:val="00203D8B"/>
    <w:rsid w:val="00204012"/>
    <w:rsid w:val="0020403C"/>
    <w:rsid w:val="00204085"/>
    <w:rsid w:val="0020418C"/>
    <w:rsid w:val="00204725"/>
    <w:rsid w:val="00204771"/>
    <w:rsid w:val="002047AA"/>
    <w:rsid w:val="0020487C"/>
    <w:rsid w:val="00204A8E"/>
    <w:rsid w:val="00204B6C"/>
    <w:rsid w:val="00204B97"/>
    <w:rsid w:val="00204D4A"/>
    <w:rsid w:val="00204D5B"/>
    <w:rsid w:val="002053CF"/>
    <w:rsid w:val="00205470"/>
    <w:rsid w:val="00205589"/>
    <w:rsid w:val="0020569A"/>
    <w:rsid w:val="002058E5"/>
    <w:rsid w:val="00205B45"/>
    <w:rsid w:val="00205BA5"/>
    <w:rsid w:val="00205E02"/>
    <w:rsid w:val="00205F63"/>
    <w:rsid w:val="00205FD0"/>
    <w:rsid w:val="002060E1"/>
    <w:rsid w:val="00206284"/>
    <w:rsid w:val="00206952"/>
    <w:rsid w:val="002070DA"/>
    <w:rsid w:val="00207105"/>
    <w:rsid w:val="0020717A"/>
    <w:rsid w:val="002074C7"/>
    <w:rsid w:val="00207606"/>
    <w:rsid w:val="0020778D"/>
    <w:rsid w:val="00207982"/>
    <w:rsid w:val="0020799D"/>
    <w:rsid w:val="00207B95"/>
    <w:rsid w:val="00207E82"/>
    <w:rsid w:val="00207F47"/>
    <w:rsid w:val="002100D3"/>
    <w:rsid w:val="002100F4"/>
    <w:rsid w:val="00210102"/>
    <w:rsid w:val="00210380"/>
    <w:rsid w:val="00210381"/>
    <w:rsid w:val="0021039B"/>
    <w:rsid w:val="00210440"/>
    <w:rsid w:val="00210532"/>
    <w:rsid w:val="0021055E"/>
    <w:rsid w:val="00210655"/>
    <w:rsid w:val="002106BB"/>
    <w:rsid w:val="002106DA"/>
    <w:rsid w:val="0021075A"/>
    <w:rsid w:val="0021081D"/>
    <w:rsid w:val="0021096C"/>
    <w:rsid w:val="00210A1A"/>
    <w:rsid w:val="00210C8D"/>
    <w:rsid w:val="00210E60"/>
    <w:rsid w:val="00210F11"/>
    <w:rsid w:val="00210FAA"/>
    <w:rsid w:val="002112F3"/>
    <w:rsid w:val="00211340"/>
    <w:rsid w:val="00211398"/>
    <w:rsid w:val="0021174C"/>
    <w:rsid w:val="0021176F"/>
    <w:rsid w:val="002118DA"/>
    <w:rsid w:val="002119E4"/>
    <w:rsid w:val="00211F51"/>
    <w:rsid w:val="0021203B"/>
    <w:rsid w:val="00212155"/>
    <w:rsid w:val="002122EF"/>
    <w:rsid w:val="002126D4"/>
    <w:rsid w:val="002126F7"/>
    <w:rsid w:val="0021273A"/>
    <w:rsid w:val="002128E7"/>
    <w:rsid w:val="002129B8"/>
    <w:rsid w:val="00212B18"/>
    <w:rsid w:val="00212BD0"/>
    <w:rsid w:val="00212CB7"/>
    <w:rsid w:val="00212EED"/>
    <w:rsid w:val="00212FAD"/>
    <w:rsid w:val="00213243"/>
    <w:rsid w:val="00213252"/>
    <w:rsid w:val="0021364C"/>
    <w:rsid w:val="002138C9"/>
    <w:rsid w:val="00213B2C"/>
    <w:rsid w:val="00213B63"/>
    <w:rsid w:val="00213D79"/>
    <w:rsid w:val="00213FEE"/>
    <w:rsid w:val="00214039"/>
    <w:rsid w:val="002141A2"/>
    <w:rsid w:val="00214205"/>
    <w:rsid w:val="00214438"/>
    <w:rsid w:val="00214530"/>
    <w:rsid w:val="002146E5"/>
    <w:rsid w:val="00214770"/>
    <w:rsid w:val="002148B9"/>
    <w:rsid w:val="002148BA"/>
    <w:rsid w:val="002148ED"/>
    <w:rsid w:val="00214900"/>
    <w:rsid w:val="00214B77"/>
    <w:rsid w:val="00214C00"/>
    <w:rsid w:val="00214C49"/>
    <w:rsid w:val="00214CFF"/>
    <w:rsid w:val="0021507B"/>
    <w:rsid w:val="002151DC"/>
    <w:rsid w:val="0021557B"/>
    <w:rsid w:val="00215604"/>
    <w:rsid w:val="00215787"/>
    <w:rsid w:val="002158C6"/>
    <w:rsid w:val="002158D8"/>
    <w:rsid w:val="002158FC"/>
    <w:rsid w:val="00215A83"/>
    <w:rsid w:val="00215AA2"/>
    <w:rsid w:val="00215B9C"/>
    <w:rsid w:val="00215D6A"/>
    <w:rsid w:val="00215EFE"/>
    <w:rsid w:val="00216054"/>
    <w:rsid w:val="00216125"/>
    <w:rsid w:val="00216260"/>
    <w:rsid w:val="00216337"/>
    <w:rsid w:val="00216485"/>
    <w:rsid w:val="00216816"/>
    <w:rsid w:val="00216860"/>
    <w:rsid w:val="00216C31"/>
    <w:rsid w:val="00216C35"/>
    <w:rsid w:val="00216DB3"/>
    <w:rsid w:val="00216FD8"/>
    <w:rsid w:val="0021711E"/>
    <w:rsid w:val="00217265"/>
    <w:rsid w:val="002174E6"/>
    <w:rsid w:val="0021750D"/>
    <w:rsid w:val="00217628"/>
    <w:rsid w:val="00217698"/>
    <w:rsid w:val="002176A7"/>
    <w:rsid w:val="00217733"/>
    <w:rsid w:val="0021788D"/>
    <w:rsid w:val="00217969"/>
    <w:rsid w:val="00217A77"/>
    <w:rsid w:val="00217CC1"/>
    <w:rsid w:val="00217CE3"/>
    <w:rsid w:val="00217E64"/>
    <w:rsid w:val="00220150"/>
    <w:rsid w:val="002203FB"/>
    <w:rsid w:val="002205EB"/>
    <w:rsid w:val="0022060D"/>
    <w:rsid w:val="002207C8"/>
    <w:rsid w:val="0022089B"/>
    <w:rsid w:val="002209CA"/>
    <w:rsid w:val="00220A35"/>
    <w:rsid w:val="00220DC2"/>
    <w:rsid w:val="00220FE5"/>
    <w:rsid w:val="00221095"/>
    <w:rsid w:val="0022112C"/>
    <w:rsid w:val="0022130C"/>
    <w:rsid w:val="002213A0"/>
    <w:rsid w:val="002217AD"/>
    <w:rsid w:val="00221B05"/>
    <w:rsid w:val="00221C11"/>
    <w:rsid w:val="00221CD4"/>
    <w:rsid w:val="00221D66"/>
    <w:rsid w:val="00221E72"/>
    <w:rsid w:val="00221EF8"/>
    <w:rsid w:val="00221FF3"/>
    <w:rsid w:val="002220EA"/>
    <w:rsid w:val="0022216A"/>
    <w:rsid w:val="002221F9"/>
    <w:rsid w:val="0022222A"/>
    <w:rsid w:val="002222A5"/>
    <w:rsid w:val="00222312"/>
    <w:rsid w:val="002224C2"/>
    <w:rsid w:val="0022254D"/>
    <w:rsid w:val="00222685"/>
    <w:rsid w:val="00222854"/>
    <w:rsid w:val="00222AE0"/>
    <w:rsid w:val="00222B0F"/>
    <w:rsid w:val="00222B56"/>
    <w:rsid w:val="00222B61"/>
    <w:rsid w:val="00222C06"/>
    <w:rsid w:val="00222E6F"/>
    <w:rsid w:val="00222F7E"/>
    <w:rsid w:val="0022306D"/>
    <w:rsid w:val="002234A6"/>
    <w:rsid w:val="002235A0"/>
    <w:rsid w:val="00223619"/>
    <w:rsid w:val="00223799"/>
    <w:rsid w:val="002239B6"/>
    <w:rsid w:val="00223BC5"/>
    <w:rsid w:val="00223E18"/>
    <w:rsid w:val="00223F87"/>
    <w:rsid w:val="0022416B"/>
    <w:rsid w:val="00224386"/>
    <w:rsid w:val="0022452F"/>
    <w:rsid w:val="00224804"/>
    <w:rsid w:val="00224A11"/>
    <w:rsid w:val="00224A38"/>
    <w:rsid w:val="00224A60"/>
    <w:rsid w:val="00224A92"/>
    <w:rsid w:val="00224C4E"/>
    <w:rsid w:val="002250C2"/>
    <w:rsid w:val="00225221"/>
    <w:rsid w:val="002254CB"/>
    <w:rsid w:val="00225630"/>
    <w:rsid w:val="002259DE"/>
    <w:rsid w:val="00225AD0"/>
    <w:rsid w:val="00225B3F"/>
    <w:rsid w:val="00225B42"/>
    <w:rsid w:val="00225C08"/>
    <w:rsid w:val="00225C1C"/>
    <w:rsid w:val="00225C98"/>
    <w:rsid w:val="00225C9D"/>
    <w:rsid w:val="00225CF1"/>
    <w:rsid w:val="00225EAC"/>
    <w:rsid w:val="00225FC2"/>
    <w:rsid w:val="00225FCB"/>
    <w:rsid w:val="00226189"/>
    <w:rsid w:val="00226217"/>
    <w:rsid w:val="00226421"/>
    <w:rsid w:val="00226810"/>
    <w:rsid w:val="00226A16"/>
    <w:rsid w:val="00226E79"/>
    <w:rsid w:val="00226E7F"/>
    <w:rsid w:val="002271DD"/>
    <w:rsid w:val="002271FB"/>
    <w:rsid w:val="002272D5"/>
    <w:rsid w:val="002273AC"/>
    <w:rsid w:val="00227761"/>
    <w:rsid w:val="00227A47"/>
    <w:rsid w:val="00227A70"/>
    <w:rsid w:val="00227B14"/>
    <w:rsid w:val="00227B16"/>
    <w:rsid w:val="00227D01"/>
    <w:rsid w:val="00227D10"/>
    <w:rsid w:val="00227E51"/>
    <w:rsid w:val="00227FD4"/>
    <w:rsid w:val="00230154"/>
    <w:rsid w:val="00230169"/>
    <w:rsid w:val="00230228"/>
    <w:rsid w:val="002302C3"/>
    <w:rsid w:val="00230533"/>
    <w:rsid w:val="00230603"/>
    <w:rsid w:val="002306C1"/>
    <w:rsid w:val="00230AF9"/>
    <w:rsid w:val="00230C61"/>
    <w:rsid w:val="002310C1"/>
    <w:rsid w:val="002311D3"/>
    <w:rsid w:val="0023129D"/>
    <w:rsid w:val="00231402"/>
    <w:rsid w:val="00231608"/>
    <w:rsid w:val="002316F8"/>
    <w:rsid w:val="00231B59"/>
    <w:rsid w:val="00231F9D"/>
    <w:rsid w:val="00231FB2"/>
    <w:rsid w:val="0023202A"/>
    <w:rsid w:val="002320F5"/>
    <w:rsid w:val="00232290"/>
    <w:rsid w:val="002322CC"/>
    <w:rsid w:val="002323F5"/>
    <w:rsid w:val="00232668"/>
    <w:rsid w:val="00232851"/>
    <w:rsid w:val="00232AAB"/>
    <w:rsid w:val="00232C0D"/>
    <w:rsid w:val="0023319C"/>
    <w:rsid w:val="0023322C"/>
    <w:rsid w:val="00233296"/>
    <w:rsid w:val="002333F3"/>
    <w:rsid w:val="002335CB"/>
    <w:rsid w:val="00233714"/>
    <w:rsid w:val="00233AD7"/>
    <w:rsid w:val="00233B8E"/>
    <w:rsid w:val="00233D1E"/>
    <w:rsid w:val="00234259"/>
    <w:rsid w:val="0023431A"/>
    <w:rsid w:val="00234420"/>
    <w:rsid w:val="002344D5"/>
    <w:rsid w:val="002344FD"/>
    <w:rsid w:val="002347A6"/>
    <w:rsid w:val="00234843"/>
    <w:rsid w:val="00234A10"/>
    <w:rsid w:val="00234E63"/>
    <w:rsid w:val="00235155"/>
    <w:rsid w:val="0023531D"/>
    <w:rsid w:val="0023535A"/>
    <w:rsid w:val="002353B7"/>
    <w:rsid w:val="00235477"/>
    <w:rsid w:val="00235793"/>
    <w:rsid w:val="002358FE"/>
    <w:rsid w:val="00235957"/>
    <w:rsid w:val="002359E9"/>
    <w:rsid w:val="00235E61"/>
    <w:rsid w:val="00236065"/>
    <w:rsid w:val="002360DB"/>
    <w:rsid w:val="00236156"/>
    <w:rsid w:val="00236185"/>
    <w:rsid w:val="0023621B"/>
    <w:rsid w:val="002362D5"/>
    <w:rsid w:val="002365CD"/>
    <w:rsid w:val="00236764"/>
    <w:rsid w:val="002367D6"/>
    <w:rsid w:val="002369D7"/>
    <w:rsid w:val="00236BC1"/>
    <w:rsid w:val="00236CC6"/>
    <w:rsid w:val="00236D04"/>
    <w:rsid w:val="00236D6E"/>
    <w:rsid w:val="00236ED5"/>
    <w:rsid w:val="00236FBB"/>
    <w:rsid w:val="002370DA"/>
    <w:rsid w:val="0023725D"/>
    <w:rsid w:val="002373DD"/>
    <w:rsid w:val="00237783"/>
    <w:rsid w:val="00237F69"/>
    <w:rsid w:val="0024009E"/>
    <w:rsid w:val="002400E3"/>
    <w:rsid w:val="0024025B"/>
    <w:rsid w:val="002403D8"/>
    <w:rsid w:val="002404BB"/>
    <w:rsid w:val="00240524"/>
    <w:rsid w:val="00240544"/>
    <w:rsid w:val="0024067F"/>
    <w:rsid w:val="00240A65"/>
    <w:rsid w:val="00240A9E"/>
    <w:rsid w:val="00240F28"/>
    <w:rsid w:val="002411A1"/>
    <w:rsid w:val="00241233"/>
    <w:rsid w:val="002412A8"/>
    <w:rsid w:val="0024134A"/>
    <w:rsid w:val="0024171C"/>
    <w:rsid w:val="002417E9"/>
    <w:rsid w:val="00241B58"/>
    <w:rsid w:val="00241C96"/>
    <w:rsid w:val="00241CAB"/>
    <w:rsid w:val="00241FEE"/>
    <w:rsid w:val="0024201E"/>
    <w:rsid w:val="00242094"/>
    <w:rsid w:val="002421EF"/>
    <w:rsid w:val="0024237C"/>
    <w:rsid w:val="00242549"/>
    <w:rsid w:val="002425EA"/>
    <w:rsid w:val="00242682"/>
    <w:rsid w:val="00242969"/>
    <w:rsid w:val="00242B7C"/>
    <w:rsid w:val="00242BF1"/>
    <w:rsid w:val="00242D28"/>
    <w:rsid w:val="00242EA0"/>
    <w:rsid w:val="00243494"/>
    <w:rsid w:val="00243571"/>
    <w:rsid w:val="00243685"/>
    <w:rsid w:val="002436CD"/>
    <w:rsid w:val="00243A4A"/>
    <w:rsid w:val="00243C48"/>
    <w:rsid w:val="00243C96"/>
    <w:rsid w:val="00243E2D"/>
    <w:rsid w:val="00243F24"/>
    <w:rsid w:val="00243FA3"/>
    <w:rsid w:val="002441F9"/>
    <w:rsid w:val="00244282"/>
    <w:rsid w:val="00244466"/>
    <w:rsid w:val="0024459C"/>
    <w:rsid w:val="002447B6"/>
    <w:rsid w:val="00244980"/>
    <w:rsid w:val="00244A7C"/>
    <w:rsid w:val="00244AD9"/>
    <w:rsid w:val="00244DCE"/>
    <w:rsid w:val="0024529E"/>
    <w:rsid w:val="002454AE"/>
    <w:rsid w:val="002456A1"/>
    <w:rsid w:val="0024578B"/>
    <w:rsid w:val="00245AD0"/>
    <w:rsid w:val="00245AD1"/>
    <w:rsid w:val="00245AD9"/>
    <w:rsid w:val="00245CFA"/>
    <w:rsid w:val="00245D0E"/>
    <w:rsid w:val="00245F1D"/>
    <w:rsid w:val="00246403"/>
    <w:rsid w:val="00246656"/>
    <w:rsid w:val="0024669F"/>
    <w:rsid w:val="00246866"/>
    <w:rsid w:val="00246A05"/>
    <w:rsid w:val="00246BDF"/>
    <w:rsid w:val="00246E4C"/>
    <w:rsid w:val="00246ECE"/>
    <w:rsid w:val="00246F00"/>
    <w:rsid w:val="00246F93"/>
    <w:rsid w:val="002470BB"/>
    <w:rsid w:val="00247244"/>
    <w:rsid w:val="0024730B"/>
    <w:rsid w:val="002475A0"/>
    <w:rsid w:val="002478F4"/>
    <w:rsid w:val="002479A9"/>
    <w:rsid w:val="00247A08"/>
    <w:rsid w:val="00247B22"/>
    <w:rsid w:val="00247CC2"/>
    <w:rsid w:val="00247CF1"/>
    <w:rsid w:val="00247E33"/>
    <w:rsid w:val="00247F37"/>
    <w:rsid w:val="00247F7D"/>
    <w:rsid w:val="00250424"/>
    <w:rsid w:val="00250694"/>
    <w:rsid w:val="00250AB4"/>
    <w:rsid w:val="00250C13"/>
    <w:rsid w:val="00250C9A"/>
    <w:rsid w:val="00250D4C"/>
    <w:rsid w:val="00250DEC"/>
    <w:rsid w:val="00250E7E"/>
    <w:rsid w:val="00250F57"/>
    <w:rsid w:val="002510D6"/>
    <w:rsid w:val="0025123D"/>
    <w:rsid w:val="0025130F"/>
    <w:rsid w:val="0025162F"/>
    <w:rsid w:val="002518AA"/>
    <w:rsid w:val="00251A44"/>
    <w:rsid w:val="00251CF5"/>
    <w:rsid w:val="00251DE6"/>
    <w:rsid w:val="00251E5F"/>
    <w:rsid w:val="00251F3C"/>
    <w:rsid w:val="00251FB3"/>
    <w:rsid w:val="00251FFF"/>
    <w:rsid w:val="002521ED"/>
    <w:rsid w:val="0025237B"/>
    <w:rsid w:val="002523E7"/>
    <w:rsid w:val="002524AA"/>
    <w:rsid w:val="002526C4"/>
    <w:rsid w:val="0025274E"/>
    <w:rsid w:val="0025278A"/>
    <w:rsid w:val="002527B9"/>
    <w:rsid w:val="00252D61"/>
    <w:rsid w:val="00252E2C"/>
    <w:rsid w:val="00252EF6"/>
    <w:rsid w:val="00252F99"/>
    <w:rsid w:val="00252FD2"/>
    <w:rsid w:val="00252FF3"/>
    <w:rsid w:val="002530E7"/>
    <w:rsid w:val="002531AD"/>
    <w:rsid w:val="002532B4"/>
    <w:rsid w:val="002532D3"/>
    <w:rsid w:val="0025344E"/>
    <w:rsid w:val="00253829"/>
    <w:rsid w:val="00253A4A"/>
    <w:rsid w:val="00253ADA"/>
    <w:rsid w:val="00253D5B"/>
    <w:rsid w:val="00253FA1"/>
    <w:rsid w:val="00254272"/>
    <w:rsid w:val="0025449A"/>
    <w:rsid w:val="002545BE"/>
    <w:rsid w:val="00254637"/>
    <w:rsid w:val="00254863"/>
    <w:rsid w:val="00254875"/>
    <w:rsid w:val="0025487C"/>
    <w:rsid w:val="00254885"/>
    <w:rsid w:val="00254AE2"/>
    <w:rsid w:val="00254E4A"/>
    <w:rsid w:val="00254EEB"/>
    <w:rsid w:val="00254FB4"/>
    <w:rsid w:val="0025505D"/>
    <w:rsid w:val="002550C9"/>
    <w:rsid w:val="002555B7"/>
    <w:rsid w:val="00255620"/>
    <w:rsid w:val="00255766"/>
    <w:rsid w:val="00255769"/>
    <w:rsid w:val="002557A8"/>
    <w:rsid w:val="002558B0"/>
    <w:rsid w:val="00255910"/>
    <w:rsid w:val="00255A19"/>
    <w:rsid w:val="00255C11"/>
    <w:rsid w:val="00255C76"/>
    <w:rsid w:val="00255CD1"/>
    <w:rsid w:val="0025613F"/>
    <w:rsid w:val="00256245"/>
    <w:rsid w:val="00256359"/>
    <w:rsid w:val="00256481"/>
    <w:rsid w:val="002565FF"/>
    <w:rsid w:val="002566FF"/>
    <w:rsid w:val="002567C7"/>
    <w:rsid w:val="00256B6C"/>
    <w:rsid w:val="00256B8F"/>
    <w:rsid w:val="00256B9D"/>
    <w:rsid w:val="00256DB0"/>
    <w:rsid w:val="00256DCB"/>
    <w:rsid w:val="0025732E"/>
    <w:rsid w:val="002573C5"/>
    <w:rsid w:val="0025743B"/>
    <w:rsid w:val="002574FA"/>
    <w:rsid w:val="002574FD"/>
    <w:rsid w:val="00257541"/>
    <w:rsid w:val="0025775B"/>
    <w:rsid w:val="00257932"/>
    <w:rsid w:val="00257A7E"/>
    <w:rsid w:val="00257B10"/>
    <w:rsid w:val="00257B28"/>
    <w:rsid w:val="00257C43"/>
    <w:rsid w:val="00257D2B"/>
    <w:rsid w:val="00257D6F"/>
    <w:rsid w:val="00257F91"/>
    <w:rsid w:val="00260019"/>
    <w:rsid w:val="002601A7"/>
    <w:rsid w:val="002604D3"/>
    <w:rsid w:val="0026089D"/>
    <w:rsid w:val="002608CD"/>
    <w:rsid w:val="002609FE"/>
    <w:rsid w:val="00260DBD"/>
    <w:rsid w:val="002611E1"/>
    <w:rsid w:val="002613D9"/>
    <w:rsid w:val="00261951"/>
    <w:rsid w:val="00261990"/>
    <w:rsid w:val="00261ACF"/>
    <w:rsid w:val="00261AE0"/>
    <w:rsid w:val="00261CBE"/>
    <w:rsid w:val="00261D9D"/>
    <w:rsid w:val="00261DC6"/>
    <w:rsid w:val="00261DE8"/>
    <w:rsid w:val="00261F7D"/>
    <w:rsid w:val="00262012"/>
    <w:rsid w:val="002620C6"/>
    <w:rsid w:val="00262222"/>
    <w:rsid w:val="00262502"/>
    <w:rsid w:val="00262531"/>
    <w:rsid w:val="00262537"/>
    <w:rsid w:val="00262762"/>
    <w:rsid w:val="0026287D"/>
    <w:rsid w:val="00262921"/>
    <w:rsid w:val="00262C13"/>
    <w:rsid w:val="00262C33"/>
    <w:rsid w:val="00262CC3"/>
    <w:rsid w:val="00262D55"/>
    <w:rsid w:val="00262DF8"/>
    <w:rsid w:val="00262E81"/>
    <w:rsid w:val="00262F9D"/>
    <w:rsid w:val="0026322F"/>
    <w:rsid w:val="002632C0"/>
    <w:rsid w:val="0026386E"/>
    <w:rsid w:val="002638B1"/>
    <w:rsid w:val="0026395B"/>
    <w:rsid w:val="00263A45"/>
    <w:rsid w:val="00263D4F"/>
    <w:rsid w:val="00263DC3"/>
    <w:rsid w:val="00263E76"/>
    <w:rsid w:val="0026405E"/>
    <w:rsid w:val="00264574"/>
    <w:rsid w:val="00264623"/>
    <w:rsid w:val="00264773"/>
    <w:rsid w:val="00264970"/>
    <w:rsid w:val="0026497B"/>
    <w:rsid w:val="00264A99"/>
    <w:rsid w:val="00264AE9"/>
    <w:rsid w:val="00264C35"/>
    <w:rsid w:val="00264DDC"/>
    <w:rsid w:val="00264E52"/>
    <w:rsid w:val="00264F63"/>
    <w:rsid w:val="002650A9"/>
    <w:rsid w:val="0026530A"/>
    <w:rsid w:val="00265410"/>
    <w:rsid w:val="00265618"/>
    <w:rsid w:val="0026570F"/>
    <w:rsid w:val="00265AC8"/>
    <w:rsid w:val="00265B97"/>
    <w:rsid w:val="00265E5A"/>
    <w:rsid w:val="00265FE8"/>
    <w:rsid w:val="002660A2"/>
    <w:rsid w:val="002660B8"/>
    <w:rsid w:val="002663EE"/>
    <w:rsid w:val="002664BD"/>
    <w:rsid w:val="0026665F"/>
    <w:rsid w:val="00266735"/>
    <w:rsid w:val="002667D6"/>
    <w:rsid w:val="00266A54"/>
    <w:rsid w:val="00266B4A"/>
    <w:rsid w:val="00266C49"/>
    <w:rsid w:val="00266C9E"/>
    <w:rsid w:val="00266F1A"/>
    <w:rsid w:val="002670B8"/>
    <w:rsid w:val="002672C1"/>
    <w:rsid w:val="002672FB"/>
    <w:rsid w:val="002676BA"/>
    <w:rsid w:val="0026788D"/>
    <w:rsid w:val="002679BF"/>
    <w:rsid w:val="00267CDE"/>
    <w:rsid w:val="00267D52"/>
    <w:rsid w:val="00267D8B"/>
    <w:rsid w:val="00267DD9"/>
    <w:rsid w:val="00267E28"/>
    <w:rsid w:val="00267FBD"/>
    <w:rsid w:val="00270083"/>
    <w:rsid w:val="00270165"/>
    <w:rsid w:val="00270373"/>
    <w:rsid w:val="0027042E"/>
    <w:rsid w:val="00270552"/>
    <w:rsid w:val="00270699"/>
    <w:rsid w:val="002707D7"/>
    <w:rsid w:val="002709F8"/>
    <w:rsid w:val="00270AB3"/>
    <w:rsid w:val="00270BA2"/>
    <w:rsid w:val="00270BBC"/>
    <w:rsid w:val="00270C2D"/>
    <w:rsid w:val="00270CCC"/>
    <w:rsid w:val="00271208"/>
    <w:rsid w:val="00271376"/>
    <w:rsid w:val="002713EF"/>
    <w:rsid w:val="00271548"/>
    <w:rsid w:val="0027188B"/>
    <w:rsid w:val="00271C84"/>
    <w:rsid w:val="00271CA3"/>
    <w:rsid w:val="00271D79"/>
    <w:rsid w:val="00271EF1"/>
    <w:rsid w:val="00271F74"/>
    <w:rsid w:val="00271F84"/>
    <w:rsid w:val="002720C7"/>
    <w:rsid w:val="00272189"/>
    <w:rsid w:val="002721A0"/>
    <w:rsid w:val="00272432"/>
    <w:rsid w:val="002726EB"/>
    <w:rsid w:val="002729C7"/>
    <w:rsid w:val="002729D8"/>
    <w:rsid w:val="00272B8E"/>
    <w:rsid w:val="00272C26"/>
    <w:rsid w:val="00272D9C"/>
    <w:rsid w:val="0027331C"/>
    <w:rsid w:val="00273635"/>
    <w:rsid w:val="00273939"/>
    <w:rsid w:val="00273968"/>
    <w:rsid w:val="00273A1E"/>
    <w:rsid w:val="00273E23"/>
    <w:rsid w:val="00273EA5"/>
    <w:rsid w:val="00273EF2"/>
    <w:rsid w:val="00273FB9"/>
    <w:rsid w:val="0027410B"/>
    <w:rsid w:val="0027430A"/>
    <w:rsid w:val="00274408"/>
    <w:rsid w:val="002744CC"/>
    <w:rsid w:val="00274682"/>
    <w:rsid w:val="002747F6"/>
    <w:rsid w:val="00274834"/>
    <w:rsid w:val="0027489E"/>
    <w:rsid w:val="00274A6D"/>
    <w:rsid w:val="00274C1D"/>
    <w:rsid w:val="00274CD2"/>
    <w:rsid w:val="00274FBA"/>
    <w:rsid w:val="00275120"/>
    <w:rsid w:val="00275290"/>
    <w:rsid w:val="00275323"/>
    <w:rsid w:val="00275408"/>
    <w:rsid w:val="00275448"/>
    <w:rsid w:val="0027544A"/>
    <w:rsid w:val="0027549F"/>
    <w:rsid w:val="002755A5"/>
    <w:rsid w:val="002756BB"/>
    <w:rsid w:val="002756D7"/>
    <w:rsid w:val="0027575E"/>
    <w:rsid w:val="002759D2"/>
    <w:rsid w:val="00275AAF"/>
    <w:rsid w:val="00275C6A"/>
    <w:rsid w:val="00275F25"/>
    <w:rsid w:val="00275F27"/>
    <w:rsid w:val="00276039"/>
    <w:rsid w:val="00276120"/>
    <w:rsid w:val="002761EF"/>
    <w:rsid w:val="00276294"/>
    <w:rsid w:val="002765C5"/>
    <w:rsid w:val="002766CB"/>
    <w:rsid w:val="00276948"/>
    <w:rsid w:val="00276B4A"/>
    <w:rsid w:val="00276BCE"/>
    <w:rsid w:val="00276C3C"/>
    <w:rsid w:val="00276C3F"/>
    <w:rsid w:val="00276C8A"/>
    <w:rsid w:val="00276C8F"/>
    <w:rsid w:val="00276ED1"/>
    <w:rsid w:val="0027701C"/>
    <w:rsid w:val="00277119"/>
    <w:rsid w:val="002774BB"/>
    <w:rsid w:val="00277657"/>
    <w:rsid w:val="002776CB"/>
    <w:rsid w:val="002777E9"/>
    <w:rsid w:val="002779F7"/>
    <w:rsid w:val="00277BB7"/>
    <w:rsid w:val="00277BFA"/>
    <w:rsid w:val="00277D06"/>
    <w:rsid w:val="00277D40"/>
    <w:rsid w:val="00277E14"/>
    <w:rsid w:val="00277F63"/>
    <w:rsid w:val="00277FCC"/>
    <w:rsid w:val="00277FE8"/>
    <w:rsid w:val="0028006C"/>
    <w:rsid w:val="002801F4"/>
    <w:rsid w:val="00280312"/>
    <w:rsid w:val="00280517"/>
    <w:rsid w:val="00280599"/>
    <w:rsid w:val="002805B2"/>
    <w:rsid w:val="002806A1"/>
    <w:rsid w:val="0028072D"/>
    <w:rsid w:val="002808AE"/>
    <w:rsid w:val="002809AC"/>
    <w:rsid w:val="002809C6"/>
    <w:rsid w:val="00280B5B"/>
    <w:rsid w:val="00280BD8"/>
    <w:rsid w:val="00280D8D"/>
    <w:rsid w:val="00280F91"/>
    <w:rsid w:val="0028100C"/>
    <w:rsid w:val="0028117B"/>
    <w:rsid w:val="002813A1"/>
    <w:rsid w:val="00281476"/>
    <w:rsid w:val="00281708"/>
    <w:rsid w:val="002817CE"/>
    <w:rsid w:val="00281DCF"/>
    <w:rsid w:val="0028218E"/>
    <w:rsid w:val="0028229B"/>
    <w:rsid w:val="002822C7"/>
    <w:rsid w:val="002823DF"/>
    <w:rsid w:val="002825C5"/>
    <w:rsid w:val="00282676"/>
    <w:rsid w:val="002826DF"/>
    <w:rsid w:val="00282737"/>
    <w:rsid w:val="00282778"/>
    <w:rsid w:val="002827B2"/>
    <w:rsid w:val="00282885"/>
    <w:rsid w:val="00282C2A"/>
    <w:rsid w:val="00282CB3"/>
    <w:rsid w:val="00282D35"/>
    <w:rsid w:val="00282DDA"/>
    <w:rsid w:val="00283108"/>
    <w:rsid w:val="00283325"/>
    <w:rsid w:val="00283353"/>
    <w:rsid w:val="00283567"/>
    <w:rsid w:val="002835D9"/>
    <w:rsid w:val="002836DF"/>
    <w:rsid w:val="00283A1E"/>
    <w:rsid w:val="00283AE9"/>
    <w:rsid w:val="00283B3E"/>
    <w:rsid w:val="00283C51"/>
    <w:rsid w:val="00283D02"/>
    <w:rsid w:val="00283F95"/>
    <w:rsid w:val="00284043"/>
    <w:rsid w:val="0028411D"/>
    <w:rsid w:val="0028460E"/>
    <w:rsid w:val="0028488B"/>
    <w:rsid w:val="00284A1D"/>
    <w:rsid w:val="00284B91"/>
    <w:rsid w:val="00284C3A"/>
    <w:rsid w:val="00284D7F"/>
    <w:rsid w:val="00284E5A"/>
    <w:rsid w:val="00285213"/>
    <w:rsid w:val="0028524B"/>
    <w:rsid w:val="002854FE"/>
    <w:rsid w:val="002856E1"/>
    <w:rsid w:val="002858C0"/>
    <w:rsid w:val="00285ACB"/>
    <w:rsid w:val="00285C01"/>
    <w:rsid w:val="00285C9F"/>
    <w:rsid w:val="00285CDB"/>
    <w:rsid w:val="00285DDB"/>
    <w:rsid w:val="0028607B"/>
    <w:rsid w:val="0028608D"/>
    <w:rsid w:val="002861AB"/>
    <w:rsid w:val="0028631F"/>
    <w:rsid w:val="0028642A"/>
    <w:rsid w:val="00286905"/>
    <w:rsid w:val="0028695B"/>
    <w:rsid w:val="002869FD"/>
    <w:rsid w:val="00286CE9"/>
    <w:rsid w:val="00286D3A"/>
    <w:rsid w:val="00286D87"/>
    <w:rsid w:val="00286E55"/>
    <w:rsid w:val="00286ED2"/>
    <w:rsid w:val="0028750C"/>
    <w:rsid w:val="0028751F"/>
    <w:rsid w:val="00287596"/>
    <w:rsid w:val="00287608"/>
    <w:rsid w:val="0028777E"/>
    <w:rsid w:val="00287AEA"/>
    <w:rsid w:val="00287B28"/>
    <w:rsid w:val="00287BA8"/>
    <w:rsid w:val="00287CF0"/>
    <w:rsid w:val="00287E1E"/>
    <w:rsid w:val="00287FA6"/>
    <w:rsid w:val="00290089"/>
    <w:rsid w:val="00290098"/>
    <w:rsid w:val="002900DD"/>
    <w:rsid w:val="00290147"/>
    <w:rsid w:val="00290B63"/>
    <w:rsid w:val="00290F0D"/>
    <w:rsid w:val="00290F0F"/>
    <w:rsid w:val="00291018"/>
    <w:rsid w:val="0029105C"/>
    <w:rsid w:val="002914F8"/>
    <w:rsid w:val="0029154F"/>
    <w:rsid w:val="002918AA"/>
    <w:rsid w:val="00291928"/>
    <w:rsid w:val="00291AA2"/>
    <w:rsid w:val="00291AAE"/>
    <w:rsid w:val="00291D18"/>
    <w:rsid w:val="00291E2C"/>
    <w:rsid w:val="00291F9B"/>
    <w:rsid w:val="00292395"/>
    <w:rsid w:val="002923DF"/>
    <w:rsid w:val="002924E4"/>
    <w:rsid w:val="00292677"/>
    <w:rsid w:val="002927FB"/>
    <w:rsid w:val="0029289C"/>
    <w:rsid w:val="002928C5"/>
    <w:rsid w:val="002928F4"/>
    <w:rsid w:val="00292986"/>
    <w:rsid w:val="002929D6"/>
    <w:rsid w:val="00292C91"/>
    <w:rsid w:val="00292D02"/>
    <w:rsid w:val="00292F76"/>
    <w:rsid w:val="0029301F"/>
    <w:rsid w:val="0029311F"/>
    <w:rsid w:val="00293239"/>
    <w:rsid w:val="002932EF"/>
    <w:rsid w:val="00293301"/>
    <w:rsid w:val="0029381B"/>
    <w:rsid w:val="00293A1D"/>
    <w:rsid w:val="00293CBD"/>
    <w:rsid w:val="00293D02"/>
    <w:rsid w:val="00293DCB"/>
    <w:rsid w:val="00293EB2"/>
    <w:rsid w:val="0029431B"/>
    <w:rsid w:val="002943B0"/>
    <w:rsid w:val="0029452D"/>
    <w:rsid w:val="00294559"/>
    <w:rsid w:val="00294560"/>
    <w:rsid w:val="002946C5"/>
    <w:rsid w:val="0029489C"/>
    <w:rsid w:val="00294E6C"/>
    <w:rsid w:val="00294E76"/>
    <w:rsid w:val="00294ED6"/>
    <w:rsid w:val="00294FA3"/>
    <w:rsid w:val="00294FC3"/>
    <w:rsid w:val="00295235"/>
    <w:rsid w:val="00295C90"/>
    <w:rsid w:val="00295E57"/>
    <w:rsid w:val="00295F75"/>
    <w:rsid w:val="002961E7"/>
    <w:rsid w:val="002963EC"/>
    <w:rsid w:val="00296418"/>
    <w:rsid w:val="0029649C"/>
    <w:rsid w:val="0029653A"/>
    <w:rsid w:val="00296652"/>
    <w:rsid w:val="00296C2A"/>
    <w:rsid w:val="00296ED4"/>
    <w:rsid w:val="00296FE1"/>
    <w:rsid w:val="0029704A"/>
    <w:rsid w:val="00297100"/>
    <w:rsid w:val="00297134"/>
    <w:rsid w:val="00297229"/>
    <w:rsid w:val="002974A7"/>
    <w:rsid w:val="002974EC"/>
    <w:rsid w:val="002974F7"/>
    <w:rsid w:val="002979A4"/>
    <w:rsid w:val="00297D44"/>
    <w:rsid w:val="00297E9B"/>
    <w:rsid w:val="00297F46"/>
    <w:rsid w:val="002A021C"/>
    <w:rsid w:val="002A0228"/>
    <w:rsid w:val="002A02EC"/>
    <w:rsid w:val="002A0403"/>
    <w:rsid w:val="002A0545"/>
    <w:rsid w:val="002A099B"/>
    <w:rsid w:val="002A0D02"/>
    <w:rsid w:val="002A104F"/>
    <w:rsid w:val="002A1162"/>
    <w:rsid w:val="002A13DC"/>
    <w:rsid w:val="002A14E1"/>
    <w:rsid w:val="002A16E7"/>
    <w:rsid w:val="002A1775"/>
    <w:rsid w:val="002A1835"/>
    <w:rsid w:val="002A191B"/>
    <w:rsid w:val="002A192E"/>
    <w:rsid w:val="002A1C6E"/>
    <w:rsid w:val="002A1D90"/>
    <w:rsid w:val="002A2303"/>
    <w:rsid w:val="002A2665"/>
    <w:rsid w:val="002A282D"/>
    <w:rsid w:val="002A2A8D"/>
    <w:rsid w:val="002A2C50"/>
    <w:rsid w:val="002A2CE7"/>
    <w:rsid w:val="002A2DD2"/>
    <w:rsid w:val="002A2E4D"/>
    <w:rsid w:val="002A2F7B"/>
    <w:rsid w:val="002A2FFE"/>
    <w:rsid w:val="002A3026"/>
    <w:rsid w:val="002A3047"/>
    <w:rsid w:val="002A31BA"/>
    <w:rsid w:val="002A327A"/>
    <w:rsid w:val="002A3425"/>
    <w:rsid w:val="002A34E5"/>
    <w:rsid w:val="002A38EE"/>
    <w:rsid w:val="002A390D"/>
    <w:rsid w:val="002A391F"/>
    <w:rsid w:val="002A3A58"/>
    <w:rsid w:val="002A3BA0"/>
    <w:rsid w:val="002A3C0C"/>
    <w:rsid w:val="002A3EEA"/>
    <w:rsid w:val="002A3F16"/>
    <w:rsid w:val="002A42B6"/>
    <w:rsid w:val="002A4309"/>
    <w:rsid w:val="002A43F3"/>
    <w:rsid w:val="002A4503"/>
    <w:rsid w:val="002A47BE"/>
    <w:rsid w:val="002A4B4A"/>
    <w:rsid w:val="002A4E0B"/>
    <w:rsid w:val="002A4E8D"/>
    <w:rsid w:val="002A52CD"/>
    <w:rsid w:val="002A566C"/>
    <w:rsid w:val="002A56A7"/>
    <w:rsid w:val="002A5763"/>
    <w:rsid w:val="002A57F2"/>
    <w:rsid w:val="002A5A12"/>
    <w:rsid w:val="002A5A1A"/>
    <w:rsid w:val="002A5A72"/>
    <w:rsid w:val="002A5A8E"/>
    <w:rsid w:val="002A5AEC"/>
    <w:rsid w:val="002A5B8E"/>
    <w:rsid w:val="002A5F0B"/>
    <w:rsid w:val="002A6017"/>
    <w:rsid w:val="002A60CF"/>
    <w:rsid w:val="002A611A"/>
    <w:rsid w:val="002A62F0"/>
    <w:rsid w:val="002A632E"/>
    <w:rsid w:val="002A6511"/>
    <w:rsid w:val="002A67BE"/>
    <w:rsid w:val="002A6871"/>
    <w:rsid w:val="002A6E10"/>
    <w:rsid w:val="002A7551"/>
    <w:rsid w:val="002A7718"/>
    <w:rsid w:val="002A7897"/>
    <w:rsid w:val="002A78B9"/>
    <w:rsid w:val="002A7AC5"/>
    <w:rsid w:val="002A7EB2"/>
    <w:rsid w:val="002A7EE9"/>
    <w:rsid w:val="002A7F85"/>
    <w:rsid w:val="002A7FCD"/>
    <w:rsid w:val="002B02C0"/>
    <w:rsid w:val="002B05B8"/>
    <w:rsid w:val="002B0A73"/>
    <w:rsid w:val="002B0E4E"/>
    <w:rsid w:val="002B109B"/>
    <w:rsid w:val="002B128C"/>
    <w:rsid w:val="002B13E3"/>
    <w:rsid w:val="002B14E2"/>
    <w:rsid w:val="002B14E9"/>
    <w:rsid w:val="002B152F"/>
    <w:rsid w:val="002B15CA"/>
    <w:rsid w:val="002B1A12"/>
    <w:rsid w:val="002B1B6C"/>
    <w:rsid w:val="002B1D1C"/>
    <w:rsid w:val="002B1DD6"/>
    <w:rsid w:val="002B1DDC"/>
    <w:rsid w:val="002B201B"/>
    <w:rsid w:val="002B2047"/>
    <w:rsid w:val="002B211B"/>
    <w:rsid w:val="002B2181"/>
    <w:rsid w:val="002B2522"/>
    <w:rsid w:val="002B255B"/>
    <w:rsid w:val="002B26D4"/>
    <w:rsid w:val="002B2DA0"/>
    <w:rsid w:val="002B2F2F"/>
    <w:rsid w:val="002B30A3"/>
    <w:rsid w:val="002B313F"/>
    <w:rsid w:val="002B3321"/>
    <w:rsid w:val="002B3526"/>
    <w:rsid w:val="002B3851"/>
    <w:rsid w:val="002B39A3"/>
    <w:rsid w:val="002B3A2C"/>
    <w:rsid w:val="002B3A2F"/>
    <w:rsid w:val="002B3C93"/>
    <w:rsid w:val="002B3D59"/>
    <w:rsid w:val="002B3F12"/>
    <w:rsid w:val="002B4795"/>
    <w:rsid w:val="002B4941"/>
    <w:rsid w:val="002B4AC0"/>
    <w:rsid w:val="002B4ADE"/>
    <w:rsid w:val="002B4E57"/>
    <w:rsid w:val="002B4EA7"/>
    <w:rsid w:val="002B4F0D"/>
    <w:rsid w:val="002B4F28"/>
    <w:rsid w:val="002B4F5C"/>
    <w:rsid w:val="002B50E6"/>
    <w:rsid w:val="002B5130"/>
    <w:rsid w:val="002B56CA"/>
    <w:rsid w:val="002B56F1"/>
    <w:rsid w:val="002B575C"/>
    <w:rsid w:val="002B593A"/>
    <w:rsid w:val="002B59CE"/>
    <w:rsid w:val="002B5C02"/>
    <w:rsid w:val="002B5C6A"/>
    <w:rsid w:val="002B5D11"/>
    <w:rsid w:val="002B5D74"/>
    <w:rsid w:val="002B5D91"/>
    <w:rsid w:val="002B5E74"/>
    <w:rsid w:val="002B5EA0"/>
    <w:rsid w:val="002B5EA4"/>
    <w:rsid w:val="002B6075"/>
    <w:rsid w:val="002B6080"/>
    <w:rsid w:val="002B65EF"/>
    <w:rsid w:val="002B665D"/>
    <w:rsid w:val="002B67B7"/>
    <w:rsid w:val="002B67CA"/>
    <w:rsid w:val="002B6817"/>
    <w:rsid w:val="002B69A4"/>
    <w:rsid w:val="002B69DC"/>
    <w:rsid w:val="002B69F2"/>
    <w:rsid w:val="002B6A6D"/>
    <w:rsid w:val="002B6B35"/>
    <w:rsid w:val="002B6CD0"/>
    <w:rsid w:val="002B6D6F"/>
    <w:rsid w:val="002B6FCE"/>
    <w:rsid w:val="002B719A"/>
    <w:rsid w:val="002B71B2"/>
    <w:rsid w:val="002B7429"/>
    <w:rsid w:val="002B7499"/>
    <w:rsid w:val="002B755D"/>
    <w:rsid w:val="002B7A0E"/>
    <w:rsid w:val="002B7A92"/>
    <w:rsid w:val="002B7AA9"/>
    <w:rsid w:val="002B7ADB"/>
    <w:rsid w:val="002B7D6F"/>
    <w:rsid w:val="002B7F83"/>
    <w:rsid w:val="002B7FDA"/>
    <w:rsid w:val="002C00F5"/>
    <w:rsid w:val="002C026E"/>
    <w:rsid w:val="002C0280"/>
    <w:rsid w:val="002C0450"/>
    <w:rsid w:val="002C0488"/>
    <w:rsid w:val="002C0693"/>
    <w:rsid w:val="002C06B7"/>
    <w:rsid w:val="002C06E3"/>
    <w:rsid w:val="002C0851"/>
    <w:rsid w:val="002C0AC4"/>
    <w:rsid w:val="002C0AD6"/>
    <w:rsid w:val="002C0B48"/>
    <w:rsid w:val="002C0CB2"/>
    <w:rsid w:val="002C0CCC"/>
    <w:rsid w:val="002C0DDD"/>
    <w:rsid w:val="002C0F6F"/>
    <w:rsid w:val="002C11BC"/>
    <w:rsid w:val="002C124C"/>
    <w:rsid w:val="002C1543"/>
    <w:rsid w:val="002C176E"/>
    <w:rsid w:val="002C17B4"/>
    <w:rsid w:val="002C17C7"/>
    <w:rsid w:val="002C193C"/>
    <w:rsid w:val="002C1A34"/>
    <w:rsid w:val="002C1B93"/>
    <w:rsid w:val="002C1BA1"/>
    <w:rsid w:val="002C1D2F"/>
    <w:rsid w:val="002C1E15"/>
    <w:rsid w:val="002C1F80"/>
    <w:rsid w:val="002C203F"/>
    <w:rsid w:val="002C208B"/>
    <w:rsid w:val="002C21D1"/>
    <w:rsid w:val="002C2314"/>
    <w:rsid w:val="002C23C3"/>
    <w:rsid w:val="002C2436"/>
    <w:rsid w:val="002C24B8"/>
    <w:rsid w:val="002C2820"/>
    <w:rsid w:val="002C2986"/>
    <w:rsid w:val="002C2D1C"/>
    <w:rsid w:val="002C2E27"/>
    <w:rsid w:val="002C2E49"/>
    <w:rsid w:val="002C2FCF"/>
    <w:rsid w:val="002C30A6"/>
    <w:rsid w:val="002C3164"/>
    <w:rsid w:val="002C33BD"/>
    <w:rsid w:val="002C349E"/>
    <w:rsid w:val="002C34C2"/>
    <w:rsid w:val="002C3640"/>
    <w:rsid w:val="002C38DE"/>
    <w:rsid w:val="002C3A02"/>
    <w:rsid w:val="002C3AAD"/>
    <w:rsid w:val="002C3C4F"/>
    <w:rsid w:val="002C3CB0"/>
    <w:rsid w:val="002C4341"/>
    <w:rsid w:val="002C48BE"/>
    <w:rsid w:val="002C495E"/>
    <w:rsid w:val="002C49A3"/>
    <w:rsid w:val="002C4B48"/>
    <w:rsid w:val="002C4C83"/>
    <w:rsid w:val="002C5105"/>
    <w:rsid w:val="002C518E"/>
    <w:rsid w:val="002C51A6"/>
    <w:rsid w:val="002C53CF"/>
    <w:rsid w:val="002C5609"/>
    <w:rsid w:val="002C58F6"/>
    <w:rsid w:val="002C5985"/>
    <w:rsid w:val="002C5C4D"/>
    <w:rsid w:val="002C5DFF"/>
    <w:rsid w:val="002C61FD"/>
    <w:rsid w:val="002C6266"/>
    <w:rsid w:val="002C62FC"/>
    <w:rsid w:val="002C657C"/>
    <w:rsid w:val="002C6795"/>
    <w:rsid w:val="002C691A"/>
    <w:rsid w:val="002C6B76"/>
    <w:rsid w:val="002C6E11"/>
    <w:rsid w:val="002C6F21"/>
    <w:rsid w:val="002C6FB4"/>
    <w:rsid w:val="002C719E"/>
    <w:rsid w:val="002C726D"/>
    <w:rsid w:val="002C73C0"/>
    <w:rsid w:val="002C74B7"/>
    <w:rsid w:val="002C7578"/>
    <w:rsid w:val="002C76D4"/>
    <w:rsid w:val="002C772A"/>
    <w:rsid w:val="002C7981"/>
    <w:rsid w:val="002C7C13"/>
    <w:rsid w:val="002C7C2F"/>
    <w:rsid w:val="002D0070"/>
    <w:rsid w:val="002D01CF"/>
    <w:rsid w:val="002D03A3"/>
    <w:rsid w:val="002D03CC"/>
    <w:rsid w:val="002D045E"/>
    <w:rsid w:val="002D04B5"/>
    <w:rsid w:val="002D0C4F"/>
    <w:rsid w:val="002D0D89"/>
    <w:rsid w:val="002D0E31"/>
    <w:rsid w:val="002D0EF2"/>
    <w:rsid w:val="002D0FB3"/>
    <w:rsid w:val="002D10B0"/>
    <w:rsid w:val="002D1226"/>
    <w:rsid w:val="002D1242"/>
    <w:rsid w:val="002D15E8"/>
    <w:rsid w:val="002D1AA7"/>
    <w:rsid w:val="002D1B56"/>
    <w:rsid w:val="002D1B5F"/>
    <w:rsid w:val="002D1FEE"/>
    <w:rsid w:val="002D2132"/>
    <w:rsid w:val="002D221F"/>
    <w:rsid w:val="002D224E"/>
    <w:rsid w:val="002D22B5"/>
    <w:rsid w:val="002D239F"/>
    <w:rsid w:val="002D23E6"/>
    <w:rsid w:val="002D24AC"/>
    <w:rsid w:val="002D2514"/>
    <w:rsid w:val="002D259E"/>
    <w:rsid w:val="002D25C1"/>
    <w:rsid w:val="002D25ED"/>
    <w:rsid w:val="002D2668"/>
    <w:rsid w:val="002D268F"/>
    <w:rsid w:val="002D2A3F"/>
    <w:rsid w:val="002D2A7B"/>
    <w:rsid w:val="002D2C9B"/>
    <w:rsid w:val="002D2D56"/>
    <w:rsid w:val="002D2E4E"/>
    <w:rsid w:val="002D2EA8"/>
    <w:rsid w:val="002D2EDC"/>
    <w:rsid w:val="002D2FCA"/>
    <w:rsid w:val="002D30BF"/>
    <w:rsid w:val="002D3322"/>
    <w:rsid w:val="002D3374"/>
    <w:rsid w:val="002D349E"/>
    <w:rsid w:val="002D34C7"/>
    <w:rsid w:val="002D37CF"/>
    <w:rsid w:val="002D38AB"/>
    <w:rsid w:val="002D399F"/>
    <w:rsid w:val="002D39BF"/>
    <w:rsid w:val="002D3A84"/>
    <w:rsid w:val="002D3A91"/>
    <w:rsid w:val="002D3C3C"/>
    <w:rsid w:val="002D3D48"/>
    <w:rsid w:val="002D3DBD"/>
    <w:rsid w:val="002D3E4A"/>
    <w:rsid w:val="002D3F54"/>
    <w:rsid w:val="002D408F"/>
    <w:rsid w:val="002D41F8"/>
    <w:rsid w:val="002D42A7"/>
    <w:rsid w:val="002D4482"/>
    <w:rsid w:val="002D455C"/>
    <w:rsid w:val="002D46F3"/>
    <w:rsid w:val="002D47C7"/>
    <w:rsid w:val="002D4938"/>
    <w:rsid w:val="002D4980"/>
    <w:rsid w:val="002D4CF2"/>
    <w:rsid w:val="002D4D62"/>
    <w:rsid w:val="002D50F3"/>
    <w:rsid w:val="002D5240"/>
    <w:rsid w:val="002D5468"/>
    <w:rsid w:val="002D5583"/>
    <w:rsid w:val="002D55C6"/>
    <w:rsid w:val="002D56B5"/>
    <w:rsid w:val="002D56DF"/>
    <w:rsid w:val="002D5714"/>
    <w:rsid w:val="002D5937"/>
    <w:rsid w:val="002D655E"/>
    <w:rsid w:val="002D658A"/>
    <w:rsid w:val="002D663D"/>
    <w:rsid w:val="002D6868"/>
    <w:rsid w:val="002D6A6F"/>
    <w:rsid w:val="002D70C2"/>
    <w:rsid w:val="002D710C"/>
    <w:rsid w:val="002D7120"/>
    <w:rsid w:val="002D7173"/>
    <w:rsid w:val="002D7340"/>
    <w:rsid w:val="002D735B"/>
    <w:rsid w:val="002D7430"/>
    <w:rsid w:val="002D74EF"/>
    <w:rsid w:val="002D754C"/>
    <w:rsid w:val="002D76FC"/>
    <w:rsid w:val="002D7710"/>
    <w:rsid w:val="002D7823"/>
    <w:rsid w:val="002D799C"/>
    <w:rsid w:val="002D7C65"/>
    <w:rsid w:val="002D7CE3"/>
    <w:rsid w:val="002D7F76"/>
    <w:rsid w:val="002D7FBB"/>
    <w:rsid w:val="002E000D"/>
    <w:rsid w:val="002E006E"/>
    <w:rsid w:val="002E012D"/>
    <w:rsid w:val="002E0237"/>
    <w:rsid w:val="002E02D9"/>
    <w:rsid w:val="002E0373"/>
    <w:rsid w:val="002E0383"/>
    <w:rsid w:val="002E03F6"/>
    <w:rsid w:val="002E0506"/>
    <w:rsid w:val="002E0520"/>
    <w:rsid w:val="002E056D"/>
    <w:rsid w:val="002E07CC"/>
    <w:rsid w:val="002E09EB"/>
    <w:rsid w:val="002E0F08"/>
    <w:rsid w:val="002E1265"/>
    <w:rsid w:val="002E126A"/>
    <w:rsid w:val="002E12D1"/>
    <w:rsid w:val="002E153B"/>
    <w:rsid w:val="002E15EA"/>
    <w:rsid w:val="002E18C1"/>
    <w:rsid w:val="002E1961"/>
    <w:rsid w:val="002E1982"/>
    <w:rsid w:val="002E1993"/>
    <w:rsid w:val="002E1D4B"/>
    <w:rsid w:val="002E219A"/>
    <w:rsid w:val="002E2257"/>
    <w:rsid w:val="002E27A3"/>
    <w:rsid w:val="002E284A"/>
    <w:rsid w:val="002E28EC"/>
    <w:rsid w:val="002E28FB"/>
    <w:rsid w:val="002E2C0A"/>
    <w:rsid w:val="002E2FCA"/>
    <w:rsid w:val="002E2FE2"/>
    <w:rsid w:val="002E31F1"/>
    <w:rsid w:val="002E3225"/>
    <w:rsid w:val="002E3227"/>
    <w:rsid w:val="002E33EC"/>
    <w:rsid w:val="002E34C4"/>
    <w:rsid w:val="002E3553"/>
    <w:rsid w:val="002E36D3"/>
    <w:rsid w:val="002E36FE"/>
    <w:rsid w:val="002E386A"/>
    <w:rsid w:val="002E389F"/>
    <w:rsid w:val="002E39F3"/>
    <w:rsid w:val="002E39FF"/>
    <w:rsid w:val="002E3B43"/>
    <w:rsid w:val="002E3E91"/>
    <w:rsid w:val="002E3EB9"/>
    <w:rsid w:val="002E4049"/>
    <w:rsid w:val="002E4061"/>
    <w:rsid w:val="002E4293"/>
    <w:rsid w:val="002E42D4"/>
    <w:rsid w:val="002E43B7"/>
    <w:rsid w:val="002E4638"/>
    <w:rsid w:val="002E46C5"/>
    <w:rsid w:val="002E4770"/>
    <w:rsid w:val="002E4C2D"/>
    <w:rsid w:val="002E4E68"/>
    <w:rsid w:val="002E4EF9"/>
    <w:rsid w:val="002E5285"/>
    <w:rsid w:val="002E52E9"/>
    <w:rsid w:val="002E5457"/>
    <w:rsid w:val="002E54B7"/>
    <w:rsid w:val="002E583E"/>
    <w:rsid w:val="002E5A23"/>
    <w:rsid w:val="002E5C3D"/>
    <w:rsid w:val="002E5D32"/>
    <w:rsid w:val="002E5DEA"/>
    <w:rsid w:val="002E6138"/>
    <w:rsid w:val="002E613D"/>
    <w:rsid w:val="002E6750"/>
    <w:rsid w:val="002E6BAA"/>
    <w:rsid w:val="002E6F36"/>
    <w:rsid w:val="002E6F6B"/>
    <w:rsid w:val="002E6FD9"/>
    <w:rsid w:val="002E7097"/>
    <w:rsid w:val="002E71F4"/>
    <w:rsid w:val="002E724A"/>
    <w:rsid w:val="002E747F"/>
    <w:rsid w:val="002E7516"/>
    <w:rsid w:val="002E7543"/>
    <w:rsid w:val="002E7725"/>
    <w:rsid w:val="002E7934"/>
    <w:rsid w:val="002E7A84"/>
    <w:rsid w:val="002E7B12"/>
    <w:rsid w:val="002F007C"/>
    <w:rsid w:val="002F01F6"/>
    <w:rsid w:val="002F03F5"/>
    <w:rsid w:val="002F0445"/>
    <w:rsid w:val="002F04D5"/>
    <w:rsid w:val="002F078A"/>
    <w:rsid w:val="002F08CB"/>
    <w:rsid w:val="002F0B2C"/>
    <w:rsid w:val="002F0DCE"/>
    <w:rsid w:val="002F11A9"/>
    <w:rsid w:val="002F14E4"/>
    <w:rsid w:val="002F193E"/>
    <w:rsid w:val="002F1B5E"/>
    <w:rsid w:val="002F1C76"/>
    <w:rsid w:val="002F1C9D"/>
    <w:rsid w:val="002F1CA2"/>
    <w:rsid w:val="002F26E6"/>
    <w:rsid w:val="002F2782"/>
    <w:rsid w:val="002F2829"/>
    <w:rsid w:val="002F28AB"/>
    <w:rsid w:val="002F28CD"/>
    <w:rsid w:val="002F2AC9"/>
    <w:rsid w:val="002F2D7F"/>
    <w:rsid w:val="002F2F04"/>
    <w:rsid w:val="002F2FDA"/>
    <w:rsid w:val="002F311E"/>
    <w:rsid w:val="002F313A"/>
    <w:rsid w:val="002F314D"/>
    <w:rsid w:val="002F3207"/>
    <w:rsid w:val="002F345B"/>
    <w:rsid w:val="002F36C4"/>
    <w:rsid w:val="002F3759"/>
    <w:rsid w:val="002F3780"/>
    <w:rsid w:val="002F3926"/>
    <w:rsid w:val="002F3ABC"/>
    <w:rsid w:val="002F3CCD"/>
    <w:rsid w:val="002F3D11"/>
    <w:rsid w:val="002F3EFC"/>
    <w:rsid w:val="002F3FB7"/>
    <w:rsid w:val="002F41C2"/>
    <w:rsid w:val="002F44AC"/>
    <w:rsid w:val="002F4515"/>
    <w:rsid w:val="002F46BE"/>
    <w:rsid w:val="002F4906"/>
    <w:rsid w:val="002F4936"/>
    <w:rsid w:val="002F4A42"/>
    <w:rsid w:val="002F4A56"/>
    <w:rsid w:val="002F4C36"/>
    <w:rsid w:val="002F4D39"/>
    <w:rsid w:val="002F4E80"/>
    <w:rsid w:val="002F50FD"/>
    <w:rsid w:val="002F5284"/>
    <w:rsid w:val="002F531E"/>
    <w:rsid w:val="002F533B"/>
    <w:rsid w:val="002F5399"/>
    <w:rsid w:val="002F5CDA"/>
    <w:rsid w:val="002F5FEC"/>
    <w:rsid w:val="002F622B"/>
    <w:rsid w:val="002F665E"/>
    <w:rsid w:val="002F666F"/>
    <w:rsid w:val="002F68D1"/>
    <w:rsid w:val="002F6957"/>
    <w:rsid w:val="002F6972"/>
    <w:rsid w:val="002F69E9"/>
    <w:rsid w:val="002F6A0C"/>
    <w:rsid w:val="002F6C92"/>
    <w:rsid w:val="002F6D4B"/>
    <w:rsid w:val="002F6DAF"/>
    <w:rsid w:val="002F6F48"/>
    <w:rsid w:val="002F7013"/>
    <w:rsid w:val="002F7025"/>
    <w:rsid w:val="002F71B8"/>
    <w:rsid w:val="002F71F4"/>
    <w:rsid w:val="002F72FD"/>
    <w:rsid w:val="002F73FD"/>
    <w:rsid w:val="002F787C"/>
    <w:rsid w:val="002F7912"/>
    <w:rsid w:val="002F7A14"/>
    <w:rsid w:val="002F7AF4"/>
    <w:rsid w:val="002F7B46"/>
    <w:rsid w:val="003002CF"/>
    <w:rsid w:val="00300718"/>
    <w:rsid w:val="003007D2"/>
    <w:rsid w:val="00300971"/>
    <w:rsid w:val="003009B0"/>
    <w:rsid w:val="00300C08"/>
    <w:rsid w:val="00300E52"/>
    <w:rsid w:val="003012CC"/>
    <w:rsid w:val="003014C5"/>
    <w:rsid w:val="0030156D"/>
    <w:rsid w:val="003016D2"/>
    <w:rsid w:val="003016DF"/>
    <w:rsid w:val="0030172E"/>
    <w:rsid w:val="00301C4A"/>
    <w:rsid w:val="00301D6C"/>
    <w:rsid w:val="00301EA1"/>
    <w:rsid w:val="00301F26"/>
    <w:rsid w:val="00301FA9"/>
    <w:rsid w:val="00301FC1"/>
    <w:rsid w:val="00301FC9"/>
    <w:rsid w:val="00302312"/>
    <w:rsid w:val="00302442"/>
    <w:rsid w:val="0030259F"/>
    <w:rsid w:val="00302678"/>
    <w:rsid w:val="0030292E"/>
    <w:rsid w:val="003029DF"/>
    <w:rsid w:val="00302C4C"/>
    <w:rsid w:val="00302CC1"/>
    <w:rsid w:val="00302D0F"/>
    <w:rsid w:val="00302F29"/>
    <w:rsid w:val="00302FCC"/>
    <w:rsid w:val="00303140"/>
    <w:rsid w:val="00303346"/>
    <w:rsid w:val="00303388"/>
    <w:rsid w:val="003033CF"/>
    <w:rsid w:val="003034AB"/>
    <w:rsid w:val="003034FC"/>
    <w:rsid w:val="003035C6"/>
    <w:rsid w:val="00303648"/>
    <w:rsid w:val="0030372F"/>
    <w:rsid w:val="00303781"/>
    <w:rsid w:val="00303864"/>
    <w:rsid w:val="0030386F"/>
    <w:rsid w:val="00303A0C"/>
    <w:rsid w:val="00303AD6"/>
    <w:rsid w:val="00303B20"/>
    <w:rsid w:val="00303C16"/>
    <w:rsid w:val="00303EB0"/>
    <w:rsid w:val="00303EC2"/>
    <w:rsid w:val="00303ECF"/>
    <w:rsid w:val="00304074"/>
    <w:rsid w:val="00304222"/>
    <w:rsid w:val="003042E6"/>
    <w:rsid w:val="00304371"/>
    <w:rsid w:val="00304601"/>
    <w:rsid w:val="00304656"/>
    <w:rsid w:val="003046F4"/>
    <w:rsid w:val="00304753"/>
    <w:rsid w:val="00304765"/>
    <w:rsid w:val="003048D1"/>
    <w:rsid w:val="00304B63"/>
    <w:rsid w:val="00304B7D"/>
    <w:rsid w:val="00304C6A"/>
    <w:rsid w:val="00304CD3"/>
    <w:rsid w:val="00304D97"/>
    <w:rsid w:val="00304E4F"/>
    <w:rsid w:val="00304F42"/>
    <w:rsid w:val="003050BD"/>
    <w:rsid w:val="003051B9"/>
    <w:rsid w:val="003051C6"/>
    <w:rsid w:val="00305286"/>
    <w:rsid w:val="00305484"/>
    <w:rsid w:val="00305635"/>
    <w:rsid w:val="003056AC"/>
    <w:rsid w:val="0030597B"/>
    <w:rsid w:val="00305D8B"/>
    <w:rsid w:val="00305E07"/>
    <w:rsid w:val="0030607B"/>
    <w:rsid w:val="00306208"/>
    <w:rsid w:val="00306219"/>
    <w:rsid w:val="00306240"/>
    <w:rsid w:val="003062AE"/>
    <w:rsid w:val="00306429"/>
    <w:rsid w:val="00306504"/>
    <w:rsid w:val="0030663A"/>
    <w:rsid w:val="003066D2"/>
    <w:rsid w:val="00306751"/>
    <w:rsid w:val="00306B08"/>
    <w:rsid w:val="00307216"/>
    <w:rsid w:val="003072E2"/>
    <w:rsid w:val="0030730C"/>
    <w:rsid w:val="00307748"/>
    <w:rsid w:val="00307A6B"/>
    <w:rsid w:val="00307AB2"/>
    <w:rsid w:val="00307B4C"/>
    <w:rsid w:val="00307C3E"/>
    <w:rsid w:val="00307DB8"/>
    <w:rsid w:val="00310010"/>
    <w:rsid w:val="0031033B"/>
    <w:rsid w:val="0031060A"/>
    <w:rsid w:val="00310651"/>
    <w:rsid w:val="00310722"/>
    <w:rsid w:val="0031079E"/>
    <w:rsid w:val="00310855"/>
    <w:rsid w:val="00310894"/>
    <w:rsid w:val="00310969"/>
    <w:rsid w:val="00310B93"/>
    <w:rsid w:val="00310D68"/>
    <w:rsid w:val="00310E37"/>
    <w:rsid w:val="00310F50"/>
    <w:rsid w:val="00310FAC"/>
    <w:rsid w:val="00311083"/>
    <w:rsid w:val="003111AA"/>
    <w:rsid w:val="003112B7"/>
    <w:rsid w:val="00311400"/>
    <w:rsid w:val="0031142F"/>
    <w:rsid w:val="003118DE"/>
    <w:rsid w:val="003118F7"/>
    <w:rsid w:val="003119DA"/>
    <w:rsid w:val="00311EF5"/>
    <w:rsid w:val="0031225D"/>
    <w:rsid w:val="0031261C"/>
    <w:rsid w:val="003126E4"/>
    <w:rsid w:val="003128BF"/>
    <w:rsid w:val="003128CA"/>
    <w:rsid w:val="00312BE1"/>
    <w:rsid w:val="00312DA5"/>
    <w:rsid w:val="00312FC3"/>
    <w:rsid w:val="00312FF9"/>
    <w:rsid w:val="0031330C"/>
    <w:rsid w:val="003133CB"/>
    <w:rsid w:val="00313518"/>
    <w:rsid w:val="003137CF"/>
    <w:rsid w:val="0031380C"/>
    <w:rsid w:val="003138F7"/>
    <w:rsid w:val="00313C68"/>
    <w:rsid w:val="00313E71"/>
    <w:rsid w:val="00314198"/>
    <w:rsid w:val="0031454E"/>
    <w:rsid w:val="003146B5"/>
    <w:rsid w:val="0031480D"/>
    <w:rsid w:val="003148F2"/>
    <w:rsid w:val="00314A66"/>
    <w:rsid w:val="00314B8D"/>
    <w:rsid w:val="00314BFC"/>
    <w:rsid w:val="00314CA2"/>
    <w:rsid w:val="00314CDC"/>
    <w:rsid w:val="00314D82"/>
    <w:rsid w:val="00314FF6"/>
    <w:rsid w:val="00315049"/>
    <w:rsid w:val="00315054"/>
    <w:rsid w:val="003153BF"/>
    <w:rsid w:val="0031541F"/>
    <w:rsid w:val="003154FC"/>
    <w:rsid w:val="00315514"/>
    <w:rsid w:val="00315533"/>
    <w:rsid w:val="003155E9"/>
    <w:rsid w:val="003155EF"/>
    <w:rsid w:val="003155FB"/>
    <w:rsid w:val="003156BC"/>
    <w:rsid w:val="003159B5"/>
    <w:rsid w:val="00315C17"/>
    <w:rsid w:val="00315CFE"/>
    <w:rsid w:val="00315E98"/>
    <w:rsid w:val="0031612C"/>
    <w:rsid w:val="003162EB"/>
    <w:rsid w:val="00316B56"/>
    <w:rsid w:val="00316B7B"/>
    <w:rsid w:val="00316C2D"/>
    <w:rsid w:val="0031719F"/>
    <w:rsid w:val="00317286"/>
    <w:rsid w:val="00317339"/>
    <w:rsid w:val="0031737B"/>
    <w:rsid w:val="00317383"/>
    <w:rsid w:val="00317420"/>
    <w:rsid w:val="0031742D"/>
    <w:rsid w:val="003174DE"/>
    <w:rsid w:val="00317B34"/>
    <w:rsid w:val="00317C6B"/>
    <w:rsid w:val="00317E18"/>
    <w:rsid w:val="00317E86"/>
    <w:rsid w:val="0032001C"/>
    <w:rsid w:val="003203EB"/>
    <w:rsid w:val="003204E8"/>
    <w:rsid w:val="003208AE"/>
    <w:rsid w:val="00320B9B"/>
    <w:rsid w:val="00320BC4"/>
    <w:rsid w:val="00320DAD"/>
    <w:rsid w:val="00320EC8"/>
    <w:rsid w:val="003215D9"/>
    <w:rsid w:val="003216C8"/>
    <w:rsid w:val="0032174D"/>
    <w:rsid w:val="00321787"/>
    <w:rsid w:val="0032185B"/>
    <w:rsid w:val="003219E8"/>
    <w:rsid w:val="00321AD4"/>
    <w:rsid w:val="00321B6C"/>
    <w:rsid w:val="00321ED0"/>
    <w:rsid w:val="00321F44"/>
    <w:rsid w:val="00322073"/>
    <w:rsid w:val="00322137"/>
    <w:rsid w:val="003225B0"/>
    <w:rsid w:val="00322662"/>
    <w:rsid w:val="003228B1"/>
    <w:rsid w:val="00322A55"/>
    <w:rsid w:val="00322CF6"/>
    <w:rsid w:val="00322DFA"/>
    <w:rsid w:val="00323115"/>
    <w:rsid w:val="0032319B"/>
    <w:rsid w:val="0032348F"/>
    <w:rsid w:val="00323591"/>
    <w:rsid w:val="003236DA"/>
    <w:rsid w:val="00323761"/>
    <w:rsid w:val="003237A4"/>
    <w:rsid w:val="00323A10"/>
    <w:rsid w:val="00323B80"/>
    <w:rsid w:val="00323C21"/>
    <w:rsid w:val="00323CDD"/>
    <w:rsid w:val="00323ECA"/>
    <w:rsid w:val="00324002"/>
    <w:rsid w:val="00324115"/>
    <w:rsid w:val="00324141"/>
    <w:rsid w:val="0032425F"/>
    <w:rsid w:val="00324266"/>
    <w:rsid w:val="003247A8"/>
    <w:rsid w:val="003247E7"/>
    <w:rsid w:val="003248E0"/>
    <w:rsid w:val="003248E3"/>
    <w:rsid w:val="00324921"/>
    <w:rsid w:val="0032494A"/>
    <w:rsid w:val="00324B79"/>
    <w:rsid w:val="00324BD5"/>
    <w:rsid w:val="00324CA3"/>
    <w:rsid w:val="00324EA6"/>
    <w:rsid w:val="00325149"/>
    <w:rsid w:val="003255DB"/>
    <w:rsid w:val="0032565A"/>
    <w:rsid w:val="0032588A"/>
    <w:rsid w:val="00325956"/>
    <w:rsid w:val="00325B42"/>
    <w:rsid w:val="00325C75"/>
    <w:rsid w:val="00325C81"/>
    <w:rsid w:val="00325CF3"/>
    <w:rsid w:val="00325E55"/>
    <w:rsid w:val="00325EB5"/>
    <w:rsid w:val="00325F31"/>
    <w:rsid w:val="00326091"/>
    <w:rsid w:val="0032611F"/>
    <w:rsid w:val="0032621D"/>
    <w:rsid w:val="00326251"/>
    <w:rsid w:val="00326291"/>
    <w:rsid w:val="003262EF"/>
    <w:rsid w:val="0032634B"/>
    <w:rsid w:val="00326390"/>
    <w:rsid w:val="0032649D"/>
    <w:rsid w:val="003265F1"/>
    <w:rsid w:val="0032671A"/>
    <w:rsid w:val="00326961"/>
    <w:rsid w:val="00326CE8"/>
    <w:rsid w:val="00326D8C"/>
    <w:rsid w:val="00326D9D"/>
    <w:rsid w:val="0032728A"/>
    <w:rsid w:val="003272F5"/>
    <w:rsid w:val="00327543"/>
    <w:rsid w:val="0032781D"/>
    <w:rsid w:val="003279BB"/>
    <w:rsid w:val="00327B70"/>
    <w:rsid w:val="00327CE8"/>
    <w:rsid w:val="00327DC9"/>
    <w:rsid w:val="00327E20"/>
    <w:rsid w:val="00327F3B"/>
    <w:rsid w:val="00327F7C"/>
    <w:rsid w:val="00327FED"/>
    <w:rsid w:val="003300FF"/>
    <w:rsid w:val="00330463"/>
    <w:rsid w:val="0033062D"/>
    <w:rsid w:val="003306AE"/>
    <w:rsid w:val="00330965"/>
    <w:rsid w:val="00330BE8"/>
    <w:rsid w:val="00330E1E"/>
    <w:rsid w:val="00331136"/>
    <w:rsid w:val="003311FC"/>
    <w:rsid w:val="00331418"/>
    <w:rsid w:val="00331A16"/>
    <w:rsid w:val="00331CF8"/>
    <w:rsid w:val="00331D0F"/>
    <w:rsid w:val="00331DC0"/>
    <w:rsid w:val="00331DEA"/>
    <w:rsid w:val="003321C8"/>
    <w:rsid w:val="00332259"/>
    <w:rsid w:val="003322A0"/>
    <w:rsid w:val="0033237E"/>
    <w:rsid w:val="0033244E"/>
    <w:rsid w:val="0033248A"/>
    <w:rsid w:val="00332793"/>
    <w:rsid w:val="00332B27"/>
    <w:rsid w:val="00332C07"/>
    <w:rsid w:val="00332EA2"/>
    <w:rsid w:val="00332FD1"/>
    <w:rsid w:val="00332FF9"/>
    <w:rsid w:val="003331B7"/>
    <w:rsid w:val="003331DA"/>
    <w:rsid w:val="00333237"/>
    <w:rsid w:val="0033333E"/>
    <w:rsid w:val="003333CF"/>
    <w:rsid w:val="00333435"/>
    <w:rsid w:val="003334BD"/>
    <w:rsid w:val="0033359A"/>
    <w:rsid w:val="00333775"/>
    <w:rsid w:val="003337B2"/>
    <w:rsid w:val="00333A35"/>
    <w:rsid w:val="00333B30"/>
    <w:rsid w:val="00333C84"/>
    <w:rsid w:val="00333EA0"/>
    <w:rsid w:val="00333F22"/>
    <w:rsid w:val="00334500"/>
    <w:rsid w:val="00334554"/>
    <w:rsid w:val="003346BE"/>
    <w:rsid w:val="003346E9"/>
    <w:rsid w:val="00334748"/>
    <w:rsid w:val="003348AA"/>
    <w:rsid w:val="0033491A"/>
    <w:rsid w:val="00334ACF"/>
    <w:rsid w:val="00334BB2"/>
    <w:rsid w:val="00334C9D"/>
    <w:rsid w:val="00334E09"/>
    <w:rsid w:val="00334F7A"/>
    <w:rsid w:val="00334F7D"/>
    <w:rsid w:val="0033525F"/>
    <w:rsid w:val="00335480"/>
    <w:rsid w:val="00335556"/>
    <w:rsid w:val="00335559"/>
    <w:rsid w:val="0033558B"/>
    <w:rsid w:val="003356F9"/>
    <w:rsid w:val="00335A14"/>
    <w:rsid w:val="00335AD4"/>
    <w:rsid w:val="00335AE4"/>
    <w:rsid w:val="00335E6A"/>
    <w:rsid w:val="0033617A"/>
    <w:rsid w:val="003361B8"/>
    <w:rsid w:val="003361D1"/>
    <w:rsid w:val="003362AF"/>
    <w:rsid w:val="003362C6"/>
    <w:rsid w:val="00336376"/>
    <w:rsid w:val="003363E1"/>
    <w:rsid w:val="003363F7"/>
    <w:rsid w:val="003365B1"/>
    <w:rsid w:val="003366DB"/>
    <w:rsid w:val="003367CA"/>
    <w:rsid w:val="00336860"/>
    <w:rsid w:val="0033686E"/>
    <w:rsid w:val="00336A06"/>
    <w:rsid w:val="00336D13"/>
    <w:rsid w:val="00336E9E"/>
    <w:rsid w:val="00337446"/>
    <w:rsid w:val="00337A09"/>
    <w:rsid w:val="00337AD7"/>
    <w:rsid w:val="00337BEC"/>
    <w:rsid w:val="00337CFD"/>
    <w:rsid w:val="00337F4F"/>
    <w:rsid w:val="00340010"/>
    <w:rsid w:val="00340241"/>
    <w:rsid w:val="003403ED"/>
    <w:rsid w:val="00340789"/>
    <w:rsid w:val="00340829"/>
    <w:rsid w:val="003408B8"/>
    <w:rsid w:val="003408EE"/>
    <w:rsid w:val="0034093E"/>
    <w:rsid w:val="00340A70"/>
    <w:rsid w:val="00340CE3"/>
    <w:rsid w:val="00340D0C"/>
    <w:rsid w:val="003411F6"/>
    <w:rsid w:val="003412CB"/>
    <w:rsid w:val="00341318"/>
    <w:rsid w:val="0034152D"/>
    <w:rsid w:val="0034154F"/>
    <w:rsid w:val="0034158E"/>
    <w:rsid w:val="0034198E"/>
    <w:rsid w:val="00341A14"/>
    <w:rsid w:val="00341EA1"/>
    <w:rsid w:val="00342072"/>
    <w:rsid w:val="00342078"/>
    <w:rsid w:val="00342082"/>
    <w:rsid w:val="0034227B"/>
    <w:rsid w:val="0034273F"/>
    <w:rsid w:val="00342961"/>
    <w:rsid w:val="003429D1"/>
    <w:rsid w:val="00342BCC"/>
    <w:rsid w:val="00342D9F"/>
    <w:rsid w:val="00342FA0"/>
    <w:rsid w:val="003430CD"/>
    <w:rsid w:val="00343203"/>
    <w:rsid w:val="00343285"/>
    <w:rsid w:val="003435CB"/>
    <w:rsid w:val="00343835"/>
    <w:rsid w:val="0034395B"/>
    <w:rsid w:val="0034396F"/>
    <w:rsid w:val="003439CD"/>
    <w:rsid w:val="00343B3C"/>
    <w:rsid w:val="00343B95"/>
    <w:rsid w:val="00343D35"/>
    <w:rsid w:val="00343E5D"/>
    <w:rsid w:val="00343EBC"/>
    <w:rsid w:val="0034402B"/>
    <w:rsid w:val="003442B3"/>
    <w:rsid w:val="003444CC"/>
    <w:rsid w:val="003446DA"/>
    <w:rsid w:val="0034498A"/>
    <w:rsid w:val="00344C9A"/>
    <w:rsid w:val="00344CC7"/>
    <w:rsid w:val="00344DBB"/>
    <w:rsid w:val="00344E2F"/>
    <w:rsid w:val="00344F19"/>
    <w:rsid w:val="00344F6E"/>
    <w:rsid w:val="00344FBD"/>
    <w:rsid w:val="00345072"/>
    <w:rsid w:val="003451FA"/>
    <w:rsid w:val="00345344"/>
    <w:rsid w:val="00345981"/>
    <w:rsid w:val="00345988"/>
    <w:rsid w:val="00345ADE"/>
    <w:rsid w:val="00345B61"/>
    <w:rsid w:val="00345E01"/>
    <w:rsid w:val="00345E27"/>
    <w:rsid w:val="00345ED3"/>
    <w:rsid w:val="00346159"/>
    <w:rsid w:val="003461CD"/>
    <w:rsid w:val="00346845"/>
    <w:rsid w:val="003468F1"/>
    <w:rsid w:val="00346A70"/>
    <w:rsid w:val="00346AF6"/>
    <w:rsid w:val="00346CBA"/>
    <w:rsid w:val="00346DBB"/>
    <w:rsid w:val="003471F1"/>
    <w:rsid w:val="003472B5"/>
    <w:rsid w:val="00347501"/>
    <w:rsid w:val="00347615"/>
    <w:rsid w:val="003477DA"/>
    <w:rsid w:val="00347A0F"/>
    <w:rsid w:val="00347E22"/>
    <w:rsid w:val="00347F7D"/>
    <w:rsid w:val="00350060"/>
    <w:rsid w:val="00350187"/>
    <w:rsid w:val="00350197"/>
    <w:rsid w:val="00350276"/>
    <w:rsid w:val="0035038A"/>
    <w:rsid w:val="0035045D"/>
    <w:rsid w:val="003504D9"/>
    <w:rsid w:val="003505CC"/>
    <w:rsid w:val="003508F0"/>
    <w:rsid w:val="00350989"/>
    <w:rsid w:val="00350F35"/>
    <w:rsid w:val="0035101B"/>
    <w:rsid w:val="00351050"/>
    <w:rsid w:val="003510B7"/>
    <w:rsid w:val="0035113D"/>
    <w:rsid w:val="00351266"/>
    <w:rsid w:val="00351350"/>
    <w:rsid w:val="00351381"/>
    <w:rsid w:val="0035139D"/>
    <w:rsid w:val="003513B6"/>
    <w:rsid w:val="003513D5"/>
    <w:rsid w:val="003514E2"/>
    <w:rsid w:val="003516AE"/>
    <w:rsid w:val="003517FD"/>
    <w:rsid w:val="003518E1"/>
    <w:rsid w:val="003518E9"/>
    <w:rsid w:val="00351A08"/>
    <w:rsid w:val="00351A45"/>
    <w:rsid w:val="00351AC8"/>
    <w:rsid w:val="00351C8C"/>
    <w:rsid w:val="00351CE3"/>
    <w:rsid w:val="00352156"/>
    <w:rsid w:val="00352506"/>
    <w:rsid w:val="00352564"/>
    <w:rsid w:val="0035261D"/>
    <w:rsid w:val="003526A1"/>
    <w:rsid w:val="00352821"/>
    <w:rsid w:val="00352C17"/>
    <w:rsid w:val="00352C1A"/>
    <w:rsid w:val="00352EDC"/>
    <w:rsid w:val="0035304D"/>
    <w:rsid w:val="003530A6"/>
    <w:rsid w:val="00353428"/>
    <w:rsid w:val="00353627"/>
    <w:rsid w:val="00353650"/>
    <w:rsid w:val="003536C4"/>
    <w:rsid w:val="003537A6"/>
    <w:rsid w:val="0035388D"/>
    <w:rsid w:val="00353BC1"/>
    <w:rsid w:val="00353E3E"/>
    <w:rsid w:val="00353EE6"/>
    <w:rsid w:val="00353F06"/>
    <w:rsid w:val="00354063"/>
    <w:rsid w:val="0035406F"/>
    <w:rsid w:val="003540FC"/>
    <w:rsid w:val="00354211"/>
    <w:rsid w:val="003544F1"/>
    <w:rsid w:val="00354519"/>
    <w:rsid w:val="003548DF"/>
    <w:rsid w:val="00354A78"/>
    <w:rsid w:val="00354B64"/>
    <w:rsid w:val="00354DFC"/>
    <w:rsid w:val="0035507B"/>
    <w:rsid w:val="00355414"/>
    <w:rsid w:val="003554B7"/>
    <w:rsid w:val="003556B6"/>
    <w:rsid w:val="00355773"/>
    <w:rsid w:val="00355823"/>
    <w:rsid w:val="003558A9"/>
    <w:rsid w:val="00355A53"/>
    <w:rsid w:val="00355ADE"/>
    <w:rsid w:val="00355D8D"/>
    <w:rsid w:val="00355F72"/>
    <w:rsid w:val="00355F92"/>
    <w:rsid w:val="0035618C"/>
    <w:rsid w:val="003563D8"/>
    <w:rsid w:val="00356548"/>
    <w:rsid w:val="003565A3"/>
    <w:rsid w:val="003567CE"/>
    <w:rsid w:val="003569E1"/>
    <w:rsid w:val="00356A35"/>
    <w:rsid w:val="00356AC5"/>
    <w:rsid w:val="00356D22"/>
    <w:rsid w:val="00356E19"/>
    <w:rsid w:val="00356E35"/>
    <w:rsid w:val="00356ED5"/>
    <w:rsid w:val="00357478"/>
    <w:rsid w:val="003574B1"/>
    <w:rsid w:val="00357567"/>
    <w:rsid w:val="0035758C"/>
    <w:rsid w:val="00357657"/>
    <w:rsid w:val="003576C4"/>
    <w:rsid w:val="0035772F"/>
    <w:rsid w:val="00357805"/>
    <w:rsid w:val="00357A91"/>
    <w:rsid w:val="00357E32"/>
    <w:rsid w:val="00360015"/>
    <w:rsid w:val="00360032"/>
    <w:rsid w:val="00360426"/>
    <w:rsid w:val="003604F7"/>
    <w:rsid w:val="00360581"/>
    <w:rsid w:val="003605BA"/>
    <w:rsid w:val="00360796"/>
    <w:rsid w:val="00360863"/>
    <w:rsid w:val="00360A81"/>
    <w:rsid w:val="00360BE8"/>
    <w:rsid w:val="00360DF5"/>
    <w:rsid w:val="003611BB"/>
    <w:rsid w:val="00361240"/>
    <w:rsid w:val="0036128E"/>
    <w:rsid w:val="003619BF"/>
    <w:rsid w:val="00361AB7"/>
    <w:rsid w:val="00361D08"/>
    <w:rsid w:val="00361D22"/>
    <w:rsid w:val="00361E13"/>
    <w:rsid w:val="00361E5F"/>
    <w:rsid w:val="003620CF"/>
    <w:rsid w:val="003620D3"/>
    <w:rsid w:val="0036224F"/>
    <w:rsid w:val="003622A0"/>
    <w:rsid w:val="00362386"/>
    <w:rsid w:val="003626AC"/>
    <w:rsid w:val="003627BF"/>
    <w:rsid w:val="00362A1D"/>
    <w:rsid w:val="00362A8B"/>
    <w:rsid w:val="00362C53"/>
    <w:rsid w:val="00362D1C"/>
    <w:rsid w:val="00362D31"/>
    <w:rsid w:val="00362D73"/>
    <w:rsid w:val="00362E51"/>
    <w:rsid w:val="00362F1C"/>
    <w:rsid w:val="00362F7E"/>
    <w:rsid w:val="00362FD0"/>
    <w:rsid w:val="0036300D"/>
    <w:rsid w:val="003632DE"/>
    <w:rsid w:val="00363487"/>
    <w:rsid w:val="00363546"/>
    <w:rsid w:val="00363641"/>
    <w:rsid w:val="003639A6"/>
    <w:rsid w:val="003639C8"/>
    <w:rsid w:val="00363B2F"/>
    <w:rsid w:val="00363B86"/>
    <w:rsid w:val="00363C26"/>
    <w:rsid w:val="00363D3B"/>
    <w:rsid w:val="00363D3F"/>
    <w:rsid w:val="00363DEE"/>
    <w:rsid w:val="00364325"/>
    <w:rsid w:val="0036451E"/>
    <w:rsid w:val="003645A0"/>
    <w:rsid w:val="003645D5"/>
    <w:rsid w:val="0036461D"/>
    <w:rsid w:val="00364756"/>
    <w:rsid w:val="003647DF"/>
    <w:rsid w:val="00364807"/>
    <w:rsid w:val="0036498B"/>
    <w:rsid w:val="003649F8"/>
    <w:rsid w:val="00364D94"/>
    <w:rsid w:val="00364D9D"/>
    <w:rsid w:val="00365074"/>
    <w:rsid w:val="003652A5"/>
    <w:rsid w:val="0036535C"/>
    <w:rsid w:val="003654DF"/>
    <w:rsid w:val="003657BB"/>
    <w:rsid w:val="003658AB"/>
    <w:rsid w:val="00365929"/>
    <w:rsid w:val="00365AB7"/>
    <w:rsid w:val="00365AE7"/>
    <w:rsid w:val="00365E0F"/>
    <w:rsid w:val="00365EED"/>
    <w:rsid w:val="00365FF9"/>
    <w:rsid w:val="00366310"/>
    <w:rsid w:val="0036646F"/>
    <w:rsid w:val="00366755"/>
    <w:rsid w:val="003667E0"/>
    <w:rsid w:val="0036682F"/>
    <w:rsid w:val="00366906"/>
    <w:rsid w:val="0036699A"/>
    <w:rsid w:val="00366E9D"/>
    <w:rsid w:val="0036793A"/>
    <w:rsid w:val="003679AE"/>
    <w:rsid w:val="003679E6"/>
    <w:rsid w:val="00367AD4"/>
    <w:rsid w:val="00367B69"/>
    <w:rsid w:val="00367E21"/>
    <w:rsid w:val="00367F21"/>
    <w:rsid w:val="00370688"/>
    <w:rsid w:val="003708E5"/>
    <w:rsid w:val="00370A3B"/>
    <w:rsid w:val="00370AF7"/>
    <w:rsid w:val="00370B91"/>
    <w:rsid w:val="00370C1F"/>
    <w:rsid w:val="00370DF2"/>
    <w:rsid w:val="00370EB4"/>
    <w:rsid w:val="00370FC7"/>
    <w:rsid w:val="003710C3"/>
    <w:rsid w:val="003714BA"/>
    <w:rsid w:val="0037160F"/>
    <w:rsid w:val="00371729"/>
    <w:rsid w:val="00371BF1"/>
    <w:rsid w:val="00371C99"/>
    <w:rsid w:val="0037252C"/>
    <w:rsid w:val="00372541"/>
    <w:rsid w:val="0037267C"/>
    <w:rsid w:val="003727A3"/>
    <w:rsid w:val="003729D2"/>
    <w:rsid w:val="00372AAD"/>
    <w:rsid w:val="00372AD4"/>
    <w:rsid w:val="00372C97"/>
    <w:rsid w:val="00373320"/>
    <w:rsid w:val="00373471"/>
    <w:rsid w:val="00373883"/>
    <w:rsid w:val="003738C3"/>
    <w:rsid w:val="0037393B"/>
    <w:rsid w:val="003739E6"/>
    <w:rsid w:val="00373A2C"/>
    <w:rsid w:val="00373BB0"/>
    <w:rsid w:val="00373C11"/>
    <w:rsid w:val="00373CCB"/>
    <w:rsid w:val="00373D78"/>
    <w:rsid w:val="00373E32"/>
    <w:rsid w:val="00373E76"/>
    <w:rsid w:val="003740B2"/>
    <w:rsid w:val="00374120"/>
    <w:rsid w:val="003741DE"/>
    <w:rsid w:val="0037425F"/>
    <w:rsid w:val="0037455D"/>
    <w:rsid w:val="003746C3"/>
    <w:rsid w:val="00374787"/>
    <w:rsid w:val="003747ED"/>
    <w:rsid w:val="00374829"/>
    <w:rsid w:val="00374A0D"/>
    <w:rsid w:val="00374B01"/>
    <w:rsid w:val="00374B65"/>
    <w:rsid w:val="00374FD9"/>
    <w:rsid w:val="0037505E"/>
    <w:rsid w:val="003750A4"/>
    <w:rsid w:val="003751B6"/>
    <w:rsid w:val="003755EE"/>
    <w:rsid w:val="00375B3F"/>
    <w:rsid w:val="00375BD5"/>
    <w:rsid w:val="00375F22"/>
    <w:rsid w:val="003761B2"/>
    <w:rsid w:val="00376372"/>
    <w:rsid w:val="0037642D"/>
    <w:rsid w:val="00376443"/>
    <w:rsid w:val="00376639"/>
    <w:rsid w:val="00376807"/>
    <w:rsid w:val="00376B67"/>
    <w:rsid w:val="00376BEE"/>
    <w:rsid w:val="00376D32"/>
    <w:rsid w:val="00376DF9"/>
    <w:rsid w:val="00376F89"/>
    <w:rsid w:val="00376FA3"/>
    <w:rsid w:val="00376FF3"/>
    <w:rsid w:val="0037739F"/>
    <w:rsid w:val="00377547"/>
    <w:rsid w:val="003776EB"/>
    <w:rsid w:val="00377992"/>
    <w:rsid w:val="00377A94"/>
    <w:rsid w:val="00377FE5"/>
    <w:rsid w:val="0038011A"/>
    <w:rsid w:val="00380241"/>
    <w:rsid w:val="0038027B"/>
    <w:rsid w:val="003802AE"/>
    <w:rsid w:val="00380495"/>
    <w:rsid w:val="0038052B"/>
    <w:rsid w:val="0038063F"/>
    <w:rsid w:val="00380943"/>
    <w:rsid w:val="0038097B"/>
    <w:rsid w:val="0038113B"/>
    <w:rsid w:val="0038157B"/>
    <w:rsid w:val="00381648"/>
    <w:rsid w:val="00381784"/>
    <w:rsid w:val="0038184F"/>
    <w:rsid w:val="003819D5"/>
    <w:rsid w:val="00381CA9"/>
    <w:rsid w:val="00381D4D"/>
    <w:rsid w:val="0038201E"/>
    <w:rsid w:val="003821AE"/>
    <w:rsid w:val="003823C3"/>
    <w:rsid w:val="0038254F"/>
    <w:rsid w:val="00382661"/>
    <w:rsid w:val="003827D9"/>
    <w:rsid w:val="0038281C"/>
    <w:rsid w:val="003828E6"/>
    <w:rsid w:val="00382A7F"/>
    <w:rsid w:val="00382AE7"/>
    <w:rsid w:val="00382D03"/>
    <w:rsid w:val="00382EB5"/>
    <w:rsid w:val="00383268"/>
    <w:rsid w:val="00383281"/>
    <w:rsid w:val="00383296"/>
    <w:rsid w:val="0038355C"/>
    <w:rsid w:val="00383603"/>
    <w:rsid w:val="00383772"/>
    <w:rsid w:val="0038377D"/>
    <w:rsid w:val="00383823"/>
    <w:rsid w:val="0038394F"/>
    <w:rsid w:val="00383A4F"/>
    <w:rsid w:val="00383BAA"/>
    <w:rsid w:val="00383CE0"/>
    <w:rsid w:val="00383CF0"/>
    <w:rsid w:val="00383FB8"/>
    <w:rsid w:val="00383FEC"/>
    <w:rsid w:val="003840BC"/>
    <w:rsid w:val="0038433A"/>
    <w:rsid w:val="00384603"/>
    <w:rsid w:val="003846B1"/>
    <w:rsid w:val="003849A2"/>
    <w:rsid w:val="00384B6F"/>
    <w:rsid w:val="00384C90"/>
    <w:rsid w:val="00384CE9"/>
    <w:rsid w:val="00384D34"/>
    <w:rsid w:val="00384D4D"/>
    <w:rsid w:val="00384E3B"/>
    <w:rsid w:val="00385028"/>
    <w:rsid w:val="00385073"/>
    <w:rsid w:val="0038508A"/>
    <w:rsid w:val="003850B1"/>
    <w:rsid w:val="0038511D"/>
    <w:rsid w:val="0038516B"/>
    <w:rsid w:val="003851D0"/>
    <w:rsid w:val="003851F3"/>
    <w:rsid w:val="0038521A"/>
    <w:rsid w:val="003854E1"/>
    <w:rsid w:val="003856AC"/>
    <w:rsid w:val="003856E6"/>
    <w:rsid w:val="003858AE"/>
    <w:rsid w:val="00385964"/>
    <w:rsid w:val="00385A64"/>
    <w:rsid w:val="00385EB6"/>
    <w:rsid w:val="003860AD"/>
    <w:rsid w:val="003862DD"/>
    <w:rsid w:val="003863BF"/>
    <w:rsid w:val="003864B7"/>
    <w:rsid w:val="003864D8"/>
    <w:rsid w:val="0038650A"/>
    <w:rsid w:val="00386579"/>
    <w:rsid w:val="00386679"/>
    <w:rsid w:val="00386706"/>
    <w:rsid w:val="00386A21"/>
    <w:rsid w:val="00386C16"/>
    <w:rsid w:val="00386D1A"/>
    <w:rsid w:val="00386DE0"/>
    <w:rsid w:val="00386E66"/>
    <w:rsid w:val="00386FAB"/>
    <w:rsid w:val="003871F2"/>
    <w:rsid w:val="00387256"/>
    <w:rsid w:val="003872AD"/>
    <w:rsid w:val="003872ED"/>
    <w:rsid w:val="0038743B"/>
    <w:rsid w:val="003874CA"/>
    <w:rsid w:val="0038758F"/>
    <w:rsid w:val="00387593"/>
    <w:rsid w:val="0038775E"/>
    <w:rsid w:val="003879C0"/>
    <w:rsid w:val="00387A80"/>
    <w:rsid w:val="00387ACB"/>
    <w:rsid w:val="00387B21"/>
    <w:rsid w:val="00387BA3"/>
    <w:rsid w:val="00387CB8"/>
    <w:rsid w:val="00387CC3"/>
    <w:rsid w:val="00387DC6"/>
    <w:rsid w:val="0039012C"/>
    <w:rsid w:val="003901A9"/>
    <w:rsid w:val="003901BE"/>
    <w:rsid w:val="0039027F"/>
    <w:rsid w:val="00390428"/>
    <w:rsid w:val="0039045D"/>
    <w:rsid w:val="00390538"/>
    <w:rsid w:val="003907D4"/>
    <w:rsid w:val="003908E2"/>
    <w:rsid w:val="003908E4"/>
    <w:rsid w:val="00390B7D"/>
    <w:rsid w:val="00390C69"/>
    <w:rsid w:val="00390E3C"/>
    <w:rsid w:val="00390FBA"/>
    <w:rsid w:val="00391107"/>
    <w:rsid w:val="00391116"/>
    <w:rsid w:val="00391128"/>
    <w:rsid w:val="00391157"/>
    <w:rsid w:val="00391286"/>
    <w:rsid w:val="003912C4"/>
    <w:rsid w:val="00391404"/>
    <w:rsid w:val="00391479"/>
    <w:rsid w:val="0039159E"/>
    <w:rsid w:val="0039182E"/>
    <w:rsid w:val="003919BD"/>
    <w:rsid w:val="00391A3B"/>
    <w:rsid w:val="00391B54"/>
    <w:rsid w:val="00391E10"/>
    <w:rsid w:val="00391F44"/>
    <w:rsid w:val="00392185"/>
    <w:rsid w:val="003922E2"/>
    <w:rsid w:val="003922EB"/>
    <w:rsid w:val="00392826"/>
    <w:rsid w:val="003929E2"/>
    <w:rsid w:val="003929F8"/>
    <w:rsid w:val="00392C42"/>
    <w:rsid w:val="00392D69"/>
    <w:rsid w:val="00392F18"/>
    <w:rsid w:val="0039304D"/>
    <w:rsid w:val="00393163"/>
    <w:rsid w:val="003931AB"/>
    <w:rsid w:val="0039335A"/>
    <w:rsid w:val="0039340A"/>
    <w:rsid w:val="0039342B"/>
    <w:rsid w:val="00393609"/>
    <w:rsid w:val="00393648"/>
    <w:rsid w:val="00393859"/>
    <w:rsid w:val="0039391F"/>
    <w:rsid w:val="00393B7E"/>
    <w:rsid w:val="00393CAD"/>
    <w:rsid w:val="00393CE0"/>
    <w:rsid w:val="00393ED9"/>
    <w:rsid w:val="00393F0E"/>
    <w:rsid w:val="00393FC2"/>
    <w:rsid w:val="00393FF9"/>
    <w:rsid w:val="0039460F"/>
    <w:rsid w:val="00394AF7"/>
    <w:rsid w:val="00394BF6"/>
    <w:rsid w:val="00394C59"/>
    <w:rsid w:val="00394C83"/>
    <w:rsid w:val="00394F0D"/>
    <w:rsid w:val="00394FE5"/>
    <w:rsid w:val="00395331"/>
    <w:rsid w:val="003953B3"/>
    <w:rsid w:val="0039553E"/>
    <w:rsid w:val="00395745"/>
    <w:rsid w:val="00395935"/>
    <w:rsid w:val="00395A50"/>
    <w:rsid w:val="00395A6F"/>
    <w:rsid w:val="00395C12"/>
    <w:rsid w:val="00395C96"/>
    <w:rsid w:val="00395E2B"/>
    <w:rsid w:val="00395E74"/>
    <w:rsid w:val="00395EB2"/>
    <w:rsid w:val="00395F14"/>
    <w:rsid w:val="00395F88"/>
    <w:rsid w:val="00395F95"/>
    <w:rsid w:val="00396242"/>
    <w:rsid w:val="003962F1"/>
    <w:rsid w:val="0039630D"/>
    <w:rsid w:val="00396339"/>
    <w:rsid w:val="0039653D"/>
    <w:rsid w:val="003966F5"/>
    <w:rsid w:val="00396719"/>
    <w:rsid w:val="003968D5"/>
    <w:rsid w:val="00396A31"/>
    <w:rsid w:val="00396B3F"/>
    <w:rsid w:val="00396DE4"/>
    <w:rsid w:val="00396EC1"/>
    <w:rsid w:val="00397170"/>
    <w:rsid w:val="003977BC"/>
    <w:rsid w:val="00397907"/>
    <w:rsid w:val="00397A0F"/>
    <w:rsid w:val="00397C2B"/>
    <w:rsid w:val="00397C34"/>
    <w:rsid w:val="00397D2A"/>
    <w:rsid w:val="003A033E"/>
    <w:rsid w:val="003A03BD"/>
    <w:rsid w:val="003A04B8"/>
    <w:rsid w:val="003A05DE"/>
    <w:rsid w:val="003A0643"/>
    <w:rsid w:val="003A096A"/>
    <w:rsid w:val="003A0A03"/>
    <w:rsid w:val="003A0A67"/>
    <w:rsid w:val="003A0D34"/>
    <w:rsid w:val="003A0D83"/>
    <w:rsid w:val="003A108D"/>
    <w:rsid w:val="003A13D3"/>
    <w:rsid w:val="003A156A"/>
    <w:rsid w:val="003A16B0"/>
    <w:rsid w:val="003A1700"/>
    <w:rsid w:val="003A18AC"/>
    <w:rsid w:val="003A18E4"/>
    <w:rsid w:val="003A18F2"/>
    <w:rsid w:val="003A1C07"/>
    <w:rsid w:val="003A1DD3"/>
    <w:rsid w:val="003A1E17"/>
    <w:rsid w:val="003A1EC3"/>
    <w:rsid w:val="003A2050"/>
    <w:rsid w:val="003A208A"/>
    <w:rsid w:val="003A2177"/>
    <w:rsid w:val="003A22C6"/>
    <w:rsid w:val="003A2443"/>
    <w:rsid w:val="003A2493"/>
    <w:rsid w:val="003A259C"/>
    <w:rsid w:val="003A2602"/>
    <w:rsid w:val="003A268C"/>
    <w:rsid w:val="003A298C"/>
    <w:rsid w:val="003A29EE"/>
    <w:rsid w:val="003A2B9A"/>
    <w:rsid w:val="003A2ED1"/>
    <w:rsid w:val="003A2EDB"/>
    <w:rsid w:val="003A2F15"/>
    <w:rsid w:val="003A3162"/>
    <w:rsid w:val="003A3228"/>
    <w:rsid w:val="003A3344"/>
    <w:rsid w:val="003A3433"/>
    <w:rsid w:val="003A37A0"/>
    <w:rsid w:val="003A3882"/>
    <w:rsid w:val="003A390E"/>
    <w:rsid w:val="003A3E00"/>
    <w:rsid w:val="003A410F"/>
    <w:rsid w:val="003A42E5"/>
    <w:rsid w:val="003A4534"/>
    <w:rsid w:val="003A460D"/>
    <w:rsid w:val="003A476C"/>
    <w:rsid w:val="003A48A7"/>
    <w:rsid w:val="003A49C5"/>
    <w:rsid w:val="003A4CA5"/>
    <w:rsid w:val="003A4CF3"/>
    <w:rsid w:val="003A504A"/>
    <w:rsid w:val="003A50DD"/>
    <w:rsid w:val="003A5130"/>
    <w:rsid w:val="003A513C"/>
    <w:rsid w:val="003A51C4"/>
    <w:rsid w:val="003A537E"/>
    <w:rsid w:val="003A555E"/>
    <w:rsid w:val="003A56C7"/>
    <w:rsid w:val="003A5DFC"/>
    <w:rsid w:val="003A5F74"/>
    <w:rsid w:val="003A60F0"/>
    <w:rsid w:val="003A61F6"/>
    <w:rsid w:val="003A632D"/>
    <w:rsid w:val="003A6371"/>
    <w:rsid w:val="003A660F"/>
    <w:rsid w:val="003A664D"/>
    <w:rsid w:val="003A668D"/>
    <w:rsid w:val="003A6700"/>
    <w:rsid w:val="003A693E"/>
    <w:rsid w:val="003A6987"/>
    <w:rsid w:val="003A69C4"/>
    <w:rsid w:val="003A6B4F"/>
    <w:rsid w:val="003A6BA7"/>
    <w:rsid w:val="003A6D49"/>
    <w:rsid w:val="003A70AD"/>
    <w:rsid w:val="003A716E"/>
    <w:rsid w:val="003A71F4"/>
    <w:rsid w:val="003A74C9"/>
    <w:rsid w:val="003A7595"/>
    <w:rsid w:val="003A7971"/>
    <w:rsid w:val="003A79A4"/>
    <w:rsid w:val="003A7AFF"/>
    <w:rsid w:val="003A7B98"/>
    <w:rsid w:val="003A7D77"/>
    <w:rsid w:val="003A7E8D"/>
    <w:rsid w:val="003B00FE"/>
    <w:rsid w:val="003B0273"/>
    <w:rsid w:val="003B02EF"/>
    <w:rsid w:val="003B030A"/>
    <w:rsid w:val="003B03B7"/>
    <w:rsid w:val="003B061C"/>
    <w:rsid w:val="003B07E5"/>
    <w:rsid w:val="003B0814"/>
    <w:rsid w:val="003B08CA"/>
    <w:rsid w:val="003B095E"/>
    <w:rsid w:val="003B09D0"/>
    <w:rsid w:val="003B0A65"/>
    <w:rsid w:val="003B0C1C"/>
    <w:rsid w:val="003B10E3"/>
    <w:rsid w:val="003B1108"/>
    <w:rsid w:val="003B130D"/>
    <w:rsid w:val="003B134C"/>
    <w:rsid w:val="003B14B9"/>
    <w:rsid w:val="003B14F7"/>
    <w:rsid w:val="003B1545"/>
    <w:rsid w:val="003B1848"/>
    <w:rsid w:val="003B189F"/>
    <w:rsid w:val="003B197B"/>
    <w:rsid w:val="003B19D5"/>
    <w:rsid w:val="003B1CBF"/>
    <w:rsid w:val="003B200B"/>
    <w:rsid w:val="003B20A3"/>
    <w:rsid w:val="003B2370"/>
    <w:rsid w:val="003B23FF"/>
    <w:rsid w:val="003B2475"/>
    <w:rsid w:val="003B249F"/>
    <w:rsid w:val="003B24FF"/>
    <w:rsid w:val="003B27E0"/>
    <w:rsid w:val="003B2906"/>
    <w:rsid w:val="003B2927"/>
    <w:rsid w:val="003B29C8"/>
    <w:rsid w:val="003B2D54"/>
    <w:rsid w:val="003B2F47"/>
    <w:rsid w:val="003B2FEB"/>
    <w:rsid w:val="003B30A5"/>
    <w:rsid w:val="003B33C8"/>
    <w:rsid w:val="003B3472"/>
    <w:rsid w:val="003B366C"/>
    <w:rsid w:val="003B366F"/>
    <w:rsid w:val="003B3776"/>
    <w:rsid w:val="003B3C35"/>
    <w:rsid w:val="003B3D4C"/>
    <w:rsid w:val="003B3F14"/>
    <w:rsid w:val="003B3F2B"/>
    <w:rsid w:val="003B3F9E"/>
    <w:rsid w:val="003B40E9"/>
    <w:rsid w:val="003B440F"/>
    <w:rsid w:val="003B4556"/>
    <w:rsid w:val="003B4A1B"/>
    <w:rsid w:val="003B4B5D"/>
    <w:rsid w:val="003B4B73"/>
    <w:rsid w:val="003B4D8E"/>
    <w:rsid w:val="003B4E4E"/>
    <w:rsid w:val="003B4F02"/>
    <w:rsid w:val="003B4F35"/>
    <w:rsid w:val="003B50B7"/>
    <w:rsid w:val="003B5115"/>
    <w:rsid w:val="003B520D"/>
    <w:rsid w:val="003B5252"/>
    <w:rsid w:val="003B530A"/>
    <w:rsid w:val="003B5605"/>
    <w:rsid w:val="003B5986"/>
    <w:rsid w:val="003B5BE5"/>
    <w:rsid w:val="003B5D35"/>
    <w:rsid w:val="003B6064"/>
    <w:rsid w:val="003B6087"/>
    <w:rsid w:val="003B67E9"/>
    <w:rsid w:val="003B6906"/>
    <w:rsid w:val="003B6A66"/>
    <w:rsid w:val="003B6EE2"/>
    <w:rsid w:val="003B7303"/>
    <w:rsid w:val="003B738B"/>
    <w:rsid w:val="003B7656"/>
    <w:rsid w:val="003B76FA"/>
    <w:rsid w:val="003B772F"/>
    <w:rsid w:val="003B77F7"/>
    <w:rsid w:val="003B784A"/>
    <w:rsid w:val="003B78EE"/>
    <w:rsid w:val="003B7919"/>
    <w:rsid w:val="003B79DC"/>
    <w:rsid w:val="003B7B58"/>
    <w:rsid w:val="003B7CC8"/>
    <w:rsid w:val="003B7CD1"/>
    <w:rsid w:val="003B7DA1"/>
    <w:rsid w:val="003B7EC2"/>
    <w:rsid w:val="003B7EE7"/>
    <w:rsid w:val="003C0127"/>
    <w:rsid w:val="003C03CB"/>
    <w:rsid w:val="003C0434"/>
    <w:rsid w:val="003C055D"/>
    <w:rsid w:val="003C07F4"/>
    <w:rsid w:val="003C08A3"/>
    <w:rsid w:val="003C0C72"/>
    <w:rsid w:val="003C0E6A"/>
    <w:rsid w:val="003C0EAF"/>
    <w:rsid w:val="003C0F40"/>
    <w:rsid w:val="003C1001"/>
    <w:rsid w:val="003C10AA"/>
    <w:rsid w:val="003C12B9"/>
    <w:rsid w:val="003C1379"/>
    <w:rsid w:val="003C13D2"/>
    <w:rsid w:val="003C179A"/>
    <w:rsid w:val="003C1865"/>
    <w:rsid w:val="003C1A75"/>
    <w:rsid w:val="003C1A9F"/>
    <w:rsid w:val="003C1B5A"/>
    <w:rsid w:val="003C1CCF"/>
    <w:rsid w:val="003C1D33"/>
    <w:rsid w:val="003C1F43"/>
    <w:rsid w:val="003C206C"/>
    <w:rsid w:val="003C2101"/>
    <w:rsid w:val="003C2114"/>
    <w:rsid w:val="003C24EC"/>
    <w:rsid w:val="003C25DB"/>
    <w:rsid w:val="003C26AF"/>
    <w:rsid w:val="003C26F9"/>
    <w:rsid w:val="003C270A"/>
    <w:rsid w:val="003C272B"/>
    <w:rsid w:val="003C2747"/>
    <w:rsid w:val="003C28D0"/>
    <w:rsid w:val="003C2902"/>
    <w:rsid w:val="003C29F7"/>
    <w:rsid w:val="003C29FB"/>
    <w:rsid w:val="003C2B4E"/>
    <w:rsid w:val="003C2B7E"/>
    <w:rsid w:val="003C2D7B"/>
    <w:rsid w:val="003C2ED4"/>
    <w:rsid w:val="003C3200"/>
    <w:rsid w:val="003C3256"/>
    <w:rsid w:val="003C329D"/>
    <w:rsid w:val="003C3A26"/>
    <w:rsid w:val="003C3AC7"/>
    <w:rsid w:val="003C3C8B"/>
    <w:rsid w:val="003C3EED"/>
    <w:rsid w:val="003C4390"/>
    <w:rsid w:val="003C45AB"/>
    <w:rsid w:val="003C461B"/>
    <w:rsid w:val="003C4765"/>
    <w:rsid w:val="003C4780"/>
    <w:rsid w:val="003C4987"/>
    <w:rsid w:val="003C4C63"/>
    <w:rsid w:val="003C4CAA"/>
    <w:rsid w:val="003C4DBE"/>
    <w:rsid w:val="003C4F09"/>
    <w:rsid w:val="003C4FC5"/>
    <w:rsid w:val="003C506A"/>
    <w:rsid w:val="003C523F"/>
    <w:rsid w:val="003C5312"/>
    <w:rsid w:val="003C549A"/>
    <w:rsid w:val="003C54D2"/>
    <w:rsid w:val="003C554E"/>
    <w:rsid w:val="003C5AF1"/>
    <w:rsid w:val="003C5B68"/>
    <w:rsid w:val="003C5BAC"/>
    <w:rsid w:val="003C5BCD"/>
    <w:rsid w:val="003C5CFF"/>
    <w:rsid w:val="003C5DDB"/>
    <w:rsid w:val="003C6570"/>
    <w:rsid w:val="003C65D0"/>
    <w:rsid w:val="003C6A73"/>
    <w:rsid w:val="003C6F3C"/>
    <w:rsid w:val="003C6F68"/>
    <w:rsid w:val="003C7072"/>
    <w:rsid w:val="003C7143"/>
    <w:rsid w:val="003C735A"/>
    <w:rsid w:val="003C737C"/>
    <w:rsid w:val="003C74A8"/>
    <w:rsid w:val="003C777E"/>
    <w:rsid w:val="003C7B93"/>
    <w:rsid w:val="003C7D38"/>
    <w:rsid w:val="003C7DEF"/>
    <w:rsid w:val="003C7F8C"/>
    <w:rsid w:val="003D0103"/>
    <w:rsid w:val="003D024A"/>
    <w:rsid w:val="003D02BE"/>
    <w:rsid w:val="003D04B8"/>
    <w:rsid w:val="003D0740"/>
    <w:rsid w:val="003D0A65"/>
    <w:rsid w:val="003D0AA0"/>
    <w:rsid w:val="003D0D11"/>
    <w:rsid w:val="003D1119"/>
    <w:rsid w:val="003D1126"/>
    <w:rsid w:val="003D1196"/>
    <w:rsid w:val="003D11A9"/>
    <w:rsid w:val="003D1451"/>
    <w:rsid w:val="003D1516"/>
    <w:rsid w:val="003D1551"/>
    <w:rsid w:val="003D15B7"/>
    <w:rsid w:val="003D1806"/>
    <w:rsid w:val="003D1A97"/>
    <w:rsid w:val="003D1B39"/>
    <w:rsid w:val="003D1B65"/>
    <w:rsid w:val="003D1B9D"/>
    <w:rsid w:val="003D1FB3"/>
    <w:rsid w:val="003D2119"/>
    <w:rsid w:val="003D25AA"/>
    <w:rsid w:val="003D2670"/>
    <w:rsid w:val="003D28D8"/>
    <w:rsid w:val="003D29F1"/>
    <w:rsid w:val="003D2A37"/>
    <w:rsid w:val="003D2AA5"/>
    <w:rsid w:val="003D2BAD"/>
    <w:rsid w:val="003D2DF5"/>
    <w:rsid w:val="003D2FA7"/>
    <w:rsid w:val="003D2FAD"/>
    <w:rsid w:val="003D314B"/>
    <w:rsid w:val="003D31A4"/>
    <w:rsid w:val="003D3606"/>
    <w:rsid w:val="003D36E8"/>
    <w:rsid w:val="003D3873"/>
    <w:rsid w:val="003D3998"/>
    <w:rsid w:val="003D3AC7"/>
    <w:rsid w:val="003D3B18"/>
    <w:rsid w:val="003D3CC7"/>
    <w:rsid w:val="003D3E6A"/>
    <w:rsid w:val="003D3E78"/>
    <w:rsid w:val="003D3EFE"/>
    <w:rsid w:val="003D401E"/>
    <w:rsid w:val="003D4219"/>
    <w:rsid w:val="003D4274"/>
    <w:rsid w:val="003D428C"/>
    <w:rsid w:val="003D42EA"/>
    <w:rsid w:val="003D43DB"/>
    <w:rsid w:val="003D44D7"/>
    <w:rsid w:val="003D4516"/>
    <w:rsid w:val="003D45EE"/>
    <w:rsid w:val="003D4641"/>
    <w:rsid w:val="003D472C"/>
    <w:rsid w:val="003D479D"/>
    <w:rsid w:val="003D48E5"/>
    <w:rsid w:val="003D4A51"/>
    <w:rsid w:val="003D4CA4"/>
    <w:rsid w:val="003D4D7D"/>
    <w:rsid w:val="003D50AA"/>
    <w:rsid w:val="003D52B4"/>
    <w:rsid w:val="003D55AB"/>
    <w:rsid w:val="003D5658"/>
    <w:rsid w:val="003D5832"/>
    <w:rsid w:val="003D59DD"/>
    <w:rsid w:val="003D5C1A"/>
    <w:rsid w:val="003D5D1A"/>
    <w:rsid w:val="003D6335"/>
    <w:rsid w:val="003D64D9"/>
    <w:rsid w:val="003D66DF"/>
    <w:rsid w:val="003D6966"/>
    <w:rsid w:val="003D69B7"/>
    <w:rsid w:val="003D69EF"/>
    <w:rsid w:val="003D6A23"/>
    <w:rsid w:val="003D6AD2"/>
    <w:rsid w:val="003D6BBB"/>
    <w:rsid w:val="003D6C3F"/>
    <w:rsid w:val="003D6C8F"/>
    <w:rsid w:val="003D6F79"/>
    <w:rsid w:val="003D6FB6"/>
    <w:rsid w:val="003D712F"/>
    <w:rsid w:val="003D7155"/>
    <w:rsid w:val="003D71C6"/>
    <w:rsid w:val="003D7428"/>
    <w:rsid w:val="003D79FE"/>
    <w:rsid w:val="003D7A3E"/>
    <w:rsid w:val="003D7A44"/>
    <w:rsid w:val="003D7DFA"/>
    <w:rsid w:val="003D7E3D"/>
    <w:rsid w:val="003D7E7A"/>
    <w:rsid w:val="003E01F1"/>
    <w:rsid w:val="003E026D"/>
    <w:rsid w:val="003E0286"/>
    <w:rsid w:val="003E0456"/>
    <w:rsid w:val="003E04A7"/>
    <w:rsid w:val="003E0665"/>
    <w:rsid w:val="003E0888"/>
    <w:rsid w:val="003E0A7A"/>
    <w:rsid w:val="003E0B8C"/>
    <w:rsid w:val="003E0C27"/>
    <w:rsid w:val="003E0D53"/>
    <w:rsid w:val="003E0E88"/>
    <w:rsid w:val="003E0EDB"/>
    <w:rsid w:val="003E0F19"/>
    <w:rsid w:val="003E0F7B"/>
    <w:rsid w:val="003E1228"/>
    <w:rsid w:val="003E141A"/>
    <w:rsid w:val="003E15C7"/>
    <w:rsid w:val="003E15E7"/>
    <w:rsid w:val="003E1739"/>
    <w:rsid w:val="003E17AA"/>
    <w:rsid w:val="003E17E4"/>
    <w:rsid w:val="003E193A"/>
    <w:rsid w:val="003E1BCC"/>
    <w:rsid w:val="003E1DA4"/>
    <w:rsid w:val="003E1F5E"/>
    <w:rsid w:val="003E1F76"/>
    <w:rsid w:val="003E24FC"/>
    <w:rsid w:val="003E27AE"/>
    <w:rsid w:val="003E2A45"/>
    <w:rsid w:val="003E2BCA"/>
    <w:rsid w:val="003E2F90"/>
    <w:rsid w:val="003E30BB"/>
    <w:rsid w:val="003E325B"/>
    <w:rsid w:val="003E327C"/>
    <w:rsid w:val="003E34E9"/>
    <w:rsid w:val="003E35D0"/>
    <w:rsid w:val="003E35DA"/>
    <w:rsid w:val="003E3607"/>
    <w:rsid w:val="003E3769"/>
    <w:rsid w:val="003E3855"/>
    <w:rsid w:val="003E3A05"/>
    <w:rsid w:val="003E3CDB"/>
    <w:rsid w:val="003E43E2"/>
    <w:rsid w:val="003E4463"/>
    <w:rsid w:val="003E4616"/>
    <w:rsid w:val="003E4936"/>
    <w:rsid w:val="003E4CE9"/>
    <w:rsid w:val="003E4CEB"/>
    <w:rsid w:val="003E4F05"/>
    <w:rsid w:val="003E4F15"/>
    <w:rsid w:val="003E5085"/>
    <w:rsid w:val="003E5185"/>
    <w:rsid w:val="003E5512"/>
    <w:rsid w:val="003E559F"/>
    <w:rsid w:val="003E561B"/>
    <w:rsid w:val="003E5656"/>
    <w:rsid w:val="003E580E"/>
    <w:rsid w:val="003E58A1"/>
    <w:rsid w:val="003E590B"/>
    <w:rsid w:val="003E5A3D"/>
    <w:rsid w:val="003E5A8C"/>
    <w:rsid w:val="003E5B72"/>
    <w:rsid w:val="003E60CE"/>
    <w:rsid w:val="003E6196"/>
    <w:rsid w:val="003E62EE"/>
    <w:rsid w:val="003E630E"/>
    <w:rsid w:val="003E63D0"/>
    <w:rsid w:val="003E63D5"/>
    <w:rsid w:val="003E6475"/>
    <w:rsid w:val="003E6569"/>
    <w:rsid w:val="003E6783"/>
    <w:rsid w:val="003E6CD1"/>
    <w:rsid w:val="003E6CE2"/>
    <w:rsid w:val="003E703D"/>
    <w:rsid w:val="003E718E"/>
    <w:rsid w:val="003E72A1"/>
    <w:rsid w:val="003E7373"/>
    <w:rsid w:val="003E73E9"/>
    <w:rsid w:val="003E749D"/>
    <w:rsid w:val="003E7547"/>
    <w:rsid w:val="003E76E6"/>
    <w:rsid w:val="003E7C50"/>
    <w:rsid w:val="003E7D4A"/>
    <w:rsid w:val="003E7EC2"/>
    <w:rsid w:val="003F0038"/>
    <w:rsid w:val="003F0081"/>
    <w:rsid w:val="003F00FE"/>
    <w:rsid w:val="003F01F0"/>
    <w:rsid w:val="003F0335"/>
    <w:rsid w:val="003F067B"/>
    <w:rsid w:val="003F09C9"/>
    <w:rsid w:val="003F0BFD"/>
    <w:rsid w:val="003F0D61"/>
    <w:rsid w:val="003F0E0D"/>
    <w:rsid w:val="003F0FEF"/>
    <w:rsid w:val="003F105A"/>
    <w:rsid w:val="003F11B4"/>
    <w:rsid w:val="003F1593"/>
    <w:rsid w:val="003F15D9"/>
    <w:rsid w:val="003F1679"/>
    <w:rsid w:val="003F169B"/>
    <w:rsid w:val="003F17AC"/>
    <w:rsid w:val="003F1B08"/>
    <w:rsid w:val="003F1B09"/>
    <w:rsid w:val="003F1BD9"/>
    <w:rsid w:val="003F1C8C"/>
    <w:rsid w:val="003F1CED"/>
    <w:rsid w:val="003F1DD8"/>
    <w:rsid w:val="003F1E13"/>
    <w:rsid w:val="003F2045"/>
    <w:rsid w:val="003F2215"/>
    <w:rsid w:val="003F22BD"/>
    <w:rsid w:val="003F23C4"/>
    <w:rsid w:val="003F25F4"/>
    <w:rsid w:val="003F2695"/>
    <w:rsid w:val="003F29A9"/>
    <w:rsid w:val="003F2A7C"/>
    <w:rsid w:val="003F2C32"/>
    <w:rsid w:val="003F2C43"/>
    <w:rsid w:val="003F2CC6"/>
    <w:rsid w:val="003F2E81"/>
    <w:rsid w:val="003F2F6D"/>
    <w:rsid w:val="003F32D6"/>
    <w:rsid w:val="003F351F"/>
    <w:rsid w:val="003F3522"/>
    <w:rsid w:val="003F388B"/>
    <w:rsid w:val="003F3A4E"/>
    <w:rsid w:val="003F3FA6"/>
    <w:rsid w:val="003F4123"/>
    <w:rsid w:val="003F4192"/>
    <w:rsid w:val="003F41B1"/>
    <w:rsid w:val="003F423D"/>
    <w:rsid w:val="003F4325"/>
    <w:rsid w:val="003F4395"/>
    <w:rsid w:val="003F44CF"/>
    <w:rsid w:val="003F4640"/>
    <w:rsid w:val="003F487C"/>
    <w:rsid w:val="003F492E"/>
    <w:rsid w:val="003F540C"/>
    <w:rsid w:val="003F57E6"/>
    <w:rsid w:val="003F59C2"/>
    <w:rsid w:val="003F59D7"/>
    <w:rsid w:val="003F5B49"/>
    <w:rsid w:val="003F5C22"/>
    <w:rsid w:val="003F5F93"/>
    <w:rsid w:val="003F6198"/>
    <w:rsid w:val="003F6199"/>
    <w:rsid w:val="003F6330"/>
    <w:rsid w:val="003F689D"/>
    <w:rsid w:val="003F6AED"/>
    <w:rsid w:val="003F6B4C"/>
    <w:rsid w:val="003F6C73"/>
    <w:rsid w:val="003F715C"/>
    <w:rsid w:val="003F71F7"/>
    <w:rsid w:val="003F7218"/>
    <w:rsid w:val="003F73FD"/>
    <w:rsid w:val="003F7637"/>
    <w:rsid w:val="003F771D"/>
    <w:rsid w:val="003F798A"/>
    <w:rsid w:val="003F79BC"/>
    <w:rsid w:val="003F7C27"/>
    <w:rsid w:val="003F7D72"/>
    <w:rsid w:val="003F7FAF"/>
    <w:rsid w:val="00400482"/>
    <w:rsid w:val="004005BC"/>
    <w:rsid w:val="004005FF"/>
    <w:rsid w:val="00400659"/>
    <w:rsid w:val="00400866"/>
    <w:rsid w:val="00400A25"/>
    <w:rsid w:val="00400AC0"/>
    <w:rsid w:val="00400C7D"/>
    <w:rsid w:val="00400D0C"/>
    <w:rsid w:val="00400EBA"/>
    <w:rsid w:val="00400EF6"/>
    <w:rsid w:val="00400F09"/>
    <w:rsid w:val="004013D1"/>
    <w:rsid w:val="00401482"/>
    <w:rsid w:val="00401694"/>
    <w:rsid w:val="004016E0"/>
    <w:rsid w:val="004017CE"/>
    <w:rsid w:val="004018B3"/>
    <w:rsid w:val="00401A1D"/>
    <w:rsid w:val="00401B87"/>
    <w:rsid w:val="00401BF1"/>
    <w:rsid w:val="00401E5D"/>
    <w:rsid w:val="00401E77"/>
    <w:rsid w:val="00401E88"/>
    <w:rsid w:val="00401EA2"/>
    <w:rsid w:val="00401F14"/>
    <w:rsid w:val="00401F23"/>
    <w:rsid w:val="00401F39"/>
    <w:rsid w:val="00402063"/>
    <w:rsid w:val="004020A7"/>
    <w:rsid w:val="0040227E"/>
    <w:rsid w:val="00402334"/>
    <w:rsid w:val="00402457"/>
    <w:rsid w:val="004024D2"/>
    <w:rsid w:val="0040255F"/>
    <w:rsid w:val="00402648"/>
    <w:rsid w:val="00402A14"/>
    <w:rsid w:val="00402A56"/>
    <w:rsid w:val="00402BAD"/>
    <w:rsid w:val="00402DD2"/>
    <w:rsid w:val="00402E3C"/>
    <w:rsid w:val="00403017"/>
    <w:rsid w:val="00403080"/>
    <w:rsid w:val="0040324C"/>
    <w:rsid w:val="004033BF"/>
    <w:rsid w:val="004034DA"/>
    <w:rsid w:val="0040367A"/>
    <w:rsid w:val="0040384C"/>
    <w:rsid w:val="004039E5"/>
    <w:rsid w:val="00403A09"/>
    <w:rsid w:val="00403A32"/>
    <w:rsid w:val="00403B5A"/>
    <w:rsid w:val="00403B72"/>
    <w:rsid w:val="00403C05"/>
    <w:rsid w:val="00403DAD"/>
    <w:rsid w:val="00403E1F"/>
    <w:rsid w:val="00403EB3"/>
    <w:rsid w:val="00404030"/>
    <w:rsid w:val="00404247"/>
    <w:rsid w:val="00404264"/>
    <w:rsid w:val="0040435D"/>
    <w:rsid w:val="00404418"/>
    <w:rsid w:val="0040447A"/>
    <w:rsid w:val="004044F2"/>
    <w:rsid w:val="00404584"/>
    <w:rsid w:val="00404700"/>
    <w:rsid w:val="00404892"/>
    <w:rsid w:val="004048FC"/>
    <w:rsid w:val="004049B2"/>
    <w:rsid w:val="00404A5C"/>
    <w:rsid w:val="00404B7C"/>
    <w:rsid w:val="00404C33"/>
    <w:rsid w:val="00404C3E"/>
    <w:rsid w:val="00404C8D"/>
    <w:rsid w:val="00404EA5"/>
    <w:rsid w:val="00404ECE"/>
    <w:rsid w:val="00404F0C"/>
    <w:rsid w:val="00404FA8"/>
    <w:rsid w:val="00405025"/>
    <w:rsid w:val="004050C0"/>
    <w:rsid w:val="0040535E"/>
    <w:rsid w:val="0040556C"/>
    <w:rsid w:val="0040558D"/>
    <w:rsid w:val="0040562D"/>
    <w:rsid w:val="0040584D"/>
    <w:rsid w:val="00405909"/>
    <w:rsid w:val="00405928"/>
    <w:rsid w:val="00405A6E"/>
    <w:rsid w:val="00405DB6"/>
    <w:rsid w:val="00405E87"/>
    <w:rsid w:val="00405F75"/>
    <w:rsid w:val="0040607B"/>
    <w:rsid w:val="004063D3"/>
    <w:rsid w:val="00406441"/>
    <w:rsid w:val="004064F6"/>
    <w:rsid w:val="00406507"/>
    <w:rsid w:val="004065C2"/>
    <w:rsid w:val="004067E0"/>
    <w:rsid w:val="00406B77"/>
    <w:rsid w:val="00406C6C"/>
    <w:rsid w:val="00406EC5"/>
    <w:rsid w:val="00407373"/>
    <w:rsid w:val="004073DC"/>
    <w:rsid w:val="00407557"/>
    <w:rsid w:val="00407576"/>
    <w:rsid w:val="0040780F"/>
    <w:rsid w:val="00407947"/>
    <w:rsid w:val="0040798A"/>
    <w:rsid w:val="00407A8D"/>
    <w:rsid w:val="00407B87"/>
    <w:rsid w:val="00407D41"/>
    <w:rsid w:val="00407D7F"/>
    <w:rsid w:val="00407DC2"/>
    <w:rsid w:val="00407FE8"/>
    <w:rsid w:val="00410078"/>
    <w:rsid w:val="004100D8"/>
    <w:rsid w:val="00410201"/>
    <w:rsid w:val="0041076C"/>
    <w:rsid w:val="004108DA"/>
    <w:rsid w:val="00410A54"/>
    <w:rsid w:val="00410E8C"/>
    <w:rsid w:val="00410F83"/>
    <w:rsid w:val="004110E0"/>
    <w:rsid w:val="00411293"/>
    <w:rsid w:val="004112C2"/>
    <w:rsid w:val="004117AB"/>
    <w:rsid w:val="0041193D"/>
    <w:rsid w:val="00411983"/>
    <w:rsid w:val="00411993"/>
    <w:rsid w:val="004119F7"/>
    <w:rsid w:val="00411AEB"/>
    <w:rsid w:val="00411D0E"/>
    <w:rsid w:val="00411D5B"/>
    <w:rsid w:val="00411EC0"/>
    <w:rsid w:val="00411EE4"/>
    <w:rsid w:val="00411F2D"/>
    <w:rsid w:val="00412362"/>
    <w:rsid w:val="00412512"/>
    <w:rsid w:val="004125E0"/>
    <w:rsid w:val="00412717"/>
    <w:rsid w:val="00412B39"/>
    <w:rsid w:val="00412DF0"/>
    <w:rsid w:val="00412EC0"/>
    <w:rsid w:val="00412FDD"/>
    <w:rsid w:val="0041328E"/>
    <w:rsid w:val="004132C6"/>
    <w:rsid w:val="00413603"/>
    <w:rsid w:val="0041374D"/>
    <w:rsid w:val="0041376C"/>
    <w:rsid w:val="004137CF"/>
    <w:rsid w:val="00413811"/>
    <w:rsid w:val="00413859"/>
    <w:rsid w:val="00413956"/>
    <w:rsid w:val="00413D5F"/>
    <w:rsid w:val="00413FE6"/>
    <w:rsid w:val="0041437A"/>
    <w:rsid w:val="00414755"/>
    <w:rsid w:val="0041498A"/>
    <w:rsid w:val="004149A5"/>
    <w:rsid w:val="00414BA4"/>
    <w:rsid w:val="00414D63"/>
    <w:rsid w:val="00414E98"/>
    <w:rsid w:val="00414FDC"/>
    <w:rsid w:val="004150AE"/>
    <w:rsid w:val="004151CC"/>
    <w:rsid w:val="004152A8"/>
    <w:rsid w:val="004152EE"/>
    <w:rsid w:val="00415743"/>
    <w:rsid w:val="004158D9"/>
    <w:rsid w:val="00415908"/>
    <w:rsid w:val="00415991"/>
    <w:rsid w:val="00415B1D"/>
    <w:rsid w:val="00415C63"/>
    <w:rsid w:val="00415D2E"/>
    <w:rsid w:val="00415EBE"/>
    <w:rsid w:val="00416000"/>
    <w:rsid w:val="004160C4"/>
    <w:rsid w:val="0041617A"/>
    <w:rsid w:val="004161B7"/>
    <w:rsid w:val="00416385"/>
    <w:rsid w:val="004163B5"/>
    <w:rsid w:val="00416479"/>
    <w:rsid w:val="0041685C"/>
    <w:rsid w:val="00417089"/>
    <w:rsid w:val="004170D4"/>
    <w:rsid w:val="004173F7"/>
    <w:rsid w:val="0041756A"/>
    <w:rsid w:val="004176E2"/>
    <w:rsid w:val="00417746"/>
    <w:rsid w:val="00417B5D"/>
    <w:rsid w:val="00417CAB"/>
    <w:rsid w:val="00417CD7"/>
    <w:rsid w:val="00417DAA"/>
    <w:rsid w:val="00417FAE"/>
    <w:rsid w:val="00417FEE"/>
    <w:rsid w:val="004200B4"/>
    <w:rsid w:val="00420114"/>
    <w:rsid w:val="0042052E"/>
    <w:rsid w:val="00420540"/>
    <w:rsid w:val="00420644"/>
    <w:rsid w:val="0042073C"/>
    <w:rsid w:val="004207C5"/>
    <w:rsid w:val="00420AB1"/>
    <w:rsid w:val="00420DE7"/>
    <w:rsid w:val="00420E94"/>
    <w:rsid w:val="0042101E"/>
    <w:rsid w:val="00421102"/>
    <w:rsid w:val="00421450"/>
    <w:rsid w:val="004217D9"/>
    <w:rsid w:val="00421838"/>
    <w:rsid w:val="00421DD5"/>
    <w:rsid w:val="00421EE9"/>
    <w:rsid w:val="00421FAE"/>
    <w:rsid w:val="00422276"/>
    <w:rsid w:val="00422280"/>
    <w:rsid w:val="004222A4"/>
    <w:rsid w:val="00422385"/>
    <w:rsid w:val="00422674"/>
    <w:rsid w:val="0042267F"/>
    <w:rsid w:val="00422B1E"/>
    <w:rsid w:val="00422BC9"/>
    <w:rsid w:val="00422C7B"/>
    <w:rsid w:val="00422DBC"/>
    <w:rsid w:val="00422DC7"/>
    <w:rsid w:val="00422DD0"/>
    <w:rsid w:val="00422DFF"/>
    <w:rsid w:val="00422F23"/>
    <w:rsid w:val="004232D3"/>
    <w:rsid w:val="004235F3"/>
    <w:rsid w:val="004237D2"/>
    <w:rsid w:val="00423824"/>
    <w:rsid w:val="00423D64"/>
    <w:rsid w:val="00423F3A"/>
    <w:rsid w:val="004240DF"/>
    <w:rsid w:val="0042411C"/>
    <w:rsid w:val="00424191"/>
    <w:rsid w:val="004241A8"/>
    <w:rsid w:val="0042431E"/>
    <w:rsid w:val="004243D1"/>
    <w:rsid w:val="00424403"/>
    <w:rsid w:val="004244D3"/>
    <w:rsid w:val="004244D8"/>
    <w:rsid w:val="00424A1A"/>
    <w:rsid w:val="00424AAC"/>
    <w:rsid w:val="00424AF8"/>
    <w:rsid w:val="00424B94"/>
    <w:rsid w:val="00424CA7"/>
    <w:rsid w:val="00424CCB"/>
    <w:rsid w:val="00424D0B"/>
    <w:rsid w:val="00424D25"/>
    <w:rsid w:val="00424E26"/>
    <w:rsid w:val="00425029"/>
    <w:rsid w:val="004257A5"/>
    <w:rsid w:val="00425833"/>
    <w:rsid w:val="0042596B"/>
    <w:rsid w:val="00425C0E"/>
    <w:rsid w:val="00425DF1"/>
    <w:rsid w:val="00426044"/>
    <w:rsid w:val="00426090"/>
    <w:rsid w:val="004260BD"/>
    <w:rsid w:val="00426102"/>
    <w:rsid w:val="00426267"/>
    <w:rsid w:val="00426296"/>
    <w:rsid w:val="004263F7"/>
    <w:rsid w:val="004264C9"/>
    <w:rsid w:val="0042676E"/>
    <w:rsid w:val="004267A2"/>
    <w:rsid w:val="00426881"/>
    <w:rsid w:val="00426C29"/>
    <w:rsid w:val="00426C2B"/>
    <w:rsid w:val="00426CD0"/>
    <w:rsid w:val="00426CF2"/>
    <w:rsid w:val="00427003"/>
    <w:rsid w:val="0042700A"/>
    <w:rsid w:val="00427080"/>
    <w:rsid w:val="00427134"/>
    <w:rsid w:val="004271B6"/>
    <w:rsid w:val="004272F4"/>
    <w:rsid w:val="00427385"/>
    <w:rsid w:val="004273AD"/>
    <w:rsid w:val="0042750A"/>
    <w:rsid w:val="0042761B"/>
    <w:rsid w:val="00427636"/>
    <w:rsid w:val="00427783"/>
    <w:rsid w:val="0042792B"/>
    <w:rsid w:val="0042792F"/>
    <w:rsid w:val="004279BC"/>
    <w:rsid w:val="00427A74"/>
    <w:rsid w:val="00427A8D"/>
    <w:rsid w:val="00427B8C"/>
    <w:rsid w:val="00427C0C"/>
    <w:rsid w:val="00427E55"/>
    <w:rsid w:val="00427EF0"/>
    <w:rsid w:val="00430013"/>
    <w:rsid w:val="0043006C"/>
    <w:rsid w:val="00430143"/>
    <w:rsid w:val="00430156"/>
    <w:rsid w:val="004304B9"/>
    <w:rsid w:val="00430529"/>
    <w:rsid w:val="00430728"/>
    <w:rsid w:val="00430BC1"/>
    <w:rsid w:val="00430BFF"/>
    <w:rsid w:val="00430CD3"/>
    <w:rsid w:val="004310A6"/>
    <w:rsid w:val="004310E3"/>
    <w:rsid w:val="0043110D"/>
    <w:rsid w:val="004311BD"/>
    <w:rsid w:val="00431241"/>
    <w:rsid w:val="004313BB"/>
    <w:rsid w:val="00431406"/>
    <w:rsid w:val="00431875"/>
    <w:rsid w:val="00431898"/>
    <w:rsid w:val="0043195E"/>
    <w:rsid w:val="00431AE5"/>
    <w:rsid w:val="00431B97"/>
    <w:rsid w:val="00431D91"/>
    <w:rsid w:val="00431DFB"/>
    <w:rsid w:val="00431F97"/>
    <w:rsid w:val="00431FDB"/>
    <w:rsid w:val="00432027"/>
    <w:rsid w:val="00432071"/>
    <w:rsid w:val="004322E6"/>
    <w:rsid w:val="00432391"/>
    <w:rsid w:val="004327A8"/>
    <w:rsid w:val="00432988"/>
    <w:rsid w:val="00432B5B"/>
    <w:rsid w:val="00432BA1"/>
    <w:rsid w:val="00432CD2"/>
    <w:rsid w:val="00432CEF"/>
    <w:rsid w:val="00432D54"/>
    <w:rsid w:val="00432DEA"/>
    <w:rsid w:val="00432F4C"/>
    <w:rsid w:val="0043301D"/>
    <w:rsid w:val="004331A0"/>
    <w:rsid w:val="004332AE"/>
    <w:rsid w:val="00433344"/>
    <w:rsid w:val="0043337D"/>
    <w:rsid w:val="0043345A"/>
    <w:rsid w:val="0043355B"/>
    <w:rsid w:val="004335FD"/>
    <w:rsid w:val="00433A1A"/>
    <w:rsid w:val="00433E7B"/>
    <w:rsid w:val="00433F67"/>
    <w:rsid w:val="00434160"/>
    <w:rsid w:val="0043422A"/>
    <w:rsid w:val="00434233"/>
    <w:rsid w:val="00434350"/>
    <w:rsid w:val="004343CF"/>
    <w:rsid w:val="0043455B"/>
    <w:rsid w:val="0043464C"/>
    <w:rsid w:val="004346D4"/>
    <w:rsid w:val="0043472C"/>
    <w:rsid w:val="00434A4C"/>
    <w:rsid w:val="00434A6C"/>
    <w:rsid w:val="00434D24"/>
    <w:rsid w:val="00434DF7"/>
    <w:rsid w:val="004350B9"/>
    <w:rsid w:val="0043522A"/>
    <w:rsid w:val="00435267"/>
    <w:rsid w:val="00435336"/>
    <w:rsid w:val="00435671"/>
    <w:rsid w:val="004356A2"/>
    <w:rsid w:val="00435802"/>
    <w:rsid w:val="00435910"/>
    <w:rsid w:val="00435B6B"/>
    <w:rsid w:val="00435E71"/>
    <w:rsid w:val="004360D9"/>
    <w:rsid w:val="004362C8"/>
    <w:rsid w:val="00436343"/>
    <w:rsid w:val="00436494"/>
    <w:rsid w:val="0043662D"/>
    <w:rsid w:val="00436C59"/>
    <w:rsid w:val="00436E44"/>
    <w:rsid w:val="00436FFF"/>
    <w:rsid w:val="00437049"/>
    <w:rsid w:val="00437878"/>
    <w:rsid w:val="004378A5"/>
    <w:rsid w:val="0043792E"/>
    <w:rsid w:val="00437BB5"/>
    <w:rsid w:val="00437C25"/>
    <w:rsid w:val="00437E43"/>
    <w:rsid w:val="00437F36"/>
    <w:rsid w:val="00440B87"/>
    <w:rsid w:val="00440D65"/>
    <w:rsid w:val="00440E1B"/>
    <w:rsid w:val="00440EA3"/>
    <w:rsid w:val="00440F73"/>
    <w:rsid w:val="0044115F"/>
    <w:rsid w:val="00441297"/>
    <w:rsid w:val="00441364"/>
    <w:rsid w:val="004413E3"/>
    <w:rsid w:val="004416B1"/>
    <w:rsid w:val="004416D2"/>
    <w:rsid w:val="004417E4"/>
    <w:rsid w:val="00441802"/>
    <w:rsid w:val="00441962"/>
    <w:rsid w:val="00441A4F"/>
    <w:rsid w:val="00441E16"/>
    <w:rsid w:val="0044203A"/>
    <w:rsid w:val="0044204A"/>
    <w:rsid w:val="004421BA"/>
    <w:rsid w:val="0044226B"/>
    <w:rsid w:val="0044227B"/>
    <w:rsid w:val="004422E7"/>
    <w:rsid w:val="00442530"/>
    <w:rsid w:val="004426BC"/>
    <w:rsid w:val="00442849"/>
    <w:rsid w:val="00442B8A"/>
    <w:rsid w:val="00442BDD"/>
    <w:rsid w:val="00442DE9"/>
    <w:rsid w:val="00443020"/>
    <w:rsid w:val="00443129"/>
    <w:rsid w:val="004431C8"/>
    <w:rsid w:val="0044324D"/>
    <w:rsid w:val="004432A4"/>
    <w:rsid w:val="004432B0"/>
    <w:rsid w:val="0044344E"/>
    <w:rsid w:val="00443BA1"/>
    <w:rsid w:val="00443C02"/>
    <w:rsid w:val="00443D9E"/>
    <w:rsid w:val="00443E3D"/>
    <w:rsid w:val="00443FE4"/>
    <w:rsid w:val="00444060"/>
    <w:rsid w:val="0044415A"/>
    <w:rsid w:val="004441A1"/>
    <w:rsid w:val="00444610"/>
    <w:rsid w:val="00444868"/>
    <w:rsid w:val="0044488B"/>
    <w:rsid w:val="00444908"/>
    <w:rsid w:val="00444BBB"/>
    <w:rsid w:val="00444C99"/>
    <w:rsid w:val="00444D28"/>
    <w:rsid w:val="00444D2B"/>
    <w:rsid w:val="00444E21"/>
    <w:rsid w:val="00445008"/>
    <w:rsid w:val="004451DB"/>
    <w:rsid w:val="00445641"/>
    <w:rsid w:val="0044582F"/>
    <w:rsid w:val="00445A02"/>
    <w:rsid w:val="00445B25"/>
    <w:rsid w:val="00445C9C"/>
    <w:rsid w:val="00445EBA"/>
    <w:rsid w:val="00445EF1"/>
    <w:rsid w:val="00446051"/>
    <w:rsid w:val="0044606C"/>
    <w:rsid w:val="00446104"/>
    <w:rsid w:val="00446127"/>
    <w:rsid w:val="004464B8"/>
    <w:rsid w:val="00446551"/>
    <w:rsid w:val="004465FA"/>
    <w:rsid w:val="0044662D"/>
    <w:rsid w:val="00446654"/>
    <w:rsid w:val="00446721"/>
    <w:rsid w:val="00446B7E"/>
    <w:rsid w:val="0044719C"/>
    <w:rsid w:val="004471DD"/>
    <w:rsid w:val="004472AE"/>
    <w:rsid w:val="004473B9"/>
    <w:rsid w:val="004473BF"/>
    <w:rsid w:val="00447478"/>
    <w:rsid w:val="00447570"/>
    <w:rsid w:val="00447572"/>
    <w:rsid w:val="004475AF"/>
    <w:rsid w:val="00447708"/>
    <w:rsid w:val="00447AC7"/>
    <w:rsid w:val="00447B3E"/>
    <w:rsid w:val="00447C55"/>
    <w:rsid w:val="00447D0C"/>
    <w:rsid w:val="00447EAA"/>
    <w:rsid w:val="00447ED6"/>
    <w:rsid w:val="0045014B"/>
    <w:rsid w:val="00450443"/>
    <w:rsid w:val="00450483"/>
    <w:rsid w:val="004504BA"/>
    <w:rsid w:val="004506A5"/>
    <w:rsid w:val="00450809"/>
    <w:rsid w:val="00450CA4"/>
    <w:rsid w:val="00450D6E"/>
    <w:rsid w:val="004510AC"/>
    <w:rsid w:val="004511F9"/>
    <w:rsid w:val="00451200"/>
    <w:rsid w:val="004512A6"/>
    <w:rsid w:val="004513F2"/>
    <w:rsid w:val="00451587"/>
    <w:rsid w:val="0045167F"/>
    <w:rsid w:val="00451DAC"/>
    <w:rsid w:val="00451F63"/>
    <w:rsid w:val="00451F6C"/>
    <w:rsid w:val="0045202B"/>
    <w:rsid w:val="00452154"/>
    <w:rsid w:val="00452217"/>
    <w:rsid w:val="004523FF"/>
    <w:rsid w:val="004524E9"/>
    <w:rsid w:val="00452A66"/>
    <w:rsid w:val="00452AAF"/>
    <w:rsid w:val="00452AF1"/>
    <w:rsid w:val="00452C28"/>
    <w:rsid w:val="00452D18"/>
    <w:rsid w:val="00452DE6"/>
    <w:rsid w:val="00452EEF"/>
    <w:rsid w:val="00452FD8"/>
    <w:rsid w:val="0045300D"/>
    <w:rsid w:val="00453159"/>
    <w:rsid w:val="00453191"/>
    <w:rsid w:val="00453203"/>
    <w:rsid w:val="004533FD"/>
    <w:rsid w:val="004534B6"/>
    <w:rsid w:val="00453538"/>
    <w:rsid w:val="0045356C"/>
    <w:rsid w:val="004535AC"/>
    <w:rsid w:val="00453615"/>
    <w:rsid w:val="004537F3"/>
    <w:rsid w:val="0045389C"/>
    <w:rsid w:val="00453B92"/>
    <w:rsid w:val="00453BAE"/>
    <w:rsid w:val="00453D59"/>
    <w:rsid w:val="00453D8D"/>
    <w:rsid w:val="00453FC4"/>
    <w:rsid w:val="00454173"/>
    <w:rsid w:val="00454263"/>
    <w:rsid w:val="004544F3"/>
    <w:rsid w:val="00454563"/>
    <w:rsid w:val="0045487B"/>
    <w:rsid w:val="004548E9"/>
    <w:rsid w:val="00454945"/>
    <w:rsid w:val="004549BF"/>
    <w:rsid w:val="004549EB"/>
    <w:rsid w:val="00454B20"/>
    <w:rsid w:val="00454B49"/>
    <w:rsid w:val="00454D58"/>
    <w:rsid w:val="00454E4F"/>
    <w:rsid w:val="00454E79"/>
    <w:rsid w:val="00455074"/>
    <w:rsid w:val="004550DB"/>
    <w:rsid w:val="00455126"/>
    <w:rsid w:val="004553FE"/>
    <w:rsid w:val="0045557F"/>
    <w:rsid w:val="00455672"/>
    <w:rsid w:val="00455765"/>
    <w:rsid w:val="004557E7"/>
    <w:rsid w:val="00455ABF"/>
    <w:rsid w:val="00455ADA"/>
    <w:rsid w:val="00455AEB"/>
    <w:rsid w:val="00455F2B"/>
    <w:rsid w:val="00455FB0"/>
    <w:rsid w:val="00456242"/>
    <w:rsid w:val="00456618"/>
    <w:rsid w:val="004566A5"/>
    <w:rsid w:val="00456952"/>
    <w:rsid w:val="00456980"/>
    <w:rsid w:val="00456995"/>
    <w:rsid w:val="004569E8"/>
    <w:rsid w:val="00456AD4"/>
    <w:rsid w:val="00456BAA"/>
    <w:rsid w:val="00456BBE"/>
    <w:rsid w:val="00456C3B"/>
    <w:rsid w:val="00456DB7"/>
    <w:rsid w:val="00456FF9"/>
    <w:rsid w:val="0045724C"/>
    <w:rsid w:val="004572D8"/>
    <w:rsid w:val="004572E1"/>
    <w:rsid w:val="00457362"/>
    <w:rsid w:val="004573DD"/>
    <w:rsid w:val="004573E4"/>
    <w:rsid w:val="0045743C"/>
    <w:rsid w:val="00457461"/>
    <w:rsid w:val="00457A34"/>
    <w:rsid w:val="00457B10"/>
    <w:rsid w:val="00457F94"/>
    <w:rsid w:val="00457FF0"/>
    <w:rsid w:val="0046018B"/>
    <w:rsid w:val="00460437"/>
    <w:rsid w:val="00460470"/>
    <w:rsid w:val="004606F4"/>
    <w:rsid w:val="0046084E"/>
    <w:rsid w:val="0046088D"/>
    <w:rsid w:val="004608D4"/>
    <w:rsid w:val="004608DD"/>
    <w:rsid w:val="004608FF"/>
    <w:rsid w:val="00460928"/>
    <w:rsid w:val="00460A30"/>
    <w:rsid w:val="00460B6A"/>
    <w:rsid w:val="00460BCD"/>
    <w:rsid w:val="00460C56"/>
    <w:rsid w:val="00460DDB"/>
    <w:rsid w:val="00460E06"/>
    <w:rsid w:val="00460E28"/>
    <w:rsid w:val="00460ED1"/>
    <w:rsid w:val="00460F35"/>
    <w:rsid w:val="0046101C"/>
    <w:rsid w:val="00461065"/>
    <w:rsid w:val="00461421"/>
    <w:rsid w:val="00461488"/>
    <w:rsid w:val="004619BB"/>
    <w:rsid w:val="00461B63"/>
    <w:rsid w:val="00461BBE"/>
    <w:rsid w:val="00461D5B"/>
    <w:rsid w:val="00461E1B"/>
    <w:rsid w:val="00462069"/>
    <w:rsid w:val="004621DA"/>
    <w:rsid w:val="004621E3"/>
    <w:rsid w:val="004621FF"/>
    <w:rsid w:val="0046229F"/>
    <w:rsid w:val="004622B3"/>
    <w:rsid w:val="00462311"/>
    <w:rsid w:val="0046265D"/>
    <w:rsid w:val="0046272E"/>
    <w:rsid w:val="00462753"/>
    <w:rsid w:val="004629D4"/>
    <w:rsid w:val="00462A11"/>
    <w:rsid w:val="00462B22"/>
    <w:rsid w:val="00462B36"/>
    <w:rsid w:val="00462BD3"/>
    <w:rsid w:val="00462EE4"/>
    <w:rsid w:val="004632AA"/>
    <w:rsid w:val="004632F7"/>
    <w:rsid w:val="004635E0"/>
    <w:rsid w:val="00463619"/>
    <w:rsid w:val="00463811"/>
    <w:rsid w:val="00463BA0"/>
    <w:rsid w:val="00463CA8"/>
    <w:rsid w:val="00463D6B"/>
    <w:rsid w:val="00463E1A"/>
    <w:rsid w:val="004640EE"/>
    <w:rsid w:val="004641AE"/>
    <w:rsid w:val="004641F6"/>
    <w:rsid w:val="0046427C"/>
    <w:rsid w:val="0046428D"/>
    <w:rsid w:val="004642D9"/>
    <w:rsid w:val="0046431E"/>
    <w:rsid w:val="0046446E"/>
    <w:rsid w:val="00464588"/>
    <w:rsid w:val="00464764"/>
    <w:rsid w:val="00464955"/>
    <w:rsid w:val="00464D6D"/>
    <w:rsid w:val="00464DED"/>
    <w:rsid w:val="00464FDA"/>
    <w:rsid w:val="0046522C"/>
    <w:rsid w:val="0046532D"/>
    <w:rsid w:val="00465435"/>
    <w:rsid w:val="0046563E"/>
    <w:rsid w:val="00465977"/>
    <w:rsid w:val="00465D3F"/>
    <w:rsid w:val="00465D6A"/>
    <w:rsid w:val="00465F63"/>
    <w:rsid w:val="0046600B"/>
    <w:rsid w:val="004660C8"/>
    <w:rsid w:val="004661E7"/>
    <w:rsid w:val="00466210"/>
    <w:rsid w:val="0046621E"/>
    <w:rsid w:val="004662AC"/>
    <w:rsid w:val="00466750"/>
    <w:rsid w:val="00466802"/>
    <w:rsid w:val="00466825"/>
    <w:rsid w:val="00466986"/>
    <w:rsid w:val="00466A29"/>
    <w:rsid w:val="00466B6F"/>
    <w:rsid w:val="00466E7B"/>
    <w:rsid w:val="00466E9C"/>
    <w:rsid w:val="00466F64"/>
    <w:rsid w:val="00467405"/>
    <w:rsid w:val="004674CB"/>
    <w:rsid w:val="004674F1"/>
    <w:rsid w:val="00467751"/>
    <w:rsid w:val="00467A01"/>
    <w:rsid w:val="00467A1B"/>
    <w:rsid w:val="00467C6F"/>
    <w:rsid w:val="00467F0B"/>
    <w:rsid w:val="00467FA6"/>
    <w:rsid w:val="004701EE"/>
    <w:rsid w:val="00470211"/>
    <w:rsid w:val="00470258"/>
    <w:rsid w:val="004704AE"/>
    <w:rsid w:val="004705E0"/>
    <w:rsid w:val="00470693"/>
    <w:rsid w:val="0047069A"/>
    <w:rsid w:val="0047071E"/>
    <w:rsid w:val="00470786"/>
    <w:rsid w:val="0047081C"/>
    <w:rsid w:val="0047095C"/>
    <w:rsid w:val="00470A53"/>
    <w:rsid w:val="00470AA0"/>
    <w:rsid w:val="00470AEA"/>
    <w:rsid w:val="00470BFA"/>
    <w:rsid w:val="00470E5F"/>
    <w:rsid w:val="00470F85"/>
    <w:rsid w:val="004710D5"/>
    <w:rsid w:val="00471151"/>
    <w:rsid w:val="00471166"/>
    <w:rsid w:val="004711FA"/>
    <w:rsid w:val="00471464"/>
    <w:rsid w:val="00471536"/>
    <w:rsid w:val="004715CA"/>
    <w:rsid w:val="004716C6"/>
    <w:rsid w:val="0047175B"/>
    <w:rsid w:val="004717F8"/>
    <w:rsid w:val="00471B4A"/>
    <w:rsid w:val="00471EA5"/>
    <w:rsid w:val="00471EB9"/>
    <w:rsid w:val="00471FCD"/>
    <w:rsid w:val="00471FD1"/>
    <w:rsid w:val="004723E1"/>
    <w:rsid w:val="00472952"/>
    <w:rsid w:val="0047299A"/>
    <w:rsid w:val="00472AA2"/>
    <w:rsid w:val="00472B80"/>
    <w:rsid w:val="00472BE9"/>
    <w:rsid w:val="00472C39"/>
    <w:rsid w:val="00472C96"/>
    <w:rsid w:val="00472D04"/>
    <w:rsid w:val="00472D1F"/>
    <w:rsid w:val="00472D4D"/>
    <w:rsid w:val="00472E63"/>
    <w:rsid w:val="00472EA6"/>
    <w:rsid w:val="00472FF2"/>
    <w:rsid w:val="00473128"/>
    <w:rsid w:val="004732EC"/>
    <w:rsid w:val="00473441"/>
    <w:rsid w:val="00473626"/>
    <w:rsid w:val="00473645"/>
    <w:rsid w:val="00473A1C"/>
    <w:rsid w:val="00473B42"/>
    <w:rsid w:val="00473C60"/>
    <w:rsid w:val="00473CD5"/>
    <w:rsid w:val="00474138"/>
    <w:rsid w:val="004742E0"/>
    <w:rsid w:val="00474416"/>
    <w:rsid w:val="00474659"/>
    <w:rsid w:val="004746F0"/>
    <w:rsid w:val="0047491D"/>
    <w:rsid w:val="00474A78"/>
    <w:rsid w:val="00474A8F"/>
    <w:rsid w:val="00474ADE"/>
    <w:rsid w:val="00474B66"/>
    <w:rsid w:val="00474C0E"/>
    <w:rsid w:val="00474C12"/>
    <w:rsid w:val="00474E21"/>
    <w:rsid w:val="00474EF8"/>
    <w:rsid w:val="00475014"/>
    <w:rsid w:val="00475506"/>
    <w:rsid w:val="0047553B"/>
    <w:rsid w:val="004757CD"/>
    <w:rsid w:val="00475925"/>
    <w:rsid w:val="00475B40"/>
    <w:rsid w:val="00475BA7"/>
    <w:rsid w:val="00475BE0"/>
    <w:rsid w:val="00475DCB"/>
    <w:rsid w:val="00475E08"/>
    <w:rsid w:val="00475FB6"/>
    <w:rsid w:val="00475FD4"/>
    <w:rsid w:val="00475FF9"/>
    <w:rsid w:val="00476273"/>
    <w:rsid w:val="00476886"/>
    <w:rsid w:val="004768C3"/>
    <w:rsid w:val="00476952"/>
    <w:rsid w:val="00476A25"/>
    <w:rsid w:val="00476B3C"/>
    <w:rsid w:val="00476BE8"/>
    <w:rsid w:val="00476E39"/>
    <w:rsid w:val="00476E6C"/>
    <w:rsid w:val="00476F90"/>
    <w:rsid w:val="00477040"/>
    <w:rsid w:val="004771D9"/>
    <w:rsid w:val="0047746E"/>
    <w:rsid w:val="00477556"/>
    <w:rsid w:val="0047780A"/>
    <w:rsid w:val="00477812"/>
    <w:rsid w:val="00477847"/>
    <w:rsid w:val="0047784E"/>
    <w:rsid w:val="004778D1"/>
    <w:rsid w:val="00477962"/>
    <w:rsid w:val="00477C3C"/>
    <w:rsid w:val="00477E8F"/>
    <w:rsid w:val="00477F08"/>
    <w:rsid w:val="00477FB9"/>
    <w:rsid w:val="00480108"/>
    <w:rsid w:val="0048023B"/>
    <w:rsid w:val="00480252"/>
    <w:rsid w:val="004808BC"/>
    <w:rsid w:val="00480B7D"/>
    <w:rsid w:val="00480B82"/>
    <w:rsid w:val="00480E06"/>
    <w:rsid w:val="00481152"/>
    <w:rsid w:val="004811DC"/>
    <w:rsid w:val="00481272"/>
    <w:rsid w:val="004812A9"/>
    <w:rsid w:val="00481549"/>
    <w:rsid w:val="004817F8"/>
    <w:rsid w:val="00481874"/>
    <w:rsid w:val="00481986"/>
    <w:rsid w:val="00481C3F"/>
    <w:rsid w:val="00481DF2"/>
    <w:rsid w:val="00481F7A"/>
    <w:rsid w:val="00481F99"/>
    <w:rsid w:val="0048228A"/>
    <w:rsid w:val="00482498"/>
    <w:rsid w:val="0048252F"/>
    <w:rsid w:val="00482604"/>
    <w:rsid w:val="0048272A"/>
    <w:rsid w:val="0048297C"/>
    <w:rsid w:val="00482982"/>
    <w:rsid w:val="0048299E"/>
    <w:rsid w:val="004829D4"/>
    <w:rsid w:val="00482A60"/>
    <w:rsid w:val="00482B04"/>
    <w:rsid w:val="00482B87"/>
    <w:rsid w:val="00482BC3"/>
    <w:rsid w:val="00482C65"/>
    <w:rsid w:val="00482D35"/>
    <w:rsid w:val="0048305B"/>
    <w:rsid w:val="004830AE"/>
    <w:rsid w:val="0048312D"/>
    <w:rsid w:val="004832D3"/>
    <w:rsid w:val="00483402"/>
    <w:rsid w:val="00483538"/>
    <w:rsid w:val="004837C4"/>
    <w:rsid w:val="004838D6"/>
    <w:rsid w:val="00483936"/>
    <w:rsid w:val="004839A9"/>
    <w:rsid w:val="00483AB7"/>
    <w:rsid w:val="00483D23"/>
    <w:rsid w:val="00483D6C"/>
    <w:rsid w:val="00483D8B"/>
    <w:rsid w:val="00483E4E"/>
    <w:rsid w:val="00483F39"/>
    <w:rsid w:val="00483FC6"/>
    <w:rsid w:val="004845B5"/>
    <w:rsid w:val="004845FF"/>
    <w:rsid w:val="0048478C"/>
    <w:rsid w:val="00484909"/>
    <w:rsid w:val="00484995"/>
    <w:rsid w:val="00484C4C"/>
    <w:rsid w:val="00484D8C"/>
    <w:rsid w:val="00484FFD"/>
    <w:rsid w:val="004852B5"/>
    <w:rsid w:val="00485492"/>
    <w:rsid w:val="004855ED"/>
    <w:rsid w:val="00485675"/>
    <w:rsid w:val="004857A9"/>
    <w:rsid w:val="004859D4"/>
    <w:rsid w:val="00485A98"/>
    <w:rsid w:val="00485C11"/>
    <w:rsid w:val="00486019"/>
    <w:rsid w:val="00486252"/>
    <w:rsid w:val="00486307"/>
    <w:rsid w:val="00486318"/>
    <w:rsid w:val="004863E7"/>
    <w:rsid w:val="00486448"/>
    <w:rsid w:val="00486579"/>
    <w:rsid w:val="0048657E"/>
    <w:rsid w:val="004865F4"/>
    <w:rsid w:val="0048671E"/>
    <w:rsid w:val="00486895"/>
    <w:rsid w:val="00486A99"/>
    <w:rsid w:val="00486B92"/>
    <w:rsid w:val="00486CCD"/>
    <w:rsid w:val="00486D6D"/>
    <w:rsid w:val="00486DD6"/>
    <w:rsid w:val="00486EF7"/>
    <w:rsid w:val="00486F91"/>
    <w:rsid w:val="004875FD"/>
    <w:rsid w:val="0048761C"/>
    <w:rsid w:val="004876FB"/>
    <w:rsid w:val="00487ABD"/>
    <w:rsid w:val="00487B65"/>
    <w:rsid w:val="00487D7F"/>
    <w:rsid w:val="00487F76"/>
    <w:rsid w:val="00490251"/>
    <w:rsid w:val="004905CC"/>
    <w:rsid w:val="004906BC"/>
    <w:rsid w:val="004908B7"/>
    <w:rsid w:val="00490942"/>
    <w:rsid w:val="00490943"/>
    <w:rsid w:val="00490A1F"/>
    <w:rsid w:val="00490A71"/>
    <w:rsid w:val="00490B8C"/>
    <w:rsid w:val="00490D6E"/>
    <w:rsid w:val="00491152"/>
    <w:rsid w:val="0049120D"/>
    <w:rsid w:val="004912D2"/>
    <w:rsid w:val="004914F1"/>
    <w:rsid w:val="0049181C"/>
    <w:rsid w:val="00491907"/>
    <w:rsid w:val="0049191D"/>
    <w:rsid w:val="004919DD"/>
    <w:rsid w:val="00491B46"/>
    <w:rsid w:val="00491C47"/>
    <w:rsid w:val="00491CFC"/>
    <w:rsid w:val="00491DF4"/>
    <w:rsid w:val="00491E22"/>
    <w:rsid w:val="00492164"/>
    <w:rsid w:val="0049232E"/>
    <w:rsid w:val="00492421"/>
    <w:rsid w:val="004927D0"/>
    <w:rsid w:val="00492A15"/>
    <w:rsid w:val="00492AEE"/>
    <w:rsid w:val="00492DC9"/>
    <w:rsid w:val="00492E4D"/>
    <w:rsid w:val="00492E94"/>
    <w:rsid w:val="004930C0"/>
    <w:rsid w:val="004930D3"/>
    <w:rsid w:val="004931F5"/>
    <w:rsid w:val="004935EF"/>
    <w:rsid w:val="004936BE"/>
    <w:rsid w:val="004936BF"/>
    <w:rsid w:val="0049379C"/>
    <w:rsid w:val="004938F9"/>
    <w:rsid w:val="0049398D"/>
    <w:rsid w:val="00493A78"/>
    <w:rsid w:val="00493A7C"/>
    <w:rsid w:val="00493AB3"/>
    <w:rsid w:val="00493BF8"/>
    <w:rsid w:val="00493D06"/>
    <w:rsid w:val="00493D5B"/>
    <w:rsid w:val="00493E85"/>
    <w:rsid w:val="004943A5"/>
    <w:rsid w:val="00494572"/>
    <w:rsid w:val="00494908"/>
    <w:rsid w:val="00494A66"/>
    <w:rsid w:val="00494A9A"/>
    <w:rsid w:val="00494BEF"/>
    <w:rsid w:val="00494DCE"/>
    <w:rsid w:val="00494F7C"/>
    <w:rsid w:val="00495031"/>
    <w:rsid w:val="004951AB"/>
    <w:rsid w:val="00495590"/>
    <w:rsid w:val="0049576E"/>
    <w:rsid w:val="004958A2"/>
    <w:rsid w:val="00495965"/>
    <w:rsid w:val="00495DC5"/>
    <w:rsid w:val="00496075"/>
    <w:rsid w:val="0049640C"/>
    <w:rsid w:val="0049640E"/>
    <w:rsid w:val="0049658A"/>
    <w:rsid w:val="004969BF"/>
    <w:rsid w:val="00496A5A"/>
    <w:rsid w:val="00496BF4"/>
    <w:rsid w:val="00496CAA"/>
    <w:rsid w:val="00496D9E"/>
    <w:rsid w:val="00496DAC"/>
    <w:rsid w:val="004970C5"/>
    <w:rsid w:val="00497101"/>
    <w:rsid w:val="00497186"/>
    <w:rsid w:val="004972C1"/>
    <w:rsid w:val="0049739A"/>
    <w:rsid w:val="0049786F"/>
    <w:rsid w:val="004978EF"/>
    <w:rsid w:val="00497C31"/>
    <w:rsid w:val="004A005D"/>
    <w:rsid w:val="004A0173"/>
    <w:rsid w:val="004A02A7"/>
    <w:rsid w:val="004A0382"/>
    <w:rsid w:val="004A03E3"/>
    <w:rsid w:val="004A05EA"/>
    <w:rsid w:val="004A074C"/>
    <w:rsid w:val="004A0C6D"/>
    <w:rsid w:val="004A0E4B"/>
    <w:rsid w:val="004A0F11"/>
    <w:rsid w:val="004A1051"/>
    <w:rsid w:val="004A11C3"/>
    <w:rsid w:val="004A11FC"/>
    <w:rsid w:val="004A1384"/>
    <w:rsid w:val="004A13E1"/>
    <w:rsid w:val="004A147E"/>
    <w:rsid w:val="004A1624"/>
    <w:rsid w:val="004A170B"/>
    <w:rsid w:val="004A17E0"/>
    <w:rsid w:val="004A18E7"/>
    <w:rsid w:val="004A1A87"/>
    <w:rsid w:val="004A1AB3"/>
    <w:rsid w:val="004A1B89"/>
    <w:rsid w:val="004A1CFD"/>
    <w:rsid w:val="004A1FFF"/>
    <w:rsid w:val="004A2236"/>
    <w:rsid w:val="004A25B3"/>
    <w:rsid w:val="004A25D9"/>
    <w:rsid w:val="004A2752"/>
    <w:rsid w:val="004A2990"/>
    <w:rsid w:val="004A2A2D"/>
    <w:rsid w:val="004A2B86"/>
    <w:rsid w:val="004A2BFF"/>
    <w:rsid w:val="004A2C3B"/>
    <w:rsid w:val="004A2C57"/>
    <w:rsid w:val="004A2CBB"/>
    <w:rsid w:val="004A2CDB"/>
    <w:rsid w:val="004A2DF5"/>
    <w:rsid w:val="004A2E30"/>
    <w:rsid w:val="004A2F34"/>
    <w:rsid w:val="004A3056"/>
    <w:rsid w:val="004A328B"/>
    <w:rsid w:val="004A341B"/>
    <w:rsid w:val="004A34AD"/>
    <w:rsid w:val="004A35BE"/>
    <w:rsid w:val="004A37AD"/>
    <w:rsid w:val="004A37DE"/>
    <w:rsid w:val="004A3C4F"/>
    <w:rsid w:val="004A3C86"/>
    <w:rsid w:val="004A3D19"/>
    <w:rsid w:val="004A3E30"/>
    <w:rsid w:val="004A409B"/>
    <w:rsid w:val="004A40C3"/>
    <w:rsid w:val="004A411B"/>
    <w:rsid w:val="004A41EA"/>
    <w:rsid w:val="004A4209"/>
    <w:rsid w:val="004A4232"/>
    <w:rsid w:val="004A4371"/>
    <w:rsid w:val="004A4428"/>
    <w:rsid w:val="004A44F0"/>
    <w:rsid w:val="004A466D"/>
    <w:rsid w:val="004A46D0"/>
    <w:rsid w:val="004A4764"/>
    <w:rsid w:val="004A4854"/>
    <w:rsid w:val="004A4907"/>
    <w:rsid w:val="004A4B1D"/>
    <w:rsid w:val="004A4EF3"/>
    <w:rsid w:val="004A4EFE"/>
    <w:rsid w:val="004A4FFF"/>
    <w:rsid w:val="004A501C"/>
    <w:rsid w:val="004A5169"/>
    <w:rsid w:val="004A54E0"/>
    <w:rsid w:val="004A551C"/>
    <w:rsid w:val="004A5528"/>
    <w:rsid w:val="004A5679"/>
    <w:rsid w:val="004A573F"/>
    <w:rsid w:val="004A5746"/>
    <w:rsid w:val="004A57B2"/>
    <w:rsid w:val="004A589B"/>
    <w:rsid w:val="004A5969"/>
    <w:rsid w:val="004A5D3F"/>
    <w:rsid w:val="004A5D9A"/>
    <w:rsid w:val="004A5DA8"/>
    <w:rsid w:val="004A5E59"/>
    <w:rsid w:val="004A5EAE"/>
    <w:rsid w:val="004A6037"/>
    <w:rsid w:val="004A6293"/>
    <w:rsid w:val="004A63A8"/>
    <w:rsid w:val="004A6537"/>
    <w:rsid w:val="004A66BB"/>
    <w:rsid w:val="004A682D"/>
    <w:rsid w:val="004A687E"/>
    <w:rsid w:val="004A696E"/>
    <w:rsid w:val="004A6A89"/>
    <w:rsid w:val="004A6BF9"/>
    <w:rsid w:val="004A6CAE"/>
    <w:rsid w:val="004A6CC5"/>
    <w:rsid w:val="004A6D38"/>
    <w:rsid w:val="004A6D76"/>
    <w:rsid w:val="004A6EB0"/>
    <w:rsid w:val="004A705B"/>
    <w:rsid w:val="004A7662"/>
    <w:rsid w:val="004A7708"/>
    <w:rsid w:val="004A7A47"/>
    <w:rsid w:val="004A7AB9"/>
    <w:rsid w:val="004A7EC7"/>
    <w:rsid w:val="004B010F"/>
    <w:rsid w:val="004B01E4"/>
    <w:rsid w:val="004B029B"/>
    <w:rsid w:val="004B02BF"/>
    <w:rsid w:val="004B0337"/>
    <w:rsid w:val="004B03FF"/>
    <w:rsid w:val="004B050B"/>
    <w:rsid w:val="004B05A9"/>
    <w:rsid w:val="004B07AF"/>
    <w:rsid w:val="004B0832"/>
    <w:rsid w:val="004B0DEA"/>
    <w:rsid w:val="004B0E86"/>
    <w:rsid w:val="004B0FD3"/>
    <w:rsid w:val="004B10A7"/>
    <w:rsid w:val="004B1167"/>
    <w:rsid w:val="004B1285"/>
    <w:rsid w:val="004B1522"/>
    <w:rsid w:val="004B15D8"/>
    <w:rsid w:val="004B1669"/>
    <w:rsid w:val="004B1753"/>
    <w:rsid w:val="004B1787"/>
    <w:rsid w:val="004B17F5"/>
    <w:rsid w:val="004B17F7"/>
    <w:rsid w:val="004B1A59"/>
    <w:rsid w:val="004B1A70"/>
    <w:rsid w:val="004B1B34"/>
    <w:rsid w:val="004B1CF3"/>
    <w:rsid w:val="004B1D3B"/>
    <w:rsid w:val="004B2138"/>
    <w:rsid w:val="004B2A7B"/>
    <w:rsid w:val="004B2ED6"/>
    <w:rsid w:val="004B2F6F"/>
    <w:rsid w:val="004B306B"/>
    <w:rsid w:val="004B30A8"/>
    <w:rsid w:val="004B3298"/>
    <w:rsid w:val="004B33F5"/>
    <w:rsid w:val="004B35FB"/>
    <w:rsid w:val="004B35FF"/>
    <w:rsid w:val="004B3942"/>
    <w:rsid w:val="004B3AB7"/>
    <w:rsid w:val="004B3C00"/>
    <w:rsid w:val="004B3C40"/>
    <w:rsid w:val="004B3CEA"/>
    <w:rsid w:val="004B3E92"/>
    <w:rsid w:val="004B412F"/>
    <w:rsid w:val="004B42EC"/>
    <w:rsid w:val="004B42F9"/>
    <w:rsid w:val="004B4483"/>
    <w:rsid w:val="004B4546"/>
    <w:rsid w:val="004B45E8"/>
    <w:rsid w:val="004B47E3"/>
    <w:rsid w:val="004B4907"/>
    <w:rsid w:val="004B4A6B"/>
    <w:rsid w:val="004B4BC9"/>
    <w:rsid w:val="004B4C1A"/>
    <w:rsid w:val="004B4C5F"/>
    <w:rsid w:val="004B5361"/>
    <w:rsid w:val="004B5976"/>
    <w:rsid w:val="004B5A28"/>
    <w:rsid w:val="004B5AB6"/>
    <w:rsid w:val="004B5C12"/>
    <w:rsid w:val="004B5C21"/>
    <w:rsid w:val="004B5C7B"/>
    <w:rsid w:val="004B5DD5"/>
    <w:rsid w:val="004B5F1A"/>
    <w:rsid w:val="004B5F5B"/>
    <w:rsid w:val="004B64A6"/>
    <w:rsid w:val="004B64E1"/>
    <w:rsid w:val="004B6879"/>
    <w:rsid w:val="004B6A40"/>
    <w:rsid w:val="004B6AAC"/>
    <w:rsid w:val="004B6AAD"/>
    <w:rsid w:val="004B6DB1"/>
    <w:rsid w:val="004B6E55"/>
    <w:rsid w:val="004B7180"/>
    <w:rsid w:val="004B73FB"/>
    <w:rsid w:val="004B74D7"/>
    <w:rsid w:val="004B755D"/>
    <w:rsid w:val="004B764F"/>
    <w:rsid w:val="004B76DE"/>
    <w:rsid w:val="004B76EC"/>
    <w:rsid w:val="004B78BF"/>
    <w:rsid w:val="004B79FF"/>
    <w:rsid w:val="004B7B3B"/>
    <w:rsid w:val="004B7D80"/>
    <w:rsid w:val="004B7EF5"/>
    <w:rsid w:val="004C000E"/>
    <w:rsid w:val="004C007C"/>
    <w:rsid w:val="004C0101"/>
    <w:rsid w:val="004C02E0"/>
    <w:rsid w:val="004C0326"/>
    <w:rsid w:val="004C0412"/>
    <w:rsid w:val="004C076F"/>
    <w:rsid w:val="004C0777"/>
    <w:rsid w:val="004C0857"/>
    <w:rsid w:val="004C0A3F"/>
    <w:rsid w:val="004C0DF5"/>
    <w:rsid w:val="004C0F42"/>
    <w:rsid w:val="004C0FFA"/>
    <w:rsid w:val="004C1179"/>
    <w:rsid w:val="004C1635"/>
    <w:rsid w:val="004C1747"/>
    <w:rsid w:val="004C1807"/>
    <w:rsid w:val="004C1863"/>
    <w:rsid w:val="004C197B"/>
    <w:rsid w:val="004C1D0C"/>
    <w:rsid w:val="004C2055"/>
    <w:rsid w:val="004C21E5"/>
    <w:rsid w:val="004C2218"/>
    <w:rsid w:val="004C2280"/>
    <w:rsid w:val="004C25EF"/>
    <w:rsid w:val="004C26E1"/>
    <w:rsid w:val="004C295D"/>
    <w:rsid w:val="004C2B0D"/>
    <w:rsid w:val="004C2CB0"/>
    <w:rsid w:val="004C2CFA"/>
    <w:rsid w:val="004C2DBB"/>
    <w:rsid w:val="004C2E53"/>
    <w:rsid w:val="004C2FF3"/>
    <w:rsid w:val="004C31E2"/>
    <w:rsid w:val="004C323B"/>
    <w:rsid w:val="004C3258"/>
    <w:rsid w:val="004C343D"/>
    <w:rsid w:val="004C3512"/>
    <w:rsid w:val="004C353B"/>
    <w:rsid w:val="004C3653"/>
    <w:rsid w:val="004C36D1"/>
    <w:rsid w:val="004C37B3"/>
    <w:rsid w:val="004C38FE"/>
    <w:rsid w:val="004C3A12"/>
    <w:rsid w:val="004C3A47"/>
    <w:rsid w:val="004C3B63"/>
    <w:rsid w:val="004C3D88"/>
    <w:rsid w:val="004C3EDB"/>
    <w:rsid w:val="004C3FAA"/>
    <w:rsid w:val="004C42D9"/>
    <w:rsid w:val="004C436C"/>
    <w:rsid w:val="004C4392"/>
    <w:rsid w:val="004C445C"/>
    <w:rsid w:val="004C45DB"/>
    <w:rsid w:val="004C468E"/>
    <w:rsid w:val="004C473B"/>
    <w:rsid w:val="004C4B9B"/>
    <w:rsid w:val="004C4D0B"/>
    <w:rsid w:val="004C4E60"/>
    <w:rsid w:val="004C5189"/>
    <w:rsid w:val="004C5414"/>
    <w:rsid w:val="004C559B"/>
    <w:rsid w:val="004C566A"/>
    <w:rsid w:val="004C56EE"/>
    <w:rsid w:val="004C58C5"/>
    <w:rsid w:val="004C596B"/>
    <w:rsid w:val="004C59F3"/>
    <w:rsid w:val="004C5A88"/>
    <w:rsid w:val="004C5B21"/>
    <w:rsid w:val="004C5BF2"/>
    <w:rsid w:val="004C5DFE"/>
    <w:rsid w:val="004C5F62"/>
    <w:rsid w:val="004C5FB2"/>
    <w:rsid w:val="004C65C5"/>
    <w:rsid w:val="004C6668"/>
    <w:rsid w:val="004C67D0"/>
    <w:rsid w:val="004C6990"/>
    <w:rsid w:val="004C69EE"/>
    <w:rsid w:val="004C6C0D"/>
    <w:rsid w:val="004C6CB3"/>
    <w:rsid w:val="004C6FB9"/>
    <w:rsid w:val="004C71EF"/>
    <w:rsid w:val="004C74AC"/>
    <w:rsid w:val="004C74EB"/>
    <w:rsid w:val="004C770E"/>
    <w:rsid w:val="004C7875"/>
    <w:rsid w:val="004C78B8"/>
    <w:rsid w:val="004C79A2"/>
    <w:rsid w:val="004C79BE"/>
    <w:rsid w:val="004C7A26"/>
    <w:rsid w:val="004C7B7E"/>
    <w:rsid w:val="004C7C03"/>
    <w:rsid w:val="004C7C23"/>
    <w:rsid w:val="004D025D"/>
    <w:rsid w:val="004D044B"/>
    <w:rsid w:val="004D0477"/>
    <w:rsid w:val="004D0551"/>
    <w:rsid w:val="004D05AF"/>
    <w:rsid w:val="004D06B2"/>
    <w:rsid w:val="004D072A"/>
    <w:rsid w:val="004D0801"/>
    <w:rsid w:val="004D0898"/>
    <w:rsid w:val="004D0940"/>
    <w:rsid w:val="004D0A89"/>
    <w:rsid w:val="004D0B8E"/>
    <w:rsid w:val="004D0BBA"/>
    <w:rsid w:val="004D0E3D"/>
    <w:rsid w:val="004D0F55"/>
    <w:rsid w:val="004D1006"/>
    <w:rsid w:val="004D10AE"/>
    <w:rsid w:val="004D116B"/>
    <w:rsid w:val="004D151E"/>
    <w:rsid w:val="004D17B3"/>
    <w:rsid w:val="004D17FC"/>
    <w:rsid w:val="004D1843"/>
    <w:rsid w:val="004D1A7B"/>
    <w:rsid w:val="004D1AC0"/>
    <w:rsid w:val="004D1BDD"/>
    <w:rsid w:val="004D1F7C"/>
    <w:rsid w:val="004D1FC7"/>
    <w:rsid w:val="004D2049"/>
    <w:rsid w:val="004D2325"/>
    <w:rsid w:val="004D23BF"/>
    <w:rsid w:val="004D2460"/>
    <w:rsid w:val="004D2BA3"/>
    <w:rsid w:val="004D2F7A"/>
    <w:rsid w:val="004D2FF8"/>
    <w:rsid w:val="004D33C9"/>
    <w:rsid w:val="004D356E"/>
    <w:rsid w:val="004D35C0"/>
    <w:rsid w:val="004D35FD"/>
    <w:rsid w:val="004D3647"/>
    <w:rsid w:val="004D3839"/>
    <w:rsid w:val="004D39AF"/>
    <w:rsid w:val="004D3A00"/>
    <w:rsid w:val="004D3A0D"/>
    <w:rsid w:val="004D3A9F"/>
    <w:rsid w:val="004D3B29"/>
    <w:rsid w:val="004D3D04"/>
    <w:rsid w:val="004D3D08"/>
    <w:rsid w:val="004D41D4"/>
    <w:rsid w:val="004D4273"/>
    <w:rsid w:val="004D431B"/>
    <w:rsid w:val="004D43E2"/>
    <w:rsid w:val="004D4473"/>
    <w:rsid w:val="004D45CE"/>
    <w:rsid w:val="004D45DF"/>
    <w:rsid w:val="004D469F"/>
    <w:rsid w:val="004D46DA"/>
    <w:rsid w:val="004D4980"/>
    <w:rsid w:val="004D4CC6"/>
    <w:rsid w:val="004D528B"/>
    <w:rsid w:val="004D530B"/>
    <w:rsid w:val="004D5466"/>
    <w:rsid w:val="004D5780"/>
    <w:rsid w:val="004D57EF"/>
    <w:rsid w:val="004D5834"/>
    <w:rsid w:val="004D5A70"/>
    <w:rsid w:val="004D5B13"/>
    <w:rsid w:val="004D5D26"/>
    <w:rsid w:val="004D5EFD"/>
    <w:rsid w:val="004D5F6D"/>
    <w:rsid w:val="004D5FDC"/>
    <w:rsid w:val="004D6140"/>
    <w:rsid w:val="004D6778"/>
    <w:rsid w:val="004D67CC"/>
    <w:rsid w:val="004D68E4"/>
    <w:rsid w:val="004D68ED"/>
    <w:rsid w:val="004D6A7C"/>
    <w:rsid w:val="004D6B0E"/>
    <w:rsid w:val="004D6BFB"/>
    <w:rsid w:val="004D6E71"/>
    <w:rsid w:val="004D6F45"/>
    <w:rsid w:val="004D728C"/>
    <w:rsid w:val="004D7977"/>
    <w:rsid w:val="004D7A85"/>
    <w:rsid w:val="004D7D50"/>
    <w:rsid w:val="004D7EA7"/>
    <w:rsid w:val="004D7F30"/>
    <w:rsid w:val="004E00E2"/>
    <w:rsid w:val="004E0111"/>
    <w:rsid w:val="004E0179"/>
    <w:rsid w:val="004E0210"/>
    <w:rsid w:val="004E02C7"/>
    <w:rsid w:val="004E03C0"/>
    <w:rsid w:val="004E047D"/>
    <w:rsid w:val="004E048F"/>
    <w:rsid w:val="004E06BD"/>
    <w:rsid w:val="004E088B"/>
    <w:rsid w:val="004E0A85"/>
    <w:rsid w:val="004E0AFC"/>
    <w:rsid w:val="004E0C0B"/>
    <w:rsid w:val="004E0EA2"/>
    <w:rsid w:val="004E0F6E"/>
    <w:rsid w:val="004E10F4"/>
    <w:rsid w:val="004E116A"/>
    <w:rsid w:val="004E1234"/>
    <w:rsid w:val="004E1245"/>
    <w:rsid w:val="004E17B5"/>
    <w:rsid w:val="004E1CE9"/>
    <w:rsid w:val="004E1D9F"/>
    <w:rsid w:val="004E1DBC"/>
    <w:rsid w:val="004E2000"/>
    <w:rsid w:val="004E2125"/>
    <w:rsid w:val="004E2277"/>
    <w:rsid w:val="004E2392"/>
    <w:rsid w:val="004E23D9"/>
    <w:rsid w:val="004E242A"/>
    <w:rsid w:val="004E2B24"/>
    <w:rsid w:val="004E2B42"/>
    <w:rsid w:val="004E3469"/>
    <w:rsid w:val="004E346E"/>
    <w:rsid w:val="004E3668"/>
    <w:rsid w:val="004E3A02"/>
    <w:rsid w:val="004E3C43"/>
    <w:rsid w:val="004E3C5C"/>
    <w:rsid w:val="004E3CD7"/>
    <w:rsid w:val="004E3D0B"/>
    <w:rsid w:val="004E419C"/>
    <w:rsid w:val="004E44F0"/>
    <w:rsid w:val="004E4508"/>
    <w:rsid w:val="004E45A4"/>
    <w:rsid w:val="004E45DD"/>
    <w:rsid w:val="004E475B"/>
    <w:rsid w:val="004E4D97"/>
    <w:rsid w:val="004E4E70"/>
    <w:rsid w:val="004E4EF1"/>
    <w:rsid w:val="004E4F2E"/>
    <w:rsid w:val="004E5137"/>
    <w:rsid w:val="004E53EA"/>
    <w:rsid w:val="004E5402"/>
    <w:rsid w:val="004E5405"/>
    <w:rsid w:val="004E5479"/>
    <w:rsid w:val="004E55A1"/>
    <w:rsid w:val="004E55E6"/>
    <w:rsid w:val="004E577A"/>
    <w:rsid w:val="004E59C8"/>
    <w:rsid w:val="004E5AB6"/>
    <w:rsid w:val="004E5AE7"/>
    <w:rsid w:val="004E5B31"/>
    <w:rsid w:val="004E5BDB"/>
    <w:rsid w:val="004E5C4C"/>
    <w:rsid w:val="004E5DAC"/>
    <w:rsid w:val="004E5F8F"/>
    <w:rsid w:val="004E6110"/>
    <w:rsid w:val="004E6185"/>
    <w:rsid w:val="004E627B"/>
    <w:rsid w:val="004E6636"/>
    <w:rsid w:val="004E66D8"/>
    <w:rsid w:val="004E6751"/>
    <w:rsid w:val="004E67DB"/>
    <w:rsid w:val="004E683C"/>
    <w:rsid w:val="004E6988"/>
    <w:rsid w:val="004E6BB9"/>
    <w:rsid w:val="004E6C58"/>
    <w:rsid w:val="004E6CFB"/>
    <w:rsid w:val="004E6CFF"/>
    <w:rsid w:val="004E6D75"/>
    <w:rsid w:val="004E6D9C"/>
    <w:rsid w:val="004E701B"/>
    <w:rsid w:val="004E710D"/>
    <w:rsid w:val="004E71F8"/>
    <w:rsid w:val="004E7408"/>
    <w:rsid w:val="004E7561"/>
    <w:rsid w:val="004E7604"/>
    <w:rsid w:val="004E760D"/>
    <w:rsid w:val="004E770E"/>
    <w:rsid w:val="004E7AD4"/>
    <w:rsid w:val="004E7B1F"/>
    <w:rsid w:val="004E7C29"/>
    <w:rsid w:val="004E7C40"/>
    <w:rsid w:val="004E7D21"/>
    <w:rsid w:val="004E7D23"/>
    <w:rsid w:val="004E7E0B"/>
    <w:rsid w:val="004F00C2"/>
    <w:rsid w:val="004F012E"/>
    <w:rsid w:val="004F02E3"/>
    <w:rsid w:val="004F0635"/>
    <w:rsid w:val="004F0893"/>
    <w:rsid w:val="004F09FC"/>
    <w:rsid w:val="004F0B22"/>
    <w:rsid w:val="004F0C28"/>
    <w:rsid w:val="004F0D88"/>
    <w:rsid w:val="004F104B"/>
    <w:rsid w:val="004F10BF"/>
    <w:rsid w:val="004F1156"/>
    <w:rsid w:val="004F1176"/>
    <w:rsid w:val="004F1198"/>
    <w:rsid w:val="004F1395"/>
    <w:rsid w:val="004F144F"/>
    <w:rsid w:val="004F1802"/>
    <w:rsid w:val="004F1B49"/>
    <w:rsid w:val="004F1D45"/>
    <w:rsid w:val="004F1E67"/>
    <w:rsid w:val="004F1EA7"/>
    <w:rsid w:val="004F1F0F"/>
    <w:rsid w:val="004F2065"/>
    <w:rsid w:val="004F2098"/>
    <w:rsid w:val="004F2248"/>
    <w:rsid w:val="004F243B"/>
    <w:rsid w:val="004F249E"/>
    <w:rsid w:val="004F24D2"/>
    <w:rsid w:val="004F2544"/>
    <w:rsid w:val="004F2608"/>
    <w:rsid w:val="004F26F6"/>
    <w:rsid w:val="004F2873"/>
    <w:rsid w:val="004F2896"/>
    <w:rsid w:val="004F2930"/>
    <w:rsid w:val="004F2971"/>
    <w:rsid w:val="004F2BCA"/>
    <w:rsid w:val="004F2F53"/>
    <w:rsid w:val="004F315A"/>
    <w:rsid w:val="004F34F2"/>
    <w:rsid w:val="004F357E"/>
    <w:rsid w:val="004F35F7"/>
    <w:rsid w:val="004F363D"/>
    <w:rsid w:val="004F3688"/>
    <w:rsid w:val="004F38E2"/>
    <w:rsid w:val="004F3A2F"/>
    <w:rsid w:val="004F3AAE"/>
    <w:rsid w:val="004F3AF6"/>
    <w:rsid w:val="004F3B74"/>
    <w:rsid w:val="004F3C7B"/>
    <w:rsid w:val="004F3DF4"/>
    <w:rsid w:val="004F3EC4"/>
    <w:rsid w:val="004F3FC6"/>
    <w:rsid w:val="004F4096"/>
    <w:rsid w:val="004F41AD"/>
    <w:rsid w:val="004F4253"/>
    <w:rsid w:val="004F42A6"/>
    <w:rsid w:val="004F43A2"/>
    <w:rsid w:val="004F43C4"/>
    <w:rsid w:val="004F43C9"/>
    <w:rsid w:val="004F445A"/>
    <w:rsid w:val="004F4606"/>
    <w:rsid w:val="004F491B"/>
    <w:rsid w:val="004F4A00"/>
    <w:rsid w:val="004F4A58"/>
    <w:rsid w:val="004F4BDE"/>
    <w:rsid w:val="004F4C91"/>
    <w:rsid w:val="004F4CA3"/>
    <w:rsid w:val="004F4DD7"/>
    <w:rsid w:val="004F4EBF"/>
    <w:rsid w:val="004F4EEA"/>
    <w:rsid w:val="004F4F15"/>
    <w:rsid w:val="004F5277"/>
    <w:rsid w:val="004F54BD"/>
    <w:rsid w:val="004F566C"/>
    <w:rsid w:val="004F56BB"/>
    <w:rsid w:val="004F5897"/>
    <w:rsid w:val="004F593A"/>
    <w:rsid w:val="004F5987"/>
    <w:rsid w:val="004F5BA6"/>
    <w:rsid w:val="004F5CB2"/>
    <w:rsid w:val="004F5E20"/>
    <w:rsid w:val="004F5E62"/>
    <w:rsid w:val="004F6072"/>
    <w:rsid w:val="004F60D1"/>
    <w:rsid w:val="004F65AA"/>
    <w:rsid w:val="004F68F2"/>
    <w:rsid w:val="004F69A7"/>
    <w:rsid w:val="004F6E90"/>
    <w:rsid w:val="004F728C"/>
    <w:rsid w:val="004F73EC"/>
    <w:rsid w:val="004F75C0"/>
    <w:rsid w:val="004F75E8"/>
    <w:rsid w:val="004F767C"/>
    <w:rsid w:val="004F7720"/>
    <w:rsid w:val="004F7728"/>
    <w:rsid w:val="004F778F"/>
    <w:rsid w:val="004F780C"/>
    <w:rsid w:val="004F7B40"/>
    <w:rsid w:val="004F7B53"/>
    <w:rsid w:val="004F7C38"/>
    <w:rsid w:val="004F7C4B"/>
    <w:rsid w:val="004F7C52"/>
    <w:rsid w:val="004F7C66"/>
    <w:rsid w:val="004F7CAC"/>
    <w:rsid w:val="004F7DF3"/>
    <w:rsid w:val="00500067"/>
    <w:rsid w:val="0050010D"/>
    <w:rsid w:val="0050019A"/>
    <w:rsid w:val="005001EE"/>
    <w:rsid w:val="005002C5"/>
    <w:rsid w:val="005004C3"/>
    <w:rsid w:val="005005DD"/>
    <w:rsid w:val="00500980"/>
    <w:rsid w:val="00500AFF"/>
    <w:rsid w:val="00500D33"/>
    <w:rsid w:val="00500E1B"/>
    <w:rsid w:val="00500E68"/>
    <w:rsid w:val="00501050"/>
    <w:rsid w:val="00501221"/>
    <w:rsid w:val="005012D9"/>
    <w:rsid w:val="005013D0"/>
    <w:rsid w:val="00501524"/>
    <w:rsid w:val="0050175A"/>
    <w:rsid w:val="0050177B"/>
    <w:rsid w:val="005017BA"/>
    <w:rsid w:val="005018C1"/>
    <w:rsid w:val="00501934"/>
    <w:rsid w:val="005019EE"/>
    <w:rsid w:val="00501F8B"/>
    <w:rsid w:val="0050200F"/>
    <w:rsid w:val="00502229"/>
    <w:rsid w:val="005023D4"/>
    <w:rsid w:val="00502429"/>
    <w:rsid w:val="00502848"/>
    <w:rsid w:val="00502906"/>
    <w:rsid w:val="00502A8F"/>
    <w:rsid w:val="00502AA4"/>
    <w:rsid w:val="00502B25"/>
    <w:rsid w:val="00502B34"/>
    <w:rsid w:val="00502D60"/>
    <w:rsid w:val="00502E41"/>
    <w:rsid w:val="00502EBF"/>
    <w:rsid w:val="00502EE8"/>
    <w:rsid w:val="00502FA7"/>
    <w:rsid w:val="0050301D"/>
    <w:rsid w:val="00503066"/>
    <w:rsid w:val="005030F8"/>
    <w:rsid w:val="005032F3"/>
    <w:rsid w:val="005033EB"/>
    <w:rsid w:val="005034A0"/>
    <w:rsid w:val="005034C2"/>
    <w:rsid w:val="005036F9"/>
    <w:rsid w:val="0050391B"/>
    <w:rsid w:val="00503E77"/>
    <w:rsid w:val="00503F21"/>
    <w:rsid w:val="00504236"/>
    <w:rsid w:val="00504255"/>
    <w:rsid w:val="00504503"/>
    <w:rsid w:val="00504598"/>
    <w:rsid w:val="005045B6"/>
    <w:rsid w:val="00504608"/>
    <w:rsid w:val="005047E7"/>
    <w:rsid w:val="00504872"/>
    <w:rsid w:val="00504A27"/>
    <w:rsid w:val="00504C47"/>
    <w:rsid w:val="00504C7A"/>
    <w:rsid w:val="00504D06"/>
    <w:rsid w:val="00504D95"/>
    <w:rsid w:val="00504DA3"/>
    <w:rsid w:val="00504F94"/>
    <w:rsid w:val="00504FC1"/>
    <w:rsid w:val="005050B4"/>
    <w:rsid w:val="00505775"/>
    <w:rsid w:val="0050591B"/>
    <w:rsid w:val="005059DE"/>
    <w:rsid w:val="00505B22"/>
    <w:rsid w:val="00505B5E"/>
    <w:rsid w:val="00505E01"/>
    <w:rsid w:val="005061BB"/>
    <w:rsid w:val="00506213"/>
    <w:rsid w:val="005062C4"/>
    <w:rsid w:val="00506481"/>
    <w:rsid w:val="0050664D"/>
    <w:rsid w:val="005066A1"/>
    <w:rsid w:val="0050678E"/>
    <w:rsid w:val="005068A2"/>
    <w:rsid w:val="00506CD5"/>
    <w:rsid w:val="00507095"/>
    <w:rsid w:val="00507138"/>
    <w:rsid w:val="00507254"/>
    <w:rsid w:val="00507350"/>
    <w:rsid w:val="005073B4"/>
    <w:rsid w:val="00507548"/>
    <w:rsid w:val="0050764E"/>
    <w:rsid w:val="00507689"/>
    <w:rsid w:val="005077C0"/>
    <w:rsid w:val="0050790C"/>
    <w:rsid w:val="00507A37"/>
    <w:rsid w:val="00507A41"/>
    <w:rsid w:val="00507C3C"/>
    <w:rsid w:val="00507CED"/>
    <w:rsid w:val="00507FB7"/>
    <w:rsid w:val="00510095"/>
    <w:rsid w:val="00510107"/>
    <w:rsid w:val="005102D3"/>
    <w:rsid w:val="005104E4"/>
    <w:rsid w:val="0051066A"/>
    <w:rsid w:val="0051080F"/>
    <w:rsid w:val="005108E5"/>
    <w:rsid w:val="005109D1"/>
    <w:rsid w:val="005109F1"/>
    <w:rsid w:val="00510B4F"/>
    <w:rsid w:val="00510D2E"/>
    <w:rsid w:val="00511039"/>
    <w:rsid w:val="0051121A"/>
    <w:rsid w:val="00511228"/>
    <w:rsid w:val="005112EE"/>
    <w:rsid w:val="00511320"/>
    <w:rsid w:val="0051133A"/>
    <w:rsid w:val="0051161B"/>
    <w:rsid w:val="005119C9"/>
    <w:rsid w:val="005119E1"/>
    <w:rsid w:val="00511E35"/>
    <w:rsid w:val="00511EAD"/>
    <w:rsid w:val="005120D4"/>
    <w:rsid w:val="00512264"/>
    <w:rsid w:val="005126DB"/>
    <w:rsid w:val="0051299F"/>
    <w:rsid w:val="00512A3F"/>
    <w:rsid w:val="00512BA5"/>
    <w:rsid w:val="00512CB0"/>
    <w:rsid w:val="00512E5F"/>
    <w:rsid w:val="00512E83"/>
    <w:rsid w:val="00512EFC"/>
    <w:rsid w:val="005130A2"/>
    <w:rsid w:val="00513177"/>
    <w:rsid w:val="005134FE"/>
    <w:rsid w:val="00513606"/>
    <w:rsid w:val="00513692"/>
    <w:rsid w:val="005138E4"/>
    <w:rsid w:val="00513A41"/>
    <w:rsid w:val="00513E42"/>
    <w:rsid w:val="00513EBF"/>
    <w:rsid w:val="0051414E"/>
    <w:rsid w:val="00514194"/>
    <w:rsid w:val="00514320"/>
    <w:rsid w:val="005143F9"/>
    <w:rsid w:val="005144CD"/>
    <w:rsid w:val="005144EA"/>
    <w:rsid w:val="00514812"/>
    <w:rsid w:val="00514B18"/>
    <w:rsid w:val="00514C15"/>
    <w:rsid w:val="00514D35"/>
    <w:rsid w:val="00514D65"/>
    <w:rsid w:val="00514E2D"/>
    <w:rsid w:val="00514E56"/>
    <w:rsid w:val="005157A7"/>
    <w:rsid w:val="005157F2"/>
    <w:rsid w:val="0051586A"/>
    <w:rsid w:val="00515A6A"/>
    <w:rsid w:val="00515B4D"/>
    <w:rsid w:val="00515BFB"/>
    <w:rsid w:val="00516517"/>
    <w:rsid w:val="00516566"/>
    <w:rsid w:val="00516794"/>
    <w:rsid w:val="00516E51"/>
    <w:rsid w:val="00517316"/>
    <w:rsid w:val="00517509"/>
    <w:rsid w:val="005176F8"/>
    <w:rsid w:val="005177D8"/>
    <w:rsid w:val="005177F3"/>
    <w:rsid w:val="00517B35"/>
    <w:rsid w:val="00517CCE"/>
    <w:rsid w:val="00517EE3"/>
    <w:rsid w:val="00520028"/>
    <w:rsid w:val="00520371"/>
    <w:rsid w:val="005206E6"/>
    <w:rsid w:val="0052072B"/>
    <w:rsid w:val="00520748"/>
    <w:rsid w:val="00520A64"/>
    <w:rsid w:val="00520B70"/>
    <w:rsid w:val="00520CE2"/>
    <w:rsid w:val="00520E72"/>
    <w:rsid w:val="00520F41"/>
    <w:rsid w:val="00521001"/>
    <w:rsid w:val="00521198"/>
    <w:rsid w:val="005211CF"/>
    <w:rsid w:val="005215AA"/>
    <w:rsid w:val="00521614"/>
    <w:rsid w:val="0052187F"/>
    <w:rsid w:val="005218C3"/>
    <w:rsid w:val="005218EC"/>
    <w:rsid w:val="00521932"/>
    <w:rsid w:val="005219FA"/>
    <w:rsid w:val="00521AF1"/>
    <w:rsid w:val="00521DBE"/>
    <w:rsid w:val="005222BC"/>
    <w:rsid w:val="00522415"/>
    <w:rsid w:val="005226A7"/>
    <w:rsid w:val="0052288A"/>
    <w:rsid w:val="0052289E"/>
    <w:rsid w:val="00522963"/>
    <w:rsid w:val="00522CDA"/>
    <w:rsid w:val="00522D79"/>
    <w:rsid w:val="00522FFA"/>
    <w:rsid w:val="0052329C"/>
    <w:rsid w:val="00523343"/>
    <w:rsid w:val="00523519"/>
    <w:rsid w:val="00523528"/>
    <w:rsid w:val="00523631"/>
    <w:rsid w:val="0052376B"/>
    <w:rsid w:val="005238BC"/>
    <w:rsid w:val="00523A2A"/>
    <w:rsid w:val="00523C21"/>
    <w:rsid w:val="00523C56"/>
    <w:rsid w:val="00523DF9"/>
    <w:rsid w:val="00523EA5"/>
    <w:rsid w:val="00523F1F"/>
    <w:rsid w:val="00523F83"/>
    <w:rsid w:val="0052429D"/>
    <w:rsid w:val="005242E8"/>
    <w:rsid w:val="0052436E"/>
    <w:rsid w:val="00524487"/>
    <w:rsid w:val="00524684"/>
    <w:rsid w:val="0052487F"/>
    <w:rsid w:val="0052493D"/>
    <w:rsid w:val="00524BF7"/>
    <w:rsid w:val="00524C63"/>
    <w:rsid w:val="00524D4D"/>
    <w:rsid w:val="00524DFC"/>
    <w:rsid w:val="00524F76"/>
    <w:rsid w:val="005253E2"/>
    <w:rsid w:val="005254A9"/>
    <w:rsid w:val="00525620"/>
    <w:rsid w:val="00525782"/>
    <w:rsid w:val="00525B6B"/>
    <w:rsid w:val="00525F51"/>
    <w:rsid w:val="00525F5F"/>
    <w:rsid w:val="0052602A"/>
    <w:rsid w:val="00526059"/>
    <w:rsid w:val="005260BA"/>
    <w:rsid w:val="005260D5"/>
    <w:rsid w:val="005261D1"/>
    <w:rsid w:val="0052633A"/>
    <w:rsid w:val="00526578"/>
    <w:rsid w:val="00526872"/>
    <w:rsid w:val="005268D2"/>
    <w:rsid w:val="00526B94"/>
    <w:rsid w:val="00526BE5"/>
    <w:rsid w:val="00526CCA"/>
    <w:rsid w:val="00527100"/>
    <w:rsid w:val="00527244"/>
    <w:rsid w:val="005272E2"/>
    <w:rsid w:val="0052732D"/>
    <w:rsid w:val="005274D2"/>
    <w:rsid w:val="00527536"/>
    <w:rsid w:val="0052758B"/>
    <w:rsid w:val="0052769F"/>
    <w:rsid w:val="005276B5"/>
    <w:rsid w:val="00527740"/>
    <w:rsid w:val="00527978"/>
    <w:rsid w:val="005279D7"/>
    <w:rsid w:val="00527AF6"/>
    <w:rsid w:val="00527C14"/>
    <w:rsid w:val="00527EE7"/>
    <w:rsid w:val="00527F7E"/>
    <w:rsid w:val="00527FFB"/>
    <w:rsid w:val="00530420"/>
    <w:rsid w:val="0053056C"/>
    <w:rsid w:val="00530959"/>
    <w:rsid w:val="00530B93"/>
    <w:rsid w:val="00530C0C"/>
    <w:rsid w:val="00530D32"/>
    <w:rsid w:val="00530D7E"/>
    <w:rsid w:val="00530FCF"/>
    <w:rsid w:val="00531081"/>
    <w:rsid w:val="00531310"/>
    <w:rsid w:val="005314C1"/>
    <w:rsid w:val="00531682"/>
    <w:rsid w:val="0053193D"/>
    <w:rsid w:val="005319DC"/>
    <w:rsid w:val="00531A4B"/>
    <w:rsid w:val="00531C11"/>
    <w:rsid w:val="00531D76"/>
    <w:rsid w:val="00531D92"/>
    <w:rsid w:val="00531EA5"/>
    <w:rsid w:val="005320F3"/>
    <w:rsid w:val="0053210F"/>
    <w:rsid w:val="0053211C"/>
    <w:rsid w:val="0053221B"/>
    <w:rsid w:val="0053226C"/>
    <w:rsid w:val="0053274E"/>
    <w:rsid w:val="005327EC"/>
    <w:rsid w:val="00532870"/>
    <w:rsid w:val="00532A00"/>
    <w:rsid w:val="00532B73"/>
    <w:rsid w:val="00532CC2"/>
    <w:rsid w:val="00532F91"/>
    <w:rsid w:val="005331D3"/>
    <w:rsid w:val="0053324E"/>
    <w:rsid w:val="0053328C"/>
    <w:rsid w:val="00533473"/>
    <w:rsid w:val="0053350B"/>
    <w:rsid w:val="00533547"/>
    <w:rsid w:val="00533684"/>
    <w:rsid w:val="00533916"/>
    <w:rsid w:val="00533A49"/>
    <w:rsid w:val="00533C73"/>
    <w:rsid w:val="00534027"/>
    <w:rsid w:val="005342AF"/>
    <w:rsid w:val="0053449A"/>
    <w:rsid w:val="0053450F"/>
    <w:rsid w:val="005346F8"/>
    <w:rsid w:val="00534BCC"/>
    <w:rsid w:val="00534DAA"/>
    <w:rsid w:val="00534EC5"/>
    <w:rsid w:val="0053502A"/>
    <w:rsid w:val="005352E7"/>
    <w:rsid w:val="0053540A"/>
    <w:rsid w:val="0053558C"/>
    <w:rsid w:val="005356C9"/>
    <w:rsid w:val="0053585D"/>
    <w:rsid w:val="00535899"/>
    <w:rsid w:val="005359C3"/>
    <w:rsid w:val="00535B65"/>
    <w:rsid w:val="00535C74"/>
    <w:rsid w:val="00535D90"/>
    <w:rsid w:val="00535E1B"/>
    <w:rsid w:val="005361AB"/>
    <w:rsid w:val="005364B8"/>
    <w:rsid w:val="005366D8"/>
    <w:rsid w:val="005366DC"/>
    <w:rsid w:val="00536834"/>
    <w:rsid w:val="005368DA"/>
    <w:rsid w:val="00536A02"/>
    <w:rsid w:val="00536C76"/>
    <w:rsid w:val="00536D16"/>
    <w:rsid w:val="00536D63"/>
    <w:rsid w:val="00536E4F"/>
    <w:rsid w:val="005371BF"/>
    <w:rsid w:val="00537281"/>
    <w:rsid w:val="0053734E"/>
    <w:rsid w:val="005373CB"/>
    <w:rsid w:val="005373D0"/>
    <w:rsid w:val="005376B7"/>
    <w:rsid w:val="005376CB"/>
    <w:rsid w:val="00537889"/>
    <w:rsid w:val="00537BF8"/>
    <w:rsid w:val="00537C0F"/>
    <w:rsid w:val="00537D4A"/>
    <w:rsid w:val="00537E81"/>
    <w:rsid w:val="00537EC5"/>
    <w:rsid w:val="00537ED0"/>
    <w:rsid w:val="00537FD2"/>
    <w:rsid w:val="00540023"/>
    <w:rsid w:val="0054027A"/>
    <w:rsid w:val="00540540"/>
    <w:rsid w:val="0054059E"/>
    <w:rsid w:val="00540762"/>
    <w:rsid w:val="0054082B"/>
    <w:rsid w:val="005408B1"/>
    <w:rsid w:val="00540A01"/>
    <w:rsid w:val="00540C33"/>
    <w:rsid w:val="00540E70"/>
    <w:rsid w:val="00540ED4"/>
    <w:rsid w:val="00540F02"/>
    <w:rsid w:val="0054103E"/>
    <w:rsid w:val="00541090"/>
    <w:rsid w:val="00541100"/>
    <w:rsid w:val="00541377"/>
    <w:rsid w:val="0054159D"/>
    <w:rsid w:val="005416CF"/>
    <w:rsid w:val="00541840"/>
    <w:rsid w:val="0054184D"/>
    <w:rsid w:val="00541945"/>
    <w:rsid w:val="00541999"/>
    <w:rsid w:val="005419D5"/>
    <w:rsid w:val="00541B5C"/>
    <w:rsid w:val="00541C4C"/>
    <w:rsid w:val="00541D43"/>
    <w:rsid w:val="00541E8E"/>
    <w:rsid w:val="00541F9F"/>
    <w:rsid w:val="00542068"/>
    <w:rsid w:val="00542592"/>
    <w:rsid w:val="005427BA"/>
    <w:rsid w:val="005427F4"/>
    <w:rsid w:val="00542A37"/>
    <w:rsid w:val="00542C80"/>
    <w:rsid w:val="00542E1A"/>
    <w:rsid w:val="00542EA8"/>
    <w:rsid w:val="00542FB2"/>
    <w:rsid w:val="005432F7"/>
    <w:rsid w:val="0054359C"/>
    <w:rsid w:val="005435F9"/>
    <w:rsid w:val="0054384E"/>
    <w:rsid w:val="005438BF"/>
    <w:rsid w:val="00543990"/>
    <w:rsid w:val="005439E5"/>
    <w:rsid w:val="00543AE2"/>
    <w:rsid w:val="00543AEB"/>
    <w:rsid w:val="00543AF9"/>
    <w:rsid w:val="00543B84"/>
    <w:rsid w:val="00543CFA"/>
    <w:rsid w:val="00543D57"/>
    <w:rsid w:val="00543EBC"/>
    <w:rsid w:val="00543ED2"/>
    <w:rsid w:val="00544088"/>
    <w:rsid w:val="005440BB"/>
    <w:rsid w:val="005441D6"/>
    <w:rsid w:val="0054426E"/>
    <w:rsid w:val="00544501"/>
    <w:rsid w:val="005446E5"/>
    <w:rsid w:val="00544847"/>
    <w:rsid w:val="00544A26"/>
    <w:rsid w:val="00544A3C"/>
    <w:rsid w:val="00544B97"/>
    <w:rsid w:val="00544BA9"/>
    <w:rsid w:val="00544C74"/>
    <w:rsid w:val="00544C77"/>
    <w:rsid w:val="00544D02"/>
    <w:rsid w:val="00544DE1"/>
    <w:rsid w:val="00544DFD"/>
    <w:rsid w:val="0054510C"/>
    <w:rsid w:val="00545144"/>
    <w:rsid w:val="005454EE"/>
    <w:rsid w:val="005457C8"/>
    <w:rsid w:val="00545818"/>
    <w:rsid w:val="0054586A"/>
    <w:rsid w:val="00545978"/>
    <w:rsid w:val="00545A51"/>
    <w:rsid w:val="00545A6D"/>
    <w:rsid w:val="00545A93"/>
    <w:rsid w:val="00545A9C"/>
    <w:rsid w:val="00545ACA"/>
    <w:rsid w:val="00545BC7"/>
    <w:rsid w:val="00545DA6"/>
    <w:rsid w:val="00545DE5"/>
    <w:rsid w:val="00546168"/>
    <w:rsid w:val="005461C6"/>
    <w:rsid w:val="005462C3"/>
    <w:rsid w:val="0054645E"/>
    <w:rsid w:val="005466FD"/>
    <w:rsid w:val="00546701"/>
    <w:rsid w:val="00546862"/>
    <w:rsid w:val="00546978"/>
    <w:rsid w:val="00546A34"/>
    <w:rsid w:val="00546ABD"/>
    <w:rsid w:val="00546BF4"/>
    <w:rsid w:val="00546CDF"/>
    <w:rsid w:val="00546D09"/>
    <w:rsid w:val="00547204"/>
    <w:rsid w:val="00547315"/>
    <w:rsid w:val="0054740F"/>
    <w:rsid w:val="0054749A"/>
    <w:rsid w:val="00547614"/>
    <w:rsid w:val="00547693"/>
    <w:rsid w:val="00547718"/>
    <w:rsid w:val="005477E8"/>
    <w:rsid w:val="005477FE"/>
    <w:rsid w:val="00547CD2"/>
    <w:rsid w:val="00547FC0"/>
    <w:rsid w:val="0055014A"/>
    <w:rsid w:val="005501CD"/>
    <w:rsid w:val="00550224"/>
    <w:rsid w:val="005503D6"/>
    <w:rsid w:val="00550481"/>
    <w:rsid w:val="0055072B"/>
    <w:rsid w:val="00550754"/>
    <w:rsid w:val="00550854"/>
    <w:rsid w:val="00550AB8"/>
    <w:rsid w:val="00550B08"/>
    <w:rsid w:val="00550C77"/>
    <w:rsid w:val="00550D8F"/>
    <w:rsid w:val="00550E79"/>
    <w:rsid w:val="00550E7B"/>
    <w:rsid w:val="00551312"/>
    <w:rsid w:val="005514C6"/>
    <w:rsid w:val="005514E5"/>
    <w:rsid w:val="0055164C"/>
    <w:rsid w:val="005517B2"/>
    <w:rsid w:val="00551B03"/>
    <w:rsid w:val="00551C11"/>
    <w:rsid w:val="00551C77"/>
    <w:rsid w:val="00551CF6"/>
    <w:rsid w:val="00551DCF"/>
    <w:rsid w:val="00551EE6"/>
    <w:rsid w:val="00551F5E"/>
    <w:rsid w:val="0055202C"/>
    <w:rsid w:val="00552033"/>
    <w:rsid w:val="005520AB"/>
    <w:rsid w:val="00552119"/>
    <w:rsid w:val="00552138"/>
    <w:rsid w:val="005521D4"/>
    <w:rsid w:val="0055245A"/>
    <w:rsid w:val="00552789"/>
    <w:rsid w:val="00552878"/>
    <w:rsid w:val="0055287E"/>
    <w:rsid w:val="005529E9"/>
    <w:rsid w:val="00552BED"/>
    <w:rsid w:val="00552D64"/>
    <w:rsid w:val="00552F39"/>
    <w:rsid w:val="00552F5B"/>
    <w:rsid w:val="005531DA"/>
    <w:rsid w:val="0055323C"/>
    <w:rsid w:val="00553275"/>
    <w:rsid w:val="005532FE"/>
    <w:rsid w:val="005535A0"/>
    <w:rsid w:val="005536C5"/>
    <w:rsid w:val="00553AC5"/>
    <w:rsid w:val="00553BF7"/>
    <w:rsid w:val="00553F5A"/>
    <w:rsid w:val="00554058"/>
    <w:rsid w:val="005542E6"/>
    <w:rsid w:val="005544C0"/>
    <w:rsid w:val="0055450D"/>
    <w:rsid w:val="00554719"/>
    <w:rsid w:val="00554978"/>
    <w:rsid w:val="00554A2F"/>
    <w:rsid w:val="00554E8D"/>
    <w:rsid w:val="00554EBE"/>
    <w:rsid w:val="00554FDB"/>
    <w:rsid w:val="00555065"/>
    <w:rsid w:val="0055522A"/>
    <w:rsid w:val="005552C0"/>
    <w:rsid w:val="0055532F"/>
    <w:rsid w:val="005555B6"/>
    <w:rsid w:val="005555F5"/>
    <w:rsid w:val="00555846"/>
    <w:rsid w:val="005558A9"/>
    <w:rsid w:val="005558B5"/>
    <w:rsid w:val="005559DF"/>
    <w:rsid w:val="00555B26"/>
    <w:rsid w:val="00555B30"/>
    <w:rsid w:val="00555B4A"/>
    <w:rsid w:val="00555B8E"/>
    <w:rsid w:val="00555BB5"/>
    <w:rsid w:val="0055629A"/>
    <w:rsid w:val="005562BC"/>
    <w:rsid w:val="005565DF"/>
    <w:rsid w:val="0055668F"/>
    <w:rsid w:val="005566F2"/>
    <w:rsid w:val="00556806"/>
    <w:rsid w:val="00556824"/>
    <w:rsid w:val="005569DB"/>
    <w:rsid w:val="00556A16"/>
    <w:rsid w:val="00556BAC"/>
    <w:rsid w:val="00557427"/>
    <w:rsid w:val="00557628"/>
    <w:rsid w:val="005577DB"/>
    <w:rsid w:val="0055780A"/>
    <w:rsid w:val="00557B87"/>
    <w:rsid w:val="00557BC8"/>
    <w:rsid w:val="00557C48"/>
    <w:rsid w:val="00557CCA"/>
    <w:rsid w:val="00560033"/>
    <w:rsid w:val="00560095"/>
    <w:rsid w:val="005600E9"/>
    <w:rsid w:val="005601C3"/>
    <w:rsid w:val="005603B3"/>
    <w:rsid w:val="005603D6"/>
    <w:rsid w:val="005605E3"/>
    <w:rsid w:val="005607AF"/>
    <w:rsid w:val="005608E3"/>
    <w:rsid w:val="0056093B"/>
    <w:rsid w:val="00560960"/>
    <w:rsid w:val="00560B4A"/>
    <w:rsid w:val="00560BC3"/>
    <w:rsid w:val="00560CFA"/>
    <w:rsid w:val="00560D73"/>
    <w:rsid w:val="00560DA3"/>
    <w:rsid w:val="00560F1A"/>
    <w:rsid w:val="00560FF1"/>
    <w:rsid w:val="0056116C"/>
    <w:rsid w:val="005611B0"/>
    <w:rsid w:val="005611DA"/>
    <w:rsid w:val="005614AF"/>
    <w:rsid w:val="00561721"/>
    <w:rsid w:val="005617DF"/>
    <w:rsid w:val="005617F6"/>
    <w:rsid w:val="0056180A"/>
    <w:rsid w:val="00561929"/>
    <w:rsid w:val="00561A34"/>
    <w:rsid w:val="00561B0E"/>
    <w:rsid w:val="00561C16"/>
    <w:rsid w:val="00561C38"/>
    <w:rsid w:val="00561D24"/>
    <w:rsid w:val="00561D29"/>
    <w:rsid w:val="00561DFC"/>
    <w:rsid w:val="00561E69"/>
    <w:rsid w:val="00561E9B"/>
    <w:rsid w:val="00561FFC"/>
    <w:rsid w:val="005620FE"/>
    <w:rsid w:val="0056215F"/>
    <w:rsid w:val="0056230B"/>
    <w:rsid w:val="0056236F"/>
    <w:rsid w:val="005627EF"/>
    <w:rsid w:val="00562828"/>
    <w:rsid w:val="005629BC"/>
    <w:rsid w:val="00562A75"/>
    <w:rsid w:val="00562D92"/>
    <w:rsid w:val="00562FAB"/>
    <w:rsid w:val="00563080"/>
    <w:rsid w:val="005631B1"/>
    <w:rsid w:val="005631C0"/>
    <w:rsid w:val="0056329D"/>
    <w:rsid w:val="005633B3"/>
    <w:rsid w:val="0056340A"/>
    <w:rsid w:val="005635BA"/>
    <w:rsid w:val="005636B9"/>
    <w:rsid w:val="00563771"/>
    <w:rsid w:val="00563844"/>
    <w:rsid w:val="005639F9"/>
    <w:rsid w:val="00563A0E"/>
    <w:rsid w:val="00563A79"/>
    <w:rsid w:val="00563AD2"/>
    <w:rsid w:val="00563B3D"/>
    <w:rsid w:val="00563C00"/>
    <w:rsid w:val="00563CC8"/>
    <w:rsid w:val="00563DB2"/>
    <w:rsid w:val="00563EA9"/>
    <w:rsid w:val="0056429D"/>
    <w:rsid w:val="005646E1"/>
    <w:rsid w:val="00564718"/>
    <w:rsid w:val="005647AC"/>
    <w:rsid w:val="00564A88"/>
    <w:rsid w:val="00564BD2"/>
    <w:rsid w:val="00564CCA"/>
    <w:rsid w:val="00564FF4"/>
    <w:rsid w:val="00565057"/>
    <w:rsid w:val="005653FF"/>
    <w:rsid w:val="00565401"/>
    <w:rsid w:val="005655EF"/>
    <w:rsid w:val="00565636"/>
    <w:rsid w:val="00565914"/>
    <w:rsid w:val="00565A06"/>
    <w:rsid w:val="00565B8D"/>
    <w:rsid w:val="00565DF6"/>
    <w:rsid w:val="00566010"/>
    <w:rsid w:val="0056604F"/>
    <w:rsid w:val="00566244"/>
    <w:rsid w:val="0056640F"/>
    <w:rsid w:val="0056677F"/>
    <w:rsid w:val="00566879"/>
    <w:rsid w:val="00566926"/>
    <w:rsid w:val="00566986"/>
    <w:rsid w:val="00566A7C"/>
    <w:rsid w:val="00566B51"/>
    <w:rsid w:val="00566BB4"/>
    <w:rsid w:val="00566C37"/>
    <w:rsid w:val="00566CA2"/>
    <w:rsid w:val="00566E68"/>
    <w:rsid w:val="00566EDF"/>
    <w:rsid w:val="00566FCD"/>
    <w:rsid w:val="00567066"/>
    <w:rsid w:val="00567067"/>
    <w:rsid w:val="00567193"/>
    <w:rsid w:val="005672F1"/>
    <w:rsid w:val="00567AC2"/>
    <w:rsid w:val="00567C49"/>
    <w:rsid w:val="00567DB6"/>
    <w:rsid w:val="00567EAA"/>
    <w:rsid w:val="00567EFB"/>
    <w:rsid w:val="00567F07"/>
    <w:rsid w:val="005702DC"/>
    <w:rsid w:val="00570431"/>
    <w:rsid w:val="00570932"/>
    <w:rsid w:val="00570951"/>
    <w:rsid w:val="00570A71"/>
    <w:rsid w:val="00570BC4"/>
    <w:rsid w:val="00570D9B"/>
    <w:rsid w:val="00570F4F"/>
    <w:rsid w:val="00570F6B"/>
    <w:rsid w:val="00570FF3"/>
    <w:rsid w:val="0057108E"/>
    <w:rsid w:val="0057124B"/>
    <w:rsid w:val="00571604"/>
    <w:rsid w:val="0057160A"/>
    <w:rsid w:val="00571641"/>
    <w:rsid w:val="00571871"/>
    <w:rsid w:val="00571AC1"/>
    <w:rsid w:val="00571BBD"/>
    <w:rsid w:val="00571D72"/>
    <w:rsid w:val="00571EA4"/>
    <w:rsid w:val="00571EB4"/>
    <w:rsid w:val="0057213D"/>
    <w:rsid w:val="005721E3"/>
    <w:rsid w:val="00572377"/>
    <w:rsid w:val="005725FD"/>
    <w:rsid w:val="005727CE"/>
    <w:rsid w:val="00572C84"/>
    <w:rsid w:val="00572CC7"/>
    <w:rsid w:val="00572D3B"/>
    <w:rsid w:val="00572D9F"/>
    <w:rsid w:val="00572FA4"/>
    <w:rsid w:val="0057303D"/>
    <w:rsid w:val="00573144"/>
    <w:rsid w:val="0057324A"/>
    <w:rsid w:val="00573295"/>
    <w:rsid w:val="005733E5"/>
    <w:rsid w:val="005733E8"/>
    <w:rsid w:val="005738A6"/>
    <w:rsid w:val="00573947"/>
    <w:rsid w:val="00573AA6"/>
    <w:rsid w:val="00573C90"/>
    <w:rsid w:val="005741D4"/>
    <w:rsid w:val="0057421D"/>
    <w:rsid w:val="00574269"/>
    <w:rsid w:val="00574496"/>
    <w:rsid w:val="00574570"/>
    <w:rsid w:val="0057459F"/>
    <w:rsid w:val="005745CF"/>
    <w:rsid w:val="005745FE"/>
    <w:rsid w:val="005748A8"/>
    <w:rsid w:val="00574C74"/>
    <w:rsid w:val="00574CB1"/>
    <w:rsid w:val="00574E05"/>
    <w:rsid w:val="00574E31"/>
    <w:rsid w:val="00574EB1"/>
    <w:rsid w:val="0057539E"/>
    <w:rsid w:val="00575488"/>
    <w:rsid w:val="00575539"/>
    <w:rsid w:val="00575635"/>
    <w:rsid w:val="0057578B"/>
    <w:rsid w:val="005759CE"/>
    <w:rsid w:val="005759F7"/>
    <w:rsid w:val="00575BDE"/>
    <w:rsid w:val="00575C8E"/>
    <w:rsid w:val="00576150"/>
    <w:rsid w:val="005761C4"/>
    <w:rsid w:val="0057621F"/>
    <w:rsid w:val="005764F9"/>
    <w:rsid w:val="00576518"/>
    <w:rsid w:val="0057675F"/>
    <w:rsid w:val="00576783"/>
    <w:rsid w:val="005767F0"/>
    <w:rsid w:val="00576A09"/>
    <w:rsid w:val="00576A96"/>
    <w:rsid w:val="00576ADE"/>
    <w:rsid w:val="00576BB1"/>
    <w:rsid w:val="00576BED"/>
    <w:rsid w:val="00576CAB"/>
    <w:rsid w:val="00576F95"/>
    <w:rsid w:val="005770BA"/>
    <w:rsid w:val="00577204"/>
    <w:rsid w:val="00577419"/>
    <w:rsid w:val="00577620"/>
    <w:rsid w:val="0057768B"/>
    <w:rsid w:val="00577696"/>
    <w:rsid w:val="005776D5"/>
    <w:rsid w:val="005776E0"/>
    <w:rsid w:val="00577726"/>
    <w:rsid w:val="0057796F"/>
    <w:rsid w:val="00577C92"/>
    <w:rsid w:val="00577CFD"/>
    <w:rsid w:val="00577DEF"/>
    <w:rsid w:val="005801B0"/>
    <w:rsid w:val="00580240"/>
    <w:rsid w:val="005803AD"/>
    <w:rsid w:val="00580588"/>
    <w:rsid w:val="00580625"/>
    <w:rsid w:val="0058063B"/>
    <w:rsid w:val="00580698"/>
    <w:rsid w:val="005806CE"/>
    <w:rsid w:val="0058074B"/>
    <w:rsid w:val="005809DE"/>
    <w:rsid w:val="00580CF6"/>
    <w:rsid w:val="00580D11"/>
    <w:rsid w:val="00580EA9"/>
    <w:rsid w:val="00580FC8"/>
    <w:rsid w:val="00581023"/>
    <w:rsid w:val="0058130E"/>
    <w:rsid w:val="00581472"/>
    <w:rsid w:val="005815BD"/>
    <w:rsid w:val="005816DC"/>
    <w:rsid w:val="005816FD"/>
    <w:rsid w:val="005817EC"/>
    <w:rsid w:val="00581890"/>
    <w:rsid w:val="0058189E"/>
    <w:rsid w:val="0058190F"/>
    <w:rsid w:val="00581A28"/>
    <w:rsid w:val="00581D38"/>
    <w:rsid w:val="00581D51"/>
    <w:rsid w:val="00581DE9"/>
    <w:rsid w:val="0058209C"/>
    <w:rsid w:val="0058211F"/>
    <w:rsid w:val="00582446"/>
    <w:rsid w:val="00582686"/>
    <w:rsid w:val="00582A9E"/>
    <w:rsid w:val="00582D14"/>
    <w:rsid w:val="00582D3C"/>
    <w:rsid w:val="00583243"/>
    <w:rsid w:val="005833EC"/>
    <w:rsid w:val="0058350F"/>
    <w:rsid w:val="0058370B"/>
    <w:rsid w:val="005837E4"/>
    <w:rsid w:val="00583867"/>
    <w:rsid w:val="0058427F"/>
    <w:rsid w:val="005842A9"/>
    <w:rsid w:val="005842E9"/>
    <w:rsid w:val="005844A0"/>
    <w:rsid w:val="005845BE"/>
    <w:rsid w:val="00584899"/>
    <w:rsid w:val="0058490B"/>
    <w:rsid w:val="00584A13"/>
    <w:rsid w:val="00584AB5"/>
    <w:rsid w:val="00584ADC"/>
    <w:rsid w:val="00584E75"/>
    <w:rsid w:val="00584EC8"/>
    <w:rsid w:val="00585030"/>
    <w:rsid w:val="005850E4"/>
    <w:rsid w:val="005852A5"/>
    <w:rsid w:val="005856C3"/>
    <w:rsid w:val="00585714"/>
    <w:rsid w:val="00585B27"/>
    <w:rsid w:val="00585DE3"/>
    <w:rsid w:val="00585EB7"/>
    <w:rsid w:val="00586058"/>
    <w:rsid w:val="005864B9"/>
    <w:rsid w:val="0058656F"/>
    <w:rsid w:val="0058673B"/>
    <w:rsid w:val="00586756"/>
    <w:rsid w:val="00586780"/>
    <w:rsid w:val="00586804"/>
    <w:rsid w:val="0058685A"/>
    <w:rsid w:val="00587106"/>
    <w:rsid w:val="00587365"/>
    <w:rsid w:val="005875DF"/>
    <w:rsid w:val="005875E0"/>
    <w:rsid w:val="005876C3"/>
    <w:rsid w:val="0058776A"/>
    <w:rsid w:val="00587AF2"/>
    <w:rsid w:val="00587B3A"/>
    <w:rsid w:val="00587E1F"/>
    <w:rsid w:val="00587EDA"/>
    <w:rsid w:val="00590029"/>
    <w:rsid w:val="00590137"/>
    <w:rsid w:val="0059025F"/>
    <w:rsid w:val="0059052C"/>
    <w:rsid w:val="005907B5"/>
    <w:rsid w:val="00590890"/>
    <w:rsid w:val="00590BBF"/>
    <w:rsid w:val="00590D7B"/>
    <w:rsid w:val="00590EEA"/>
    <w:rsid w:val="00590F58"/>
    <w:rsid w:val="00590F6E"/>
    <w:rsid w:val="00591055"/>
    <w:rsid w:val="00591206"/>
    <w:rsid w:val="0059150F"/>
    <w:rsid w:val="005915E8"/>
    <w:rsid w:val="0059172B"/>
    <w:rsid w:val="005917D8"/>
    <w:rsid w:val="00591A5A"/>
    <w:rsid w:val="00591BAE"/>
    <w:rsid w:val="00591D98"/>
    <w:rsid w:val="0059216B"/>
    <w:rsid w:val="005926B5"/>
    <w:rsid w:val="00592716"/>
    <w:rsid w:val="00592829"/>
    <w:rsid w:val="00592AF7"/>
    <w:rsid w:val="00592CB6"/>
    <w:rsid w:val="00592CC6"/>
    <w:rsid w:val="00592D1A"/>
    <w:rsid w:val="00592D80"/>
    <w:rsid w:val="00592E5D"/>
    <w:rsid w:val="00592ECE"/>
    <w:rsid w:val="00592FC3"/>
    <w:rsid w:val="0059319F"/>
    <w:rsid w:val="005931CE"/>
    <w:rsid w:val="00593288"/>
    <w:rsid w:val="0059329F"/>
    <w:rsid w:val="005934A8"/>
    <w:rsid w:val="0059378C"/>
    <w:rsid w:val="005937F0"/>
    <w:rsid w:val="00593B15"/>
    <w:rsid w:val="00593BB3"/>
    <w:rsid w:val="00593C95"/>
    <w:rsid w:val="00593ED1"/>
    <w:rsid w:val="00593F06"/>
    <w:rsid w:val="0059421F"/>
    <w:rsid w:val="00594280"/>
    <w:rsid w:val="00594594"/>
    <w:rsid w:val="005945AD"/>
    <w:rsid w:val="0059464A"/>
    <w:rsid w:val="005947AD"/>
    <w:rsid w:val="005949AC"/>
    <w:rsid w:val="00594BE7"/>
    <w:rsid w:val="00594F4D"/>
    <w:rsid w:val="005953B3"/>
    <w:rsid w:val="0059551F"/>
    <w:rsid w:val="00595734"/>
    <w:rsid w:val="0059576A"/>
    <w:rsid w:val="00595859"/>
    <w:rsid w:val="00595861"/>
    <w:rsid w:val="005958BF"/>
    <w:rsid w:val="00595A51"/>
    <w:rsid w:val="00595C9B"/>
    <w:rsid w:val="00595EBD"/>
    <w:rsid w:val="00596056"/>
    <w:rsid w:val="0059645B"/>
    <w:rsid w:val="005964BA"/>
    <w:rsid w:val="00596B1B"/>
    <w:rsid w:val="00596BB4"/>
    <w:rsid w:val="00597004"/>
    <w:rsid w:val="00597243"/>
    <w:rsid w:val="00597464"/>
    <w:rsid w:val="00597835"/>
    <w:rsid w:val="00597972"/>
    <w:rsid w:val="00597A2F"/>
    <w:rsid w:val="00597BF2"/>
    <w:rsid w:val="00597E47"/>
    <w:rsid w:val="00597F6E"/>
    <w:rsid w:val="00597FAB"/>
    <w:rsid w:val="00597FBA"/>
    <w:rsid w:val="005A01A0"/>
    <w:rsid w:val="005A01B9"/>
    <w:rsid w:val="005A01F8"/>
    <w:rsid w:val="005A055C"/>
    <w:rsid w:val="005A096A"/>
    <w:rsid w:val="005A0B38"/>
    <w:rsid w:val="005A0F19"/>
    <w:rsid w:val="005A10FE"/>
    <w:rsid w:val="005A11F4"/>
    <w:rsid w:val="005A1205"/>
    <w:rsid w:val="005A1574"/>
    <w:rsid w:val="005A1B06"/>
    <w:rsid w:val="005A1E59"/>
    <w:rsid w:val="005A1E5D"/>
    <w:rsid w:val="005A2064"/>
    <w:rsid w:val="005A207B"/>
    <w:rsid w:val="005A20AF"/>
    <w:rsid w:val="005A213C"/>
    <w:rsid w:val="005A2221"/>
    <w:rsid w:val="005A22A8"/>
    <w:rsid w:val="005A22B0"/>
    <w:rsid w:val="005A2336"/>
    <w:rsid w:val="005A2369"/>
    <w:rsid w:val="005A23CE"/>
    <w:rsid w:val="005A24A6"/>
    <w:rsid w:val="005A2870"/>
    <w:rsid w:val="005A2C1B"/>
    <w:rsid w:val="005A2C4F"/>
    <w:rsid w:val="005A2CE3"/>
    <w:rsid w:val="005A2F48"/>
    <w:rsid w:val="005A2FEC"/>
    <w:rsid w:val="005A3281"/>
    <w:rsid w:val="005A35AA"/>
    <w:rsid w:val="005A372C"/>
    <w:rsid w:val="005A3C1D"/>
    <w:rsid w:val="005A3D37"/>
    <w:rsid w:val="005A441F"/>
    <w:rsid w:val="005A44E7"/>
    <w:rsid w:val="005A455B"/>
    <w:rsid w:val="005A473F"/>
    <w:rsid w:val="005A4842"/>
    <w:rsid w:val="005A4B98"/>
    <w:rsid w:val="005A4C3B"/>
    <w:rsid w:val="005A4C43"/>
    <w:rsid w:val="005A4C9B"/>
    <w:rsid w:val="005A4D0D"/>
    <w:rsid w:val="005A5150"/>
    <w:rsid w:val="005A5441"/>
    <w:rsid w:val="005A5650"/>
    <w:rsid w:val="005A5783"/>
    <w:rsid w:val="005A58A7"/>
    <w:rsid w:val="005A58CD"/>
    <w:rsid w:val="005A5983"/>
    <w:rsid w:val="005A5A88"/>
    <w:rsid w:val="005A5AB8"/>
    <w:rsid w:val="005A5BBE"/>
    <w:rsid w:val="005A5DCD"/>
    <w:rsid w:val="005A5EFD"/>
    <w:rsid w:val="005A6096"/>
    <w:rsid w:val="005A6149"/>
    <w:rsid w:val="005A615A"/>
    <w:rsid w:val="005A6358"/>
    <w:rsid w:val="005A67ED"/>
    <w:rsid w:val="005A68A6"/>
    <w:rsid w:val="005A69F7"/>
    <w:rsid w:val="005A6C89"/>
    <w:rsid w:val="005A6DCC"/>
    <w:rsid w:val="005A700D"/>
    <w:rsid w:val="005A7064"/>
    <w:rsid w:val="005A71D6"/>
    <w:rsid w:val="005A724B"/>
    <w:rsid w:val="005A7342"/>
    <w:rsid w:val="005A747C"/>
    <w:rsid w:val="005A756D"/>
    <w:rsid w:val="005A7671"/>
    <w:rsid w:val="005A76E1"/>
    <w:rsid w:val="005A7732"/>
    <w:rsid w:val="005A78B2"/>
    <w:rsid w:val="005A78C7"/>
    <w:rsid w:val="005A7945"/>
    <w:rsid w:val="005A7CFF"/>
    <w:rsid w:val="005A7EB3"/>
    <w:rsid w:val="005A7EE8"/>
    <w:rsid w:val="005A7F96"/>
    <w:rsid w:val="005B003D"/>
    <w:rsid w:val="005B019B"/>
    <w:rsid w:val="005B05DF"/>
    <w:rsid w:val="005B05E6"/>
    <w:rsid w:val="005B0834"/>
    <w:rsid w:val="005B08E7"/>
    <w:rsid w:val="005B104C"/>
    <w:rsid w:val="005B10C3"/>
    <w:rsid w:val="005B1139"/>
    <w:rsid w:val="005B13C4"/>
    <w:rsid w:val="005B1620"/>
    <w:rsid w:val="005B1770"/>
    <w:rsid w:val="005B1825"/>
    <w:rsid w:val="005B1A81"/>
    <w:rsid w:val="005B2039"/>
    <w:rsid w:val="005B2056"/>
    <w:rsid w:val="005B212F"/>
    <w:rsid w:val="005B215A"/>
    <w:rsid w:val="005B2584"/>
    <w:rsid w:val="005B2701"/>
    <w:rsid w:val="005B270C"/>
    <w:rsid w:val="005B28AA"/>
    <w:rsid w:val="005B29BD"/>
    <w:rsid w:val="005B29D7"/>
    <w:rsid w:val="005B2C90"/>
    <w:rsid w:val="005B2DAB"/>
    <w:rsid w:val="005B2EA3"/>
    <w:rsid w:val="005B3069"/>
    <w:rsid w:val="005B31B3"/>
    <w:rsid w:val="005B31F9"/>
    <w:rsid w:val="005B3269"/>
    <w:rsid w:val="005B3381"/>
    <w:rsid w:val="005B36AD"/>
    <w:rsid w:val="005B3751"/>
    <w:rsid w:val="005B37B5"/>
    <w:rsid w:val="005B3938"/>
    <w:rsid w:val="005B39B7"/>
    <w:rsid w:val="005B3B6A"/>
    <w:rsid w:val="005B3BF7"/>
    <w:rsid w:val="005B3EB4"/>
    <w:rsid w:val="005B4071"/>
    <w:rsid w:val="005B41BD"/>
    <w:rsid w:val="005B46E3"/>
    <w:rsid w:val="005B4776"/>
    <w:rsid w:val="005B4A97"/>
    <w:rsid w:val="005B4F56"/>
    <w:rsid w:val="005B502C"/>
    <w:rsid w:val="005B50A9"/>
    <w:rsid w:val="005B5144"/>
    <w:rsid w:val="005B51BA"/>
    <w:rsid w:val="005B5515"/>
    <w:rsid w:val="005B5731"/>
    <w:rsid w:val="005B57AB"/>
    <w:rsid w:val="005B59BB"/>
    <w:rsid w:val="005B5BCB"/>
    <w:rsid w:val="005B5C5F"/>
    <w:rsid w:val="005B5D29"/>
    <w:rsid w:val="005B5D8D"/>
    <w:rsid w:val="005B5DED"/>
    <w:rsid w:val="005B6071"/>
    <w:rsid w:val="005B61EA"/>
    <w:rsid w:val="005B63A3"/>
    <w:rsid w:val="005B63A4"/>
    <w:rsid w:val="005B6923"/>
    <w:rsid w:val="005B69ED"/>
    <w:rsid w:val="005B6B7E"/>
    <w:rsid w:val="005B6CA9"/>
    <w:rsid w:val="005B7084"/>
    <w:rsid w:val="005B7789"/>
    <w:rsid w:val="005B7809"/>
    <w:rsid w:val="005B791D"/>
    <w:rsid w:val="005B7938"/>
    <w:rsid w:val="005C0083"/>
    <w:rsid w:val="005C03E9"/>
    <w:rsid w:val="005C054F"/>
    <w:rsid w:val="005C05EE"/>
    <w:rsid w:val="005C06AD"/>
    <w:rsid w:val="005C0776"/>
    <w:rsid w:val="005C07FF"/>
    <w:rsid w:val="005C0A83"/>
    <w:rsid w:val="005C0BCD"/>
    <w:rsid w:val="005C0BE0"/>
    <w:rsid w:val="005C0C32"/>
    <w:rsid w:val="005C0DDD"/>
    <w:rsid w:val="005C0FA4"/>
    <w:rsid w:val="005C1003"/>
    <w:rsid w:val="005C1004"/>
    <w:rsid w:val="005C1200"/>
    <w:rsid w:val="005C1408"/>
    <w:rsid w:val="005C17E3"/>
    <w:rsid w:val="005C18F6"/>
    <w:rsid w:val="005C1980"/>
    <w:rsid w:val="005C19A9"/>
    <w:rsid w:val="005C1AC1"/>
    <w:rsid w:val="005C1BC0"/>
    <w:rsid w:val="005C1CFC"/>
    <w:rsid w:val="005C1D10"/>
    <w:rsid w:val="005C1D48"/>
    <w:rsid w:val="005C1E2E"/>
    <w:rsid w:val="005C1F49"/>
    <w:rsid w:val="005C1FB1"/>
    <w:rsid w:val="005C1FB5"/>
    <w:rsid w:val="005C2085"/>
    <w:rsid w:val="005C2332"/>
    <w:rsid w:val="005C2480"/>
    <w:rsid w:val="005C28DA"/>
    <w:rsid w:val="005C2C91"/>
    <w:rsid w:val="005C2CA3"/>
    <w:rsid w:val="005C2F83"/>
    <w:rsid w:val="005C3150"/>
    <w:rsid w:val="005C31B1"/>
    <w:rsid w:val="005C32BE"/>
    <w:rsid w:val="005C3465"/>
    <w:rsid w:val="005C3682"/>
    <w:rsid w:val="005C3699"/>
    <w:rsid w:val="005C36A1"/>
    <w:rsid w:val="005C39CB"/>
    <w:rsid w:val="005C3A00"/>
    <w:rsid w:val="005C3A10"/>
    <w:rsid w:val="005C3B5A"/>
    <w:rsid w:val="005C3B72"/>
    <w:rsid w:val="005C3B79"/>
    <w:rsid w:val="005C3C7C"/>
    <w:rsid w:val="005C3CBF"/>
    <w:rsid w:val="005C3D73"/>
    <w:rsid w:val="005C3D7F"/>
    <w:rsid w:val="005C3DA2"/>
    <w:rsid w:val="005C3DE0"/>
    <w:rsid w:val="005C3E66"/>
    <w:rsid w:val="005C407E"/>
    <w:rsid w:val="005C40C8"/>
    <w:rsid w:val="005C43CF"/>
    <w:rsid w:val="005C4817"/>
    <w:rsid w:val="005C4855"/>
    <w:rsid w:val="005C48D5"/>
    <w:rsid w:val="005C491A"/>
    <w:rsid w:val="005C4B60"/>
    <w:rsid w:val="005C4C67"/>
    <w:rsid w:val="005C4E46"/>
    <w:rsid w:val="005C50E9"/>
    <w:rsid w:val="005C533D"/>
    <w:rsid w:val="005C53C7"/>
    <w:rsid w:val="005C54CA"/>
    <w:rsid w:val="005C5583"/>
    <w:rsid w:val="005C5659"/>
    <w:rsid w:val="005C575B"/>
    <w:rsid w:val="005C590E"/>
    <w:rsid w:val="005C5982"/>
    <w:rsid w:val="005C5A19"/>
    <w:rsid w:val="005C5B3F"/>
    <w:rsid w:val="005C5F5B"/>
    <w:rsid w:val="005C5F89"/>
    <w:rsid w:val="005C5FB7"/>
    <w:rsid w:val="005C61BB"/>
    <w:rsid w:val="005C623E"/>
    <w:rsid w:val="005C63C1"/>
    <w:rsid w:val="005C64A0"/>
    <w:rsid w:val="005C66AB"/>
    <w:rsid w:val="005C69A0"/>
    <w:rsid w:val="005C6A66"/>
    <w:rsid w:val="005C6F0C"/>
    <w:rsid w:val="005C6F38"/>
    <w:rsid w:val="005C6F49"/>
    <w:rsid w:val="005C7101"/>
    <w:rsid w:val="005C71A9"/>
    <w:rsid w:val="005C72E6"/>
    <w:rsid w:val="005C7443"/>
    <w:rsid w:val="005C7803"/>
    <w:rsid w:val="005C793C"/>
    <w:rsid w:val="005C7B8C"/>
    <w:rsid w:val="005C7D1A"/>
    <w:rsid w:val="005C7FA5"/>
    <w:rsid w:val="005D0068"/>
    <w:rsid w:val="005D0083"/>
    <w:rsid w:val="005D00FD"/>
    <w:rsid w:val="005D014E"/>
    <w:rsid w:val="005D01B6"/>
    <w:rsid w:val="005D024B"/>
    <w:rsid w:val="005D033D"/>
    <w:rsid w:val="005D03A1"/>
    <w:rsid w:val="005D0837"/>
    <w:rsid w:val="005D0846"/>
    <w:rsid w:val="005D093E"/>
    <w:rsid w:val="005D09A3"/>
    <w:rsid w:val="005D0A1A"/>
    <w:rsid w:val="005D0BAC"/>
    <w:rsid w:val="005D0BC0"/>
    <w:rsid w:val="005D0DE3"/>
    <w:rsid w:val="005D10A5"/>
    <w:rsid w:val="005D1392"/>
    <w:rsid w:val="005D1729"/>
    <w:rsid w:val="005D18D8"/>
    <w:rsid w:val="005D1938"/>
    <w:rsid w:val="005D195E"/>
    <w:rsid w:val="005D1C47"/>
    <w:rsid w:val="005D1CEC"/>
    <w:rsid w:val="005D1F06"/>
    <w:rsid w:val="005D1F5E"/>
    <w:rsid w:val="005D1F63"/>
    <w:rsid w:val="005D2081"/>
    <w:rsid w:val="005D22D1"/>
    <w:rsid w:val="005D22FE"/>
    <w:rsid w:val="005D2347"/>
    <w:rsid w:val="005D2B7F"/>
    <w:rsid w:val="005D2ED6"/>
    <w:rsid w:val="005D34F8"/>
    <w:rsid w:val="005D3513"/>
    <w:rsid w:val="005D379C"/>
    <w:rsid w:val="005D396F"/>
    <w:rsid w:val="005D39BB"/>
    <w:rsid w:val="005D3B6D"/>
    <w:rsid w:val="005D3BAD"/>
    <w:rsid w:val="005D3F3D"/>
    <w:rsid w:val="005D4068"/>
    <w:rsid w:val="005D430B"/>
    <w:rsid w:val="005D46E7"/>
    <w:rsid w:val="005D48FE"/>
    <w:rsid w:val="005D4B9D"/>
    <w:rsid w:val="005D4E27"/>
    <w:rsid w:val="005D4E88"/>
    <w:rsid w:val="005D4EC9"/>
    <w:rsid w:val="005D5023"/>
    <w:rsid w:val="005D5047"/>
    <w:rsid w:val="005D5094"/>
    <w:rsid w:val="005D537A"/>
    <w:rsid w:val="005D5443"/>
    <w:rsid w:val="005D5455"/>
    <w:rsid w:val="005D547A"/>
    <w:rsid w:val="005D5624"/>
    <w:rsid w:val="005D5891"/>
    <w:rsid w:val="005D59FD"/>
    <w:rsid w:val="005D5BA1"/>
    <w:rsid w:val="005D5C4A"/>
    <w:rsid w:val="005D5E31"/>
    <w:rsid w:val="005D5EF6"/>
    <w:rsid w:val="005D6086"/>
    <w:rsid w:val="005D6133"/>
    <w:rsid w:val="005D63FC"/>
    <w:rsid w:val="005D64C3"/>
    <w:rsid w:val="005D65F5"/>
    <w:rsid w:val="005D66B2"/>
    <w:rsid w:val="005D6734"/>
    <w:rsid w:val="005D697E"/>
    <w:rsid w:val="005D69E4"/>
    <w:rsid w:val="005D6C62"/>
    <w:rsid w:val="005D6EAA"/>
    <w:rsid w:val="005D6FF9"/>
    <w:rsid w:val="005D7397"/>
    <w:rsid w:val="005D757A"/>
    <w:rsid w:val="005D77F3"/>
    <w:rsid w:val="005D7804"/>
    <w:rsid w:val="005D7812"/>
    <w:rsid w:val="005D795D"/>
    <w:rsid w:val="005D7981"/>
    <w:rsid w:val="005D7ABE"/>
    <w:rsid w:val="005D7CBB"/>
    <w:rsid w:val="005D7E27"/>
    <w:rsid w:val="005D7E4F"/>
    <w:rsid w:val="005D7E6B"/>
    <w:rsid w:val="005D7F29"/>
    <w:rsid w:val="005D7F75"/>
    <w:rsid w:val="005E00F5"/>
    <w:rsid w:val="005E0468"/>
    <w:rsid w:val="005E04D3"/>
    <w:rsid w:val="005E06C0"/>
    <w:rsid w:val="005E070C"/>
    <w:rsid w:val="005E08C8"/>
    <w:rsid w:val="005E09FF"/>
    <w:rsid w:val="005E0F51"/>
    <w:rsid w:val="005E107C"/>
    <w:rsid w:val="005E1130"/>
    <w:rsid w:val="005E1467"/>
    <w:rsid w:val="005E1643"/>
    <w:rsid w:val="005E16B2"/>
    <w:rsid w:val="005E17F3"/>
    <w:rsid w:val="005E1890"/>
    <w:rsid w:val="005E18DF"/>
    <w:rsid w:val="005E1DB5"/>
    <w:rsid w:val="005E1ED2"/>
    <w:rsid w:val="005E2106"/>
    <w:rsid w:val="005E2354"/>
    <w:rsid w:val="005E24AD"/>
    <w:rsid w:val="005E26CC"/>
    <w:rsid w:val="005E27CA"/>
    <w:rsid w:val="005E27FD"/>
    <w:rsid w:val="005E29D1"/>
    <w:rsid w:val="005E29DE"/>
    <w:rsid w:val="005E2B7F"/>
    <w:rsid w:val="005E2D0C"/>
    <w:rsid w:val="005E2F48"/>
    <w:rsid w:val="005E3344"/>
    <w:rsid w:val="005E33B8"/>
    <w:rsid w:val="005E33D0"/>
    <w:rsid w:val="005E346A"/>
    <w:rsid w:val="005E3625"/>
    <w:rsid w:val="005E39FD"/>
    <w:rsid w:val="005E3A08"/>
    <w:rsid w:val="005E3C5C"/>
    <w:rsid w:val="005E3C93"/>
    <w:rsid w:val="005E3E1B"/>
    <w:rsid w:val="005E3FC9"/>
    <w:rsid w:val="005E420E"/>
    <w:rsid w:val="005E4308"/>
    <w:rsid w:val="005E460A"/>
    <w:rsid w:val="005E4660"/>
    <w:rsid w:val="005E4695"/>
    <w:rsid w:val="005E49B2"/>
    <w:rsid w:val="005E4A73"/>
    <w:rsid w:val="005E4B12"/>
    <w:rsid w:val="005E4D15"/>
    <w:rsid w:val="005E4F13"/>
    <w:rsid w:val="005E4F82"/>
    <w:rsid w:val="005E5040"/>
    <w:rsid w:val="005E55B9"/>
    <w:rsid w:val="005E55BA"/>
    <w:rsid w:val="005E56C8"/>
    <w:rsid w:val="005E5756"/>
    <w:rsid w:val="005E595A"/>
    <w:rsid w:val="005E5FE7"/>
    <w:rsid w:val="005E6219"/>
    <w:rsid w:val="005E6358"/>
    <w:rsid w:val="005E6560"/>
    <w:rsid w:val="005E6A26"/>
    <w:rsid w:val="005E6AFE"/>
    <w:rsid w:val="005E6D43"/>
    <w:rsid w:val="005E6E72"/>
    <w:rsid w:val="005E6E99"/>
    <w:rsid w:val="005E6FBC"/>
    <w:rsid w:val="005E7653"/>
    <w:rsid w:val="005E7672"/>
    <w:rsid w:val="005E79DD"/>
    <w:rsid w:val="005E7A9C"/>
    <w:rsid w:val="005E7AFA"/>
    <w:rsid w:val="005E7B55"/>
    <w:rsid w:val="005E7C15"/>
    <w:rsid w:val="005E7C77"/>
    <w:rsid w:val="005E7E78"/>
    <w:rsid w:val="005F06C5"/>
    <w:rsid w:val="005F0824"/>
    <w:rsid w:val="005F0866"/>
    <w:rsid w:val="005F08B6"/>
    <w:rsid w:val="005F0997"/>
    <w:rsid w:val="005F09AB"/>
    <w:rsid w:val="005F0AE8"/>
    <w:rsid w:val="005F0B6D"/>
    <w:rsid w:val="005F1066"/>
    <w:rsid w:val="005F10A3"/>
    <w:rsid w:val="005F141C"/>
    <w:rsid w:val="005F1684"/>
    <w:rsid w:val="005F17F0"/>
    <w:rsid w:val="005F18DD"/>
    <w:rsid w:val="005F1938"/>
    <w:rsid w:val="005F1A8D"/>
    <w:rsid w:val="005F1B65"/>
    <w:rsid w:val="005F1B74"/>
    <w:rsid w:val="005F1C3A"/>
    <w:rsid w:val="005F1D3F"/>
    <w:rsid w:val="005F1EEB"/>
    <w:rsid w:val="005F1FD6"/>
    <w:rsid w:val="005F21BB"/>
    <w:rsid w:val="005F2351"/>
    <w:rsid w:val="005F2448"/>
    <w:rsid w:val="005F2515"/>
    <w:rsid w:val="005F276D"/>
    <w:rsid w:val="005F295B"/>
    <w:rsid w:val="005F29D1"/>
    <w:rsid w:val="005F2A09"/>
    <w:rsid w:val="005F2A6B"/>
    <w:rsid w:val="005F2A85"/>
    <w:rsid w:val="005F2AFA"/>
    <w:rsid w:val="005F2D85"/>
    <w:rsid w:val="005F2DD4"/>
    <w:rsid w:val="005F2E20"/>
    <w:rsid w:val="005F2FC2"/>
    <w:rsid w:val="005F2FD1"/>
    <w:rsid w:val="005F3111"/>
    <w:rsid w:val="005F3257"/>
    <w:rsid w:val="005F3280"/>
    <w:rsid w:val="005F3366"/>
    <w:rsid w:val="005F34C9"/>
    <w:rsid w:val="005F3947"/>
    <w:rsid w:val="005F39BC"/>
    <w:rsid w:val="005F3C46"/>
    <w:rsid w:val="005F3F14"/>
    <w:rsid w:val="005F3F21"/>
    <w:rsid w:val="005F3FA6"/>
    <w:rsid w:val="005F3FDB"/>
    <w:rsid w:val="005F40C1"/>
    <w:rsid w:val="005F428F"/>
    <w:rsid w:val="005F4296"/>
    <w:rsid w:val="005F435C"/>
    <w:rsid w:val="005F43B4"/>
    <w:rsid w:val="005F4586"/>
    <w:rsid w:val="005F47D1"/>
    <w:rsid w:val="005F4965"/>
    <w:rsid w:val="005F4B29"/>
    <w:rsid w:val="005F4D81"/>
    <w:rsid w:val="005F4FE2"/>
    <w:rsid w:val="005F506A"/>
    <w:rsid w:val="005F5230"/>
    <w:rsid w:val="005F5513"/>
    <w:rsid w:val="005F5757"/>
    <w:rsid w:val="005F5944"/>
    <w:rsid w:val="005F5977"/>
    <w:rsid w:val="005F59B5"/>
    <w:rsid w:val="005F5B1E"/>
    <w:rsid w:val="005F5C19"/>
    <w:rsid w:val="005F5C9E"/>
    <w:rsid w:val="005F5F51"/>
    <w:rsid w:val="005F6356"/>
    <w:rsid w:val="005F63E6"/>
    <w:rsid w:val="005F675F"/>
    <w:rsid w:val="005F6830"/>
    <w:rsid w:val="005F6A72"/>
    <w:rsid w:val="005F6AAD"/>
    <w:rsid w:val="005F6C17"/>
    <w:rsid w:val="005F6F21"/>
    <w:rsid w:val="005F7372"/>
    <w:rsid w:val="005F740D"/>
    <w:rsid w:val="005F7872"/>
    <w:rsid w:val="005F78CB"/>
    <w:rsid w:val="005F78DE"/>
    <w:rsid w:val="005F7E74"/>
    <w:rsid w:val="005F7FB9"/>
    <w:rsid w:val="005FA08F"/>
    <w:rsid w:val="00600312"/>
    <w:rsid w:val="00600401"/>
    <w:rsid w:val="006004BC"/>
    <w:rsid w:val="006004DD"/>
    <w:rsid w:val="00600847"/>
    <w:rsid w:val="006008E0"/>
    <w:rsid w:val="00600A39"/>
    <w:rsid w:val="00600BD0"/>
    <w:rsid w:val="00600D0D"/>
    <w:rsid w:val="00600F6A"/>
    <w:rsid w:val="00601076"/>
    <w:rsid w:val="006011AE"/>
    <w:rsid w:val="0060121E"/>
    <w:rsid w:val="00601241"/>
    <w:rsid w:val="0060146E"/>
    <w:rsid w:val="006016CB"/>
    <w:rsid w:val="006018C8"/>
    <w:rsid w:val="0060192C"/>
    <w:rsid w:val="0060194F"/>
    <w:rsid w:val="00601A1F"/>
    <w:rsid w:val="006020A1"/>
    <w:rsid w:val="00602115"/>
    <w:rsid w:val="0060215A"/>
    <w:rsid w:val="0060218B"/>
    <w:rsid w:val="006021B8"/>
    <w:rsid w:val="0060220B"/>
    <w:rsid w:val="0060222F"/>
    <w:rsid w:val="006022DB"/>
    <w:rsid w:val="006023E5"/>
    <w:rsid w:val="006024D3"/>
    <w:rsid w:val="0060273E"/>
    <w:rsid w:val="00602952"/>
    <w:rsid w:val="006029A3"/>
    <w:rsid w:val="00602BA5"/>
    <w:rsid w:val="00602BC4"/>
    <w:rsid w:val="00602BE7"/>
    <w:rsid w:val="00602FD8"/>
    <w:rsid w:val="0060332C"/>
    <w:rsid w:val="00603372"/>
    <w:rsid w:val="00603590"/>
    <w:rsid w:val="0060364B"/>
    <w:rsid w:val="0060369F"/>
    <w:rsid w:val="006036D6"/>
    <w:rsid w:val="006037AB"/>
    <w:rsid w:val="0060382A"/>
    <w:rsid w:val="006038D3"/>
    <w:rsid w:val="006038DE"/>
    <w:rsid w:val="00603ADD"/>
    <w:rsid w:val="00603B6F"/>
    <w:rsid w:val="00603EE5"/>
    <w:rsid w:val="00603F00"/>
    <w:rsid w:val="00604057"/>
    <w:rsid w:val="006040AA"/>
    <w:rsid w:val="00604105"/>
    <w:rsid w:val="006043D9"/>
    <w:rsid w:val="0060450F"/>
    <w:rsid w:val="0060451B"/>
    <w:rsid w:val="00604579"/>
    <w:rsid w:val="00604641"/>
    <w:rsid w:val="00604756"/>
    <w:rsid w:val="00604BE6"/>
    <w:rsid w:val="00604BEB"/>
    <w:rsid w:val="00604CDA"/>
    <w:rsid w:val="00604F2F"/>
    <w:rsid w:val="00604FEA"/>
    <w:rsid w:val="00605059"/>
    <w:rsid w:val="006050C8"/>
    <w:rsid w:val="006051DA"/>
    <w:rsid w:val="00605AAA"/>
    <w:rsid w:val="00605AB4"/>
    <w:rsid w:val="00605B69"/>
    <w:rsid w:val="00605C20"/>
    <w:rsid w:val="00605CF3"/>
    <w:rsid w:val="00605DC1"/>
    <w:rsid w:val="0060640C"/>
    <w:rsid w:val="006064D8"/>
    <w:rsid w:val="0060656B"/>
    <w:rsid w:val="006065C9"/>
    <w:rsid w:val="00606636"/>
    <w:rsid w:val="0060666A"/>
    <w:rsid w:val="006068CF"/>
    <w:rsid w:val="006068DE"/>
    <w:rsid w:val="00606A29"/>
    <w:rsid w:val="00606B89"/>
    <w:rsid w:val="00606CC6"/>
    <w:rsid w:val="00606EF9"/>
    <w:rsid w:val="00606F81"/>
    <w:rsid w:val="00606F8A"/>
    <w:rsid w:val="00607026"/>
    <w:rsid w:val="0060706A"/>
    <w:rsid w:val="006073CB"/>
    <w:rsid w:val="0060764B"/>
    <w:rsid w:val="00607758"/>
    <w:rsid w:val="006077DF"/>
    <w:rsid w:val="0060784E"/>
    <w:rsid w:val="00607855"/>
    <w:rsid w:val="00607A26"/>
    <w:rsid w:val="00607A8F"/>
    <w:rsid w:val="00607C81"/>
    <w:rsid w:val="0061017E"/>
    <w:rsid w:val="0061022F"/>
    <w:rsid w:val="00610582"/>
    <w:rsid w:val="00610674"/>
    <w:rsid w:val="006107C4"/>
    <w:rsid w:val="00610985"/>
    <w:rsid w:val="006109D6"/>
    <w:rsid w:val="00610C4D"/>
    <w:rsid w:val="00610D5E"/>
    <w:rsid w:val="006110E8"/>
    <w:rsid w:val="006112E3"/>
    <w:rsid w:val="006114E6"/>
    <w:rsid w:val="006118C7"/>
    <w:rsid w:val="00611920"/>
    <w:rsid w:val="00611B69"/>
    <w:rsid w:val="00611B81"/>
    <w:rsid w:val="0061203B"/>
    <w:rsid w:val="00612087"/>
    <w:rsid w:val="00612311"/>
    <w:rsid w:val="00612460"/>
    <w:rsid w:val="006124AF"/>
    <w:rsid w:val="006124DA"/>
    <w:rsid w:val="00612648"/>
    <w:rsid w:val="00612A50"/>
    <w:rsid w:val="00612B45"/>
    <w:rsid w:val="00612E54"/>
    <w:rsid w:val="00612FF6"/>
    <w:rsid w:val="00613101"/>
    <w:rsid w:val="006132D8"/>
    <w:rsid w:val="00613380"/>
    <w:rsid w:val="00613467"/>
    <w:rsid w:val="006134DC"/>
    <w:rsid w:val="00613512"/>
    <w:rsid w:val="00613740"/>
    <w:rsid w:val="00613852"/>
    <w:rsid w:val="00613992"/>
    <w:rsid w:val="00613B3A"/>
    <w:rsid w:val="00613C3D"/>
    <w:rsid w:val="00613D62"/>
    <w:rsid w:val="00613DCB"/>
    <w:rsid w:val="00613F2E"/>
    <w:rsid w:val="00614202"/>
    <w:rsid w:val="00614233"/>
    <w:rsid w:val="0061455C"/>
    <w:rsid w:val="006147E8"/>
    <w:rsid w:val="00614B72"/>
    <w:rsid w:val="00614BAE"/>
    <w:rsid w:val="00614D1E"/>
    <w:rsid w:val="00614DD1"/>
    <w:rsid w:val="00614E22"/>
    <w:rsid w:val="006150AA"/>
    <w:rsid w:val="006150C6"/>
    <w:rsid w:val="0061523A"/>
    <w:rsid w:val="00615323"/>
    <w:rsid w:val="00615391"/>
    <w:rsid w:val="006153E0"/>
    <w:rsid w:val="006153E3"/>
    <w:rsid w:val="00615507"/>
    <w:rsid w:val="00615544"/>
    <w:rsid w:val="006155E7"/>
    <w:rsid w:val="006156D3"/>
    <w:rsid w:val="006156E2"/>
    <w:rsid w:val="00615879"/>
    <w:rsid w:val="006158E1"/>
    <w:rsid w:val="00615941"/>
    <w:rsid w:val="00615983"/>
    <w:rsid w:val="00615A40"/>
    <w:rsid w:val="00615A91"/>
    <w:rsid w:val="00615B3F"/>
    <w:rsid w:val="00615B58"/>
    <w:rsid w:val="00615BD2"/>
    <w:rsid w:val="00615DC1"/>
    <w:rsid w:val="0061636A"/>
    <w:rsid w:val="0061642F"/>
    <w:rsid w:val="006164EA"/>
    <w:rsid w:val="006165DA"/>
    <w:rsid w:val="0061667B"/>
    <w:rsid w:val="006168AF"/>
    <w:rsid w:val="00616998"/>
    <w:rsid w:val="00616A87"/>
    <w:rsid w:val="00616C56"/>
    <w:rsid w:val="00616E52"/>
    <w:rsid w:val="00616EFA"/>
    <w:rsid w:val="00617429"/>
    <w:rsid w:val="0061766F"/>
    <w:rsid w:val="006178A9"/>
    <w:rsid w:val="00617AE4"/>
    <w:rsid w:val="00617B40"/>
    <w:rsid w:val="00617C56"/>
    <w:rsid w:val="00617C94"/>
    <w:rsid w:val="00617CB5"/>
    <w:rsid w:val="00620258"/>
    <w:rsid w:val="0062027A"/>
    <w:rsid w:val="006202B9"/>
    <w:rsid w:val="0062072D"/>
    <w:rsid w:val="006208D4"/>
    <w:rsid w:val="00620918"/>
    <w:rsid w:val="00620B4E"/>
    <w:rsid w:val="00620BCE"/>
    <w:rsid w:val="00620C08"/>
    <w:rsid w:val="00620C24"/>
    <w:rsid w:val="00620D09"/>
    <w:rsid w:val="00620D6A"/>
    <w:rsid w:val="00620E16"/>
    <w:rsid w:val="006215B7"/>
    <w:rsid w:val="00621613"/>
    <w:rsid w:val="006217B4"/>
    <w:rsid w:val="006219FD"/>
    <w:rsid w:val="00621EF7"/>
    <w:rsid w:val="0062207E"/>
    <w:rsid w:val="00622255"/>
    <w:rsid w:val="00622501"/>
    <w:rsid w:val="006225E2"/>
    <w:rsid w:val="00622BBE"/>
    <w:rsid w:val="00622C31"/>
    <w:rsid w:val="00623092"/>
    <w:rsid w:val="00623247"/>
    <w:rsid w:val="00623324"/>
    <w:rsid w:val="00623454"/>
    <w:rsid w:val="0062398E"/>
    <w:rsid w:val="00623AFB"/>
    <w:rsid w:val="00623CD9"/>
    <w:rsid w:val="00623EA8"/>
    <w:rsid w:val="00623EF3"/>
    <w:rsid w:val="006242AE"/>
    <w:rsid w:val="00624315"/>
    <w:rsid w:val="0062442E"/>
    <w:rsid w:val="00624580"/>
    <w:rsid w:val="0062459A"/>
    <w:rsid w:val="006245AB"/>
    <w:rsid w:val="00624699"/>
    <w:rsid w:val="006246E3"/>
    <w:rsid w:val="00624778"/>
    <w:rsid w:val="00624A73"/>
    <w:rsid w:val="00624B27"/>
    <w:rsid w:val="00624C2C"/>
    <w:rsid w:val="00624C95"/>
    <w:rsid w:val="00624CB3"/>
    <w:rsid w:val="00624DD9"/>
    <w:rsid w:val="00624E46"/>
    <w:rsid w:val="006250A2"/>
    <w:rsid w:val="006251F0"/>
    <w:rsid w:val="00625263"/>
    <w:rsid w:val="0062545B"/>
    <w:rsid w:val="0062552A"/>
    <w:rsid w:val="0062578F"/>
    <w:rsid w:val="006257FA"/>
    <w:rsid w:val="006258FD"/>
    <w:rsid w:val="00625A42"/>
    <w:rsid w:val="00625CC6"/>
    <w:rsid w:val="0062608B"/>
    <w:rsid w:val="006261DF"/>
    <w:rsid w:val="006261EF"/>
    <w:rsid w:val="006264D2"/>
    <w:rsid w:val="006265E6"/>
    <w:rsid w:val="00626802"/>
    <w:rsid w:val="0062685A"/>
    <w:rsid w:val="00626983"/>
    <w:rsid w:val="00626ABA"/>
    <w:rsid w:val="00626AE7"/>
    <w:rsid w:val="00626BB7"/>
    <w:rsid w:val="00626BE0"/>
    <w:rsid w:val="00627020"/>
    <w:rsid w:val="00627080"/>
    <w:rsid w:val="0062708A"/>
    <w:rsid w:val="0062711A"/>
    <w:rsid w:val="0062726F"/>
    <w:rsid w:val="006272B2"/>
    <w:rsid w:val="0062767E"/>
    <w:rsid w:val="00627829"/>
    <w:rsid w:val="00627CBD"/>
    <w:rsid w:val="00627D3E"/>
    <w:rsid w:val="00627E22"/>
    <w:rsid w:val="00627E50"/>
    <w:rsid w:val="00630127"/>
    <w:rsid w:val="006301D2"/>
    <w:rsid w:val="006302DF"/>
    <w:rsid w:val="00630496"/>
    <w:rsid w:val="0063060B"/>
    <w:rsid w:val="006306E3"/>
    <w:rsid w:val="006306FF"/>
    <w:rsid w:val="006308DA"/>
    <w:rsid w:val="00630936"/>
    <w:rsid w:val="006309A2"/>
    <w:rsid w:val="00630A5C"/>
    <w:rsid w:val="00630CED"/>
    <w:rsid w:val="00630D67"/>
    <w:rsid w:val="00630F06"/>
    <w:rsid w:val="00630F2B"/>
    <w:rsid w:val="00631458"/>
    <w:rsid w:val="006316A3"/>
    <w:rsid w:val="00631C38"/>
    <w:rsid w:val="00631D67"/>
    <w:rsid w:val="00631DF8"/>
    <w:rsid w:val="00631EC8"/>
    <w:rsid w:val="00631F95"/>
    <w:rsid w:val="00631FF4"/>
    <w:rsid w:val="00632094"/>
    <w:rsid w:val="0063213E"/>
    <w:rsid w:val="0063226F"/>
    <w:rsid w:val="00632321"/>
    <w:rsid w:val="0063235D"/>
    <w:rsid w:val="00632680"/>
    <w:rsid w:val="00632734"/>
    <w:rsid w:val="0063280F"/>
    <w:rsid w:val="00632915"/>
    <w:rsid w:val="006329EF"/>
    <w:rsid w:val="00632B27"/>
    <w:rsid w:val="00632F83"/>
    <w:rsid w:val="00632FF4"/>
    <w:rsid w:val="006331E2"/>
    <w:rsid w:val="006332BE"/>
    <w:rsid w:val="006333B9"/>
    <w:rsid w:val="006333C5"/>
    <w:rsid w:val="006333F9"/>
    <w:rsid w:val="0063348B"/>
    <w:rsid w:val="0063355B"/>
    <w:rsid w:val="006336DC"/>
    <w:rsid w:val="00633784"/>
    <w:rsid w:val="006337A9"/>
    <w:rsid w:val="006337AA"/>
    <w:rsid w:val="00633885"/>
    <w:rsid w:val="00633A14"/>
    <w:rsid w:val="00633B49"/>
    <w:rsid w:val="00633C0D"/>
    <w:rsid w:val="00633C3F"/>
    <w:rsid w:val="00633C5B"/>
    <w:rsid w:val="00633F7A"/>
    <w:rsid w:val="00633FB9"/>
    <w:rsid w:val="00634286"/>
    <w:rsid w:val="00634A3A"/>
    <w:rsid w:val="00634D44"/>
    <w:rsid w:val="00634DE3"/>
    <w:rsid w:val="00634EE9"/>
    <w:rsid w:val="00634F2E"/>
    <w:rsid w:val="00634F4E"/>
    <w:rsid w:val="00635007"/>
    <w:rsid w:val="00635039"/>
    <w:rsid w:val="006350B5"/>
    <w:rsid w:val="0063523C"/>
    <w:rsid w:val="0063528B"/>
    <w:rsid w:val="006352CC"/>
    <w:rsid w:val="00635459"/>
    <w:rsid w:val="0063549D"/>
    <w:rsid w:val="0063554C"/>
    <w:rsid w:val="00635683"/>
    <w:rsid w:val="00635698"/>
    <w:rsid w:val="0063594D"/>
    <w:rsid w:val="006359F6"/>
    <w:rsid w:val="00635AAF"/>
    <w:rsid w:val="00635B1F"/>
    <w:rsid w:val="00635B42"/>
    <w:rsid w:val="00635CF7"/>
    <w:rsid w:val="00635FB8"/>
    <w:rsid w:val="0063606B"/>
    <w:rsid w:val="006360DD"/>
    <w:rsid w:val="006364D3"/>
    <w:rsid w:val="0063652B"/>
    <w:rsid w:val="00636572"/>
    <w:rsid w:val="0063658E"/>
    <w:rsid w:val="0063676D"/>
    <w:rsid w:val="0063697B"/>
    <w:rsid w:val="00636D93"/>
    <w:rsid w:val="00636E3F"/>
    <w:rsid w:val="0063702B"/>
    <w:rsid w:val="006376C6"/>
    <w:rsid w:val="006379B1"/>
    <w:rsid w:val="00637AC6"/>
    <w:rsid w:val="00637BE7"/>
    <w:rsid w:val="00637C1A"/>
    <w:rsid w:val="00637C5B"/>
    <w:rsid w:val="00637CBA"/>
    <w:rsid w:val="00637D97"/>
    <w:rsid w:val="00637E16"/>
    <w:rsid w:val="00637EC3"/>
    <w:rsid w:val="00637F8E"/>
    <w:rsid w:val="00637FD1"/>
    <w:rsid w:val="00640021"/>
    <w:rsid w:val="00640051"/>
    <w:rsid w:val="0064010F"/>
    <w:rsid w:val="0064061E"/>
    <w:rsid w:val="00640892"/>
    <w:rsid w:val="006408C3"/>
    <w:rsid w:val="006409E3"/>
    <w:rsid w:val="00640BBA"/>
    <w:rsid w:val="00640E65"/>
    <w:rsid w:val="00641157"/>
    <w:rsid w:val="00641428"/>
    <w:rsid w:val="006414A8"/>
    <w:rsid w:val="006415A4"/>
    <w:rsid w:val="00641607"/>
    <w:rsid w:val="0064170C"/>
    <w:rsid w:val="00641896"/>
    <w:rsid w:val="00641A58"/>
    <w:rsid w:val="00641D16"/>
    <w:rsid w:val="00641D49"/>
    <w:rsid w:val="00641D62"/>
    <w:rsid w:val="00641DBE"/>
    <w:rsid w:val="00641F9D"/>
    <w:rsid w:val="00642443"/>
    <w:rsid w:val="006424F8"/>
    <w:rsid w:val="00642589"/>
    <w:rsid w:val="0064287E"/>
    <w:rsid w:val="006428AF"/>
    <w:rsid w:val="0064290C"/>
    <w:rsid w:val="006429F0"/>
    <w:rsid w:val="00642A61"/>
    <w:rsid w:val="00642B48"/>
    <w:rsid w:val="00642CEA"/>
    <w:rsid w:val="00642E89"/>
    <w:rsid w:val="00642E96"/>
    <w:rsid w:val="00642F69"/>
    <w:rsid w:val="006431DB"/>
    <w:rsid w:val="006432C5"/>
    <w:rsid w:val="0064344A"/>
    <w:rsid w:val="00643536"/>
    <w:rsid w:val="006435A7"/>
    <w:rsid w:val="006435A9"/>
    <w:rsid w:val="006436B7"/>
    <w:rsid w:val="00643821"/>
    <w:rsid w:val="006438A5"/>
    <w:rsid w:val="00643949"/>
    <w:rsid w:val="00643A16"/>
    <w:rsid w:val="00643B6F"/>
    <w:rsid w:val="00643CAE"/>
    <w:rsid w:val="00644061"/>
    <w:rsid w:val="006440BD"/>
    <w:rsid w:val="00644108"/>
    <w:rsid w:val="0064432A"/>
    <w:rsid w:val="006448C0"/>
    <w:rsid w:val="0064499F"/>
    <w:rsid w:val="00644B1E"/>
    <w:rsid w:val="00644E4F"/>
    <w:rsid w:val="00644FF5"/>
    <w:rsid w:val="006451D3"/>
    <w:rsid w:val="006453C8"/>
    <w:rsid w:val="00645477"/>
    <w:rsid w:val="006454BB"/>
    <w:rsid w:val="00645637"/>
    <w:rsid w:val="00645786"/>
    <w:rsid w:val="0064580F"/>
    <w:rsid w:val="006458AC"/>
    <w:rsid w:val="006459B8"/>
    <w:rsid w:val="00645AB3"/>
    <w:rsid w:val="00645B0F"/>
    <w:rsid w:val="00645C11"/>
    <w:rsid w:val="00645C1D"/>
    <w:rsid w:val="00645F50"/>
    <w:rsid w:val="0064611F"/>
    <w:rsid w:val="0064613F"/>
    <w:rsid w:val="0064620D"/>
    <w:rsid w:val="006462A3"/>
    <w:rsid w:val="00646445"/>
    <w:rsid w:val="00646642"/>
    <w:rsid w:val="0064676B"/>
    <w:rsid w:val="00646C69"/>
    <w:rsid w:val="00646CE4"/>
    <w:rsid w:val="00646FBD"/>
    <w:rsid w:val="006470AB"/>
    <w:rsid w:val="0064719A"/>
    <w:rsid w:val="0064734B"/>
    <w:rsid w:val="0064734D"/>
    <w:rsid w:val="00647508"/>
    <w:rsid w:val="00647907"/>
    <w:rsid w:val="00647A2E"/>
    <w:rsid w:val="00647B05"/>
    <w:rsid w:val="00647C04"/>
    <w:rsid w:val="00647CDB"/>
    <w:rsid w:val="00647E83"/>
    <w:rsid w:val="00647FCF"/>
    <w:rsid w:val="00647FE8"/>
    <w:rsid w:val="006500AD"/>
    <w:rsid w:val="006500E0"/>
    <w:rsid w:val="00650144"/>
    <w:rsid w:val="006501F6"/>
    <w:rsid w:val="0065025C"/>
    <w:rsid w:val="006504FE"/>
    <w:rsid w:val="006507EF"/>
    <w:rsid w:val="006509D0"/>
    <w:rsid w:val="00650AB8"/>
    <w:rsid w:val="00650EC9"/>
    <w:rsid w:val="00651498"/>
    <w:rsid w:val="00651986"/>
    <w:rsid w:val="006519DF"/>
    <w:rsid w:val="00651A09"/>
    <w:rsid w:val="00651ACE"/>
    <w:rsid w:val="00651B38"/>
    <w:rsid w:val="00651C69"/>
    <w:rsid w:val="00651D4A"/>
    <w:rsid w:val="00651F19"/>
    <w:rsid w:val="0065226B"/>
    <w:rsid w:val="00652484"/>
    <w:rsid w:val="006526A9"/>
    <w:rsid w:val="0065283B"/>
    <w:rsid w:val="0065289F"/>
    <w:rsid w:val="006528FD"/>
    <w:rsid w:val="00652B84"/>
    <w:rsid w:val="00652C31"/>
    <w:rsid w:val="00652FC4"/>
    <w:rsid w:val="00653185"/>
    <w:rsid w:val="00653187"/>
    <w:rsid w:val="006531C1"/>
    <w:rsid w:val="0065325E"/>
    <w:rsid w:val="006532BC"/>
    <w:rsid w:val="006536C1"/>
    <w:rsid w:val="00653F72"/>
    <w:rsid w:val="0065409A"/>
    <w:rsid w:val="006544ED"/>
    <w:rsid w:val="00654503"/>
    <w:rsid w:val="006545E6"/>
    <w:rsid w:val="0065467F"/>
    <w:rsid w:val="00654974"/>
    <w:rsid w:val="006549DB"/>
    <w:rsid w:val="006549EB"/>
    <w:rsid w:val="00654A6D"/>
    <w:rsid w:val="00654B4F"/>
    <w:rsid w:val="00654CD3"/>
    <w:rsid w:val="00654E17"/>
    <w:rsid w:val="00654E31"/>
    <w:rsid w:val="00654FAE"/>
    <w:rsid w:val="006550DD"/>
    <w:rsid w:val="00655158"/>
    <w:rsid w:val="006551B1"/>
    <w:rsid w:val="00655241"/>
    <w:rsid w:val="00655489"/>
    <w:rsid w:val="00655638"/>
    <w:rsid w:val="006557CE"/>
    <w:rsid w:val="006557E6"/>
    <w:rsid w:val="00655B60"/>
    <w:rsid w:val="00655C15"/>
    <w:rsid w:val="00655DA7"/>
    <w:rsid w:val="00655F82"/>
    <w:rsid w:val="00655F8F"/>
    <w:rsid w:val="006561E6"/>
    <w:rsid w:val="00656323"/>
    <w:rsid w:val="00656787"/>
    <w:rsid w:val="006567FF"/>
    <w:rsid w:val="006568AF"/>
    <w:rsid w:val="00656943"/>
    <w:rsid w:val="0065694E"/>
    <w:rsid w:val="00656A27"/>
    <w:rsid w:val="0065707A"/>
    <w:rsid w:val="00657125"/>
    <w:rsid w:val="00657354"/>
    <w:rsid w:val="0065735E"/>
    <w:rsid w:val="00657754"/>
    <w:rsid w:val="00657764"/>
    <w:rsid w:val="00657889"/>
    <w:rsid w:val="00657B0F"/>
    <w:rsid w:val="00657E1E"/>
    <w:rsid w:val="006601C8"/>
    <w:rsid w:val="006602D8"/>
    <w:rsid w:val="0066081A"/>
    <w:rsid w:val="00660994"/>
    <w:rsid w:val="00660E29"/>
    <w:rsid w:val="00660F50"/>
    <w:rsid w:val="00660FE9"/>
    <w:rsid w:val="006610A5"/>
    <w:rsid w:val="00661294"/>
    <w:rsid w:val="0066129A"/>
    <w:rsid w:val="006616A8"/>
    <w:rsid w:val="00661704"/>
    <w:rsid w:val="0066170A"/>
    <w:rsid w:val="006617C0"/>
    <w:rsid w:val="006618AA"/>
    <w:rsid w:val="00661972"/>
    <w:rsid w:val="00661A92"/>
    <w:rsid w:val="00661AFC"/>
    <w:rsid w:val="00661B06"/>
    <w:rsid w:val="00661FE4"/>
    <w:rsid w:val="0066227F"/>
    <w:rsid w:val="0066231E"/>
    <w:rsid w:val="0066241C"/>
    <w:rsid w:val="006626F0"/>
    <w:rsid w:val="00662773"/>
    <w:rsid w:val="00662872"/>
    <w:rsid w:val="00662A21"/>
    <w:rsid w:val="00662C86"/>
    <w:rsid w:val="00662DFF"/>
    <w:rsid w:val="006630A4"/>
    <w:rsid w:val="006631B6"/>
    <w:rsid w:val="00663277"/>
    <w:rsid w:val="006633B1"/>
    <w:rsid w:val="006633F4"/>
    <w:rsid w:val="006637EE"/>
    <w:rsid w:val="0066383F"/>
    <w:rsid w:val="00663A9E"/>
    <w:rsid w:val="00663B47"/>
    <w:rsid w:val="00663C1E"/>
    <w:rsid w:val="00663C9F"/>
    <w:rsid w:val="00663CFE"/>
    <w:rsid w:val="00663F55"/>
    <w:rsid w:val="00664356"/>
    <w:rsid w:val="0066450D"/>
    <w:rsid w:val="006645C2"/>
    <w:rsid w:val="00664765"/>
    <w:rsid w:val="00664A18"/>
    <w:rsid w:val="00664B79"/>
    <w:rsid w:val="00664F81"/>
    <w:rsid w:val="00665177"/>
    <w:rsid w:val="006651FA"/>
    <w:rsid w:val="0066528B"/>
    <w:rsid w:val="00665306"/>
    <w:rsid w:val="00665624"/>
    <w:rsid w:val="006657AE"/>
    <w:rsid w:val="006658AD"/>
    <w:rsid w:val="00665909"/>
    <w:rsid w:val="00665D57"/>
    <w:rsid w:val="00665E05"/>
    <w:rsid w:val="00665FC6"/>
    <w:rsid w:val="00665FD0"/>
    <w:rsid w:val="00666176"/>
    <w:rsid w:val="00666337"/>
    <w:rsid w:val="0066638D"/>
    <w:rsid w:val="006669AB"/>
    <w:rsid w:val="00666A1F"/>
    <w:rsid w:val="00666AEF"/>
    <w:rsid w:val="00666B50"/>
    <w:rsid w:val="00666D6F"/>
    <w:rsid w:val="00666DF3"/>
    <w:rsid w:val="00666DF8"/>
    <w:rsid w:val="00666E6B"/>
    <w:rsid w:val="00666EF3"/>
    <w:rsid w:val="00667010"/>
    <w:rsid w:val="0066703E"/>
    <w:rsid w:val="00667104"/>
    <w:rsid w:val="00667305"/>
    <w:rsid w:val="00667508"/>
    <w:rsid w:val="006678C3"/>
    <w:rsid w:val="00667918"/>
    <w:rsid w:val="00667A79"/>
    <w:rsid w:val="00667A98"/>
    <w:rsid w:val="00667B00"/>
    <w:rsid w:val="00667CBF"/>
    <w:rsid w:val="00667EE2"/>
    <w:rsid w:val="0067040C"/>
    <w:rsid w:val="006704F4"/>
    <w:rsid w:val="006705A3"/>
    <w:rsid w:val="00670966"/>
    <w:rsid w:val="00670BC2"/>
    <w:rsid w:val="00670C14"/>
    <w:rsid w:val="00670CCA"/>
    <w:rsid w:val="00670DB0"/>
    <w:rsid w:val="00670DDE"/>
    <w:rsid w:val="0067120D"/>
    <w:rsid w:val="00671231"/>
    <w:rsid w:val="0067148B"/>
    <w:rsid w:val="006714D7"/>
    <w:rsid w:val="006714E0"/>
    <w:rsid w:val="006716F5"/>
    <w:rsid w:val="006717C8"/>
    <w:rsid w:val="006718A3"/>
    <w:rsid w:val="00671988"/>
    <w:rsid w:val="006719E7"/>
    <w:rsid w:val="00671DE0"/>
    <w:rsid w:val="00671EDE"/>
    <w:rsid w:val="0067203A"/>
    <w:rsid w:val="00672062"/>
    <w:rsid w:val="00672120"/>
    <w:rsid w:val="0067227D"/>
    <w:rsid w:val="00672285"/>
    <w:rsid w:val="0067228D"/>
    <w:rsid w:val="0067233A"/>
    <w:rsid w:val="0067252F"/>
    <w:rsid w:val="00672650"/>
    <w:rsid w:val="006726FB"/>
    <w:rsid w:val="006727CF"/>
    <w:rsid w:val="0067283F"/>
    <w:rsid w:val="00672C48"/>
    <w:rsid w:val="00673197"/>
    <w:rsid w:val="0067327D"/>
    <w:rsid w:val="00673352"/>
    <w:rsid w:val="006735AD"/>
    <w:rsid w:val="006737B7"/>
    <w:rsid w:val="00673843"/>
    <w:rsid w:val="0067398E"/>
    <w:rsid w:val="00673C59"/>
    <w:rsid w:val="00673D9D"/>
    <w:rsid w:val="00673E03"/>
    <w:rsid w:val="006741D7"/>
    <w:rsid w:val="006747D3"/>
    <w:rsid w:val="0067485C"/>
    <w:rsid w:val="00674883"/>
    <w:rsid w:val="006749C1"/>
    <w:rsid w:val="00674AC2"/>
    <w:rsid w:val="00674D00"/>
    <w:rsid w:val="00674FD6"/>
    <w:rsid w:val="006750E3"/>
    <w:rsid w:val="006753AA"/>
    <w:rsid w:val="006753BE"/>
    <w:rsid w:val="006756B4"/>
    <w:rsid w:val="00675745"/>
    <w:rsid w:val="006757F5"/>
    <w:rsid w:val="00675C1A"/>
    <w:rsid w:val="00675E4B"/>
    <w:rsid w:val="0067638A"/>
    <w:rsid w:val="006763DD"/>
    <w:rsid w:val="006764A6"/>
    <w:rsid w:val="006765C9"/>
    <w:rsid w:val="00676709"/>
    <w:rsid w:val="006767F5"/>
    <w:rsid w:val="00676C75"/>
    <w:rsid w:val="00676CF7"/>
    <w:rsid w:val="00676E15"/>
    <w:rsid w:val="00676EE0"/>
    <w:rsid w:val="00676FBE"/>
    <w:rsid w:val="00676FEC"/>
    <w:rsid w:val="006770D5"/>
    <w:rsid w:val="00677138"/>
    <w:rsid w:val="006772F5"/>
    <w:rsid w:val="006773CC"/>
    <w:rsid w:val="00677446"/>
    <w:rsid w:val="00677484"/>
    <w:rsid w:val="00677671"/>
    <w:rsid w:val="00677743"/>
    <w:rsid w:val="00677773"/>
    <w:rsid w:val="00677906"/>
    <w:rsid w:val="00677B0A"/>
    <w:rsid w:val="00677B5F"/>
    <w:rsid w:val="00677B80"/>
    <w:rsid w:val="00677BA4"/>
    <w:rsid w:val="00677D52"/>
    <w:rsid w:val="00677D93"/>
    <w:rsid w:val="00677F02"/>
    <w:rsid w:val="00677FB4"/>
    <w:rsid w:val="00680304"/>
    <w:rsid w:val="00680463"/>
    <w:rsid w:val="00680905"/>
    <w:rsid w:val="00680BB3"/>
    <w:rsid w:val="00680C2B"/>
    <w:rsid w:val="00680C6D"/>
    <w:rsid w:val="00680DB9"/>
    <w:rsid w:val="00681038"/>
    <w:rsid w:val="00681460"/>
    <w:rsid w:val="00681581"/>
    <w:rsid w:val="00681726"/>
    <w:rsid w:val="00681764"/>
    <w:rsid w:val="00681C5B"/>
    <w:rsid w:val="00681FCA"/>
    <w:rsid w:val="00681FED"/>
    <w:rsid w:val="006821D0"/>
    <w:rsid w:val="0068237B"/>
    <w:rsid w:val="006824CC"/>
    <w:rsid w:val="00682756"/>
    <w:rsid w:val="006827AD"/>
    <w:rsid w:val="00682882"/>
    <w:rsid w:val="00682EA3"/>
    <w:rsid w:val="0068316C"/>
    <w:rsid w:val="006832E7"/>
    <w:rsid w:val="00683346"/>
    <w:rsid w:val="00683581"/>
    <w:rsid w:val="006835D2"/>
    <w:rsid w:val="0068368C"/>
    <w:rsid w:val="0068369A"/>
    <w:rsid w:val="00683709"/>
    <w:rsid w:val="00683718"/>
    <w:rsid w:val="00683793"/>
    <w:rsid w:val="00683985"/>
    <w:rsid w:val="00683B2F"/>
    <w:rsid w:val="00683F0A"/>
    <w:rsid w:val="00683F83"/>
    <w:rsid w:val="00683FE7"/>
    <w:rsid w:val="006842A5"/>
    <w:rsid w:val="006842C6"/>
    <w:rsid w:val="0068446B"/>
    <w:rsid w:val="006846A1"/>
    <w:rsid w:val="006846A8"/>
    <w:rsid w:val="006846B3"/>
    <w:rsid w:val="006848FD"/>
    <w:rsid w:val="00684A85"/>
    <w:rsid w:val="00684AFB"/>
    <w:rsid w:val="00684B03"/>
    <w:rsid w:val="00684B7A"/>
    <w:rsid w:val="006850EC"/>
    <w:rsid w:val="00685174"/>
    <w:rsid w:val="00685191"/>
    <w:rsid w:val="00685365"/>
    <w:rsid w:val="006855E7"/>
    <w:rsid w:val="00685789"/>
    <w:rsid w:val="006857C6"/>
    <w:rsid w:val="00685AF2"/>
    <w:rsid w:val="00685B5F"/>
    <w:rsid w:val="00685C55"/>
    <w:rsid w:val="00685EF5"/>
    <w:rsid w:val="00685F3E"/>
    <w:rsid w:val="00685FDF"/>
    <w:rsid w:val="0068622B"/>
    <w:rsid w:val="006862E4"/>
    <w:rsid w:val="0068650C"/>
    <w:rsid w:val="0068680D"/>
    <w:rsid w:val="006868C6"/>
    <w:rsid w:val="00686997"/>
    <w:rsid w:val="00686A71"/>
    <w:rsid w:val="00686B42"/>
    <w:rsid w:val="00686DFF"/>
    <w:rsid w:val="00686EE5"/>
    <w:rsid w:val="006871A1"/>
    <w:rsid w:val="00687588"/>
    <w:rsid w:val="00687648"/>
    <w:rsid w:val="00687653"/>
    <w:rsid w:val="0068774F"/>
    <w:rsid w:val="006878A9"/>
    <w:rsid w:val="0068795F"/>
    <w:rsid w:val="0068798F"/>
    <w:rsid w:val="00687B88"/>
    <w:rsid w:val="00687ED3"/>
    <w:rsid w:val="00690010"/>
    <w:rsid w:val="00690AE5"/>
    <w:rsid w:val="00690B08"/>
    <w:rsid w:val="00690CAE"/>
    <w:rsid w:val="00690F83"/>
    <w:rsid w:val="00690FEE"/>
    <w:rsid w:val="0069101D"/>
    <w:rsid w:val="006910C9"/>
    <w:rsid w:val="0069123E"/>
    <w:rsid w:val="0069171F"/>
    <w:rsid w:val="006918BF"/>
    <w:rsid w:val="006918F0"/>
    <w:rsid w:val="00691913"/>
    <w:rsid w:val="00691A65"/>
    <w:rsid w:val="00691BE6"/>
    <w:rsid w:val="00691CBD"/>
    <w:rsid w:val="00691DC2"/>
    <w:rsid w:val="00691FA6"/>
    <w:rsid w:val="0069228D"/>
    <w:rsid w:val="006922CB"/>
    <w:rsid w:val="0069238A"/>
    <w:rsid w:val="006925F2"/>
    <w:rsid w:val="006928C2"/>
    <w:rsid w:val="00692CD8"/>
    <w:rsid w:val="00692F7D"/>
    <w:rsid w:val="0069313E"/>
    <w:rsid w:val="0069328C"/>
    <w:rsid w:val="00693399"/>
    <w:rsid w:val="00693603"/>
    <w:rsid w:val="00693618"/>
    <w:rsid w:val="00693657"/>
    <w:rsid w:val="006937F1"/>
    <w:rsid w:val="00693870"/>
    <w:rsid w:val="00693AE7"/>
    <w:rsid w:val="00693AEA"/>
    <w:rsid w:val="00693B57"/>
    <w:rsid w:val="00694135"/>
    <w:rsid w:val="00694193"/>
    <w:rsid w:val="006942FC"/>
    <w:rsid w:val="00694434"/>
    <w:rsid w:val="006944B2"/>
    <w:rsid w:val="0069459C"/>
    <w:rsid w:val="00694C61"/>
    <w:rsid w:val="00694C87"/>
    <w:rsid w:val="00694CF1"/>
    <w:rsid w:val="00694D59"/>
    <w:rsid w:val="006950C8"/>
    <w:rsid w:val="006951E6"/>
    <w:rsid w:val="00695287"/>
    <w:rsid w:val="00695810"/>
    <w:rsid w:val="006958A1"/>
    <w:rsid w:val="006958BF"/>
    <w:rsid w:val="0069591E"/>
    <w:rsid w:val="006959AA"/>
    <w:rsid w:val="00695A0B"/>
    <w:rsid w:val="00695A3A"/>
    <w:rsid w:val="00695D0B"/>
    <w:rsid w:val="00695D17"/>
    <w:rsid w:val="00695F9A"/>
    <w:rsid w:val="006960D3"/>
    <w:rsid w:val="006960FE"/>
    <w:rsid w:val="00696583"/>
    <w:rsid w:val="00696673"/>
    <w:rsid w:val="0069667A"/>
    <w:rsid w:val="00696905"/>
    <w:rsid w:val="00696E11"/>
    <w:rsid w:val="00696E30"/>
    <w:rsid w:val="00696ED9"/>
    <w:rsid w:val="00696F95"/>
    <w:rsid w:val="0069706C"/>
    <w:rsid w:val="006971BC"/>
    <w:rsid w:val="0069728F"/>
    <w:rsid w:val="0069748B"/>
    <w:rsid w:val="006974E8"/>
    <w:rsid w:val="006974FA"/>
    <w:rsid w:val="00697502"/>
    <w:rsid w:val="00697588"/>
    <w:rsid w:val="00697915"/>
    <w:rsid w:val="00697958"/>
    <w:rsid w:val="00697A1D"/>
    <w:rsid w:val="00697A7A"/>
    <w:rsid w:val="00697C02"/>
    <w:rsid w:val="00697CD8"/>
    <w:rsid w:val="00697DC4"/>
    <w:rsid w:val="00697E87"/>
    <w:rsid w:val="00697F73"/>
    <w:rsid w:val="00697F7F"/>
    <w:rsid w:val="006A01C4"/>
    <w:rsid w:val="006A052D"/>
    <w:rsid w:val="006A074F"/>
    <w:rsid w:val="006A0860"/>
    <w:rsid w:val="006A0947"/>
    <w:rsid w:val="006A0B12"/>
    <w:rsid w:val="006A0C68"/>
    <w:rsid w:val="006A0D1B"/>
    <w:rsid w:val="006A0DD1"/>
    <w:rsid w:val="006A0F12"/>
    <w:rsid w:val="006A0F35"/>
    <w:rsid w:val="006A1041"/>
    <w:rsid w:val="006A118E"/>
    <w:rsid w:val="006A1265"/>
    <w:rsid w:val="006A138B"/>
    <w:rsid w:val="006A138C"/>
    <w:rsid w:val="006A13F1"/>
    <w:rsid w:val="006A1417"/>
    <w:rsid w:val="006A14C0"/>
    <w:rsid w:val="006A1569"/>
    <w:rsid w:val="006A15B9"/>
    <w:rsid w:val="006A15DD"/>
    <w:rsid w:val="006A1747"/>
    <w:rsid w:val="006A17D9"/>
    <w:rsid w:val="006A1900"/>
    <w:rsid w:val="006A1944"/>
    <w:rsid w:val="006A19E9"/>
    <w:rsid w:val="006A1B54"/>
    <w:rsid w:val="006A1BAB"/>
    <w:rsid w:val="006A20F6"/>
    <w:rsid w:val="006A2182"/>
    <w:rsid w:val="006A239A"/>
    <w:rsid w:val="006A23E5"/>
    <w:rsid w:val="006A2674"/>
    <w:rsid w:val="006A267F"/>
    <w:rsid w:val="006A2C82"/>
    <w:rsid w:val="006A2E6C"/>
    <w:rsid w:val="006A3397"/>
    <w:rsid w:val="006A33CD"/>
    <w:rsid w:val="006A3454"/>
    <w:rsid w:val="006A35D5"/>
    <w:rsid w:val="006A392F"/>
    <w:rsid w:val="006A39F7"/>
    <w:rsid w:val="006A3A48"/>
    <w:rsid w:val="006A3C17"/>
    <w:rsid w:val="006A3C3E"/>
    <w:rsid w:val="006A3CCC"/>
    <w:rsid w:val="006A3EFF"/>
    <w:rsid w:val="006A4137"/>
    <w:rsid w:val="006A4239"/>
    <w:rsid w:val="006A42BF"/>
    <w:rsid w:val="006A42C0"/>
    <w:rsid w:val="006A4661"/>
    <w:rsid w:val="006A46F8"/>
    <w:rsid w:val="006A4765"/>
    <w:rsid w:val="006A4780"/>
    <w:rsid w:val="006A4894"/>
    <w:rsid w:val="006A4987"/>
    <w:rsid w:val="006A4A4D"/>
    <w:rsid w:val="006A4A5D"/>
    <w:rsid w:val="006A4FA7"/>
    <w:rsid w:val="006A5016"/>
    <w:rsid w:val="006A51E5"/>
    <w:rsid w:val="006A543F"/>
    <w:rsid w:val="006A55D0"/>
    <w:rsid w:val="006A5639"/>
    <w:rsid w:val="006A574F"/>
    <w:rsid w:val="006A57B2"/>
    <w:rsid w:val="006A59DF"/>
    <w:rsid w:val="006A5ACF"/>
    <w:rsid w:val="006A5CCA"/>
    <w:rsid w:val="006A5D3A"/>
    <w:rsid w:val="006A5DB3"/>
    <w:rsid w:val="006A5E8B"/>
    <w:rsid w:val="006A6095"/>
    <w:rsid w:val="006A60A6"/>
    <w:rsid w:val="006A60EF"/>
    <w:rsid w:val="006A60F4"/>
    <w:rsid w:val="006A6437"/>
    <w:rsid w:val="006A6554"/>
    <w:rsid w:val="006A65B0"/>
    <w:rsid w:val="006A6609"/>
    <w:rsid w:val="006A67D1"/>
    <w:rsid w:val="006A6843"/>
    <w:rsid w:val="006A69C5"/>
    <w:rsid w:val="006A6AEB"/>
    <w:rsid w:val="006A6B24"/>
    <w:rsid w:val="006A6C42"/>
    <w:rsid w:val="006A6D18"/>
    <w:rsid w:val="006A6E5E"/>
    <w:rsid w:val="006A6EB1"/>
    <w:rsid w:val="006A6FB7"/>
    <w:rsid w:val="006A7B67"/>
    <w:rsid w:val="006A7E55"/>
    <w:rsid w:val="006A7ED6"/>
    <w:rsid w:val="006A7F66"/>
    <w:rsid w:val="006A7F83"/>
    <w:rsid w:val="006A7FCA"/>
    <w:rsid w:val="006A7FDF"/>
    <w:rsid w:val="006B011C"/>
    <w:rsid w:val="006B0151"/>
    <w:rsid w:val="006B0248"/>
    <w:rsid w:val="006B02C0"/>
    <w:rsid w:val="006B0480"/>
    <w:rsid w:val="006B0A06"/>
    <w:rsid w:val="006B0B46"/>
    <w:rsid w:val="006B0B67"/>
    <w:rsid w:val="006B0F2F"/>
    <w:rsid w:val="006B1177"/>
    <w:rsid w:val="006B126C"/>
    <w:rsid w:val="006B140A"/>
    <w:rsid w:val="006B142A"/>
    <w:rsid w:val="006B1527"/>
    <w:rsid w:val="006B16FF"/>
    <w:rsid w:val="006B1C58"/>
    <w:rsid w:val="006B1D7E"/>
    <w:rsid w:val="006B1DF9"/>
    <w:rsid w:val="006B1EEF"/>
    <w:rsid w:val="006B2023"/>
    <w:rsid w:val="006B210E"/>
    <w:rsid w:val="006B2355"/>
    <w:rsid w:val="006B23C1"/>
    <w:rsid w:val="006B23D3"/>
    <w:rsid w:val="006B24EC"/>
    <w:rsid w:val="006B27D1"/>
    <w:rsid w:val="006B281C"/>
    <w:rsid w:val="006B2976"/>
    <w:rsid w:val="006B2990"/>
    <w:rsid w:val="006B29A0"/>
    <w:rsid w:val="006B2CEC"/>
    <w:rsid w:val="006B2D1E"/>
    <w:rsid w:val="006B3233"/>
    <w:rsid w:val="006B3299"/>
    <w:rsid w:val="006B32AD"/>
    <w:rsid w:val="006B338D"/>
    <w:rsid w:val="006B34D0"/>
    <w:rsid w:val="006B376C"/>
    <w:rsid w:val="006B378A"/>
    <w:rsid w:val="006B383B"/>
    <w:rsid w:val="006B3CA9"/>
    <w:rsid w:val="006B3CE8"/>
    <w:rsid w:val="006B3DFF"/>
    <w:rsid w:val="006B43AC"/>
    <w:rsid w:val="006B43EE"/>
    <w:rsid w:val="006B4439"/>
    <w:rsid w:val="006B4767"/>
    <w:rsid w:val="006B478A"/>
    <w:rsid w:val="006B4944"/>
    <w:rsid w:val="006B4A82"/>
    <w:rsid w:val="006B4B3C"/>
    <w:rsid w:val="006B4BEB"/>
    <w:rsid w:val="006B4C93"/>
    <w:rsid w:val="006B4CBF"/>
    <w:rsid w:val="006B4CD4"/>
    <w:rsid w:val="006B4E39"/>
    <w:rsid w:val="006B506E"/>
    <w:rsid w:val="006B50E5"/>
    <w:rsid w:val="006B513D"/>
    <w:rsid w:val="006B51B9"/>
    <w:rsid w:val="006B5321"/>
    <w:rsid w:val="006B53A7"/>
    <w:rsid w:val="006B54F5"/>
    <w:rsid w:val="006B5708"/>
    <w:rsid w:val="006B5C50"/>
    <w:rsid w:val="006B5CD8"/>
    <w:rsid w:val="006B5CEF"/>
    <w:rsid w:val="006B5D29"/>
    <w:rsid w:val="006B5D77"/>
    <w:rsid w:val="006B5F90"/>
    <w:rsid w:val="006B6044"/>
    <w:rsid w:val="006B6248"/>
    <w:rsid w:val="006B6580"/>
    <w:rsid w:val="006B66FE"/>
    <w:rsid w:val="006B68D7"/>
    <w:rsid w:val="006B6A88"/>
    <w:rsid w:val="006B6AAA"/>
    <w:rsid w:val="006B6BB7"/>
    <w:rsid w:val="006B6CD5"/>
    <w:rsid w:val="006B6DE4"/>
    <w:rsid w:val="006B6E37"/>
    <w:rsid w:val="006B6E9D"/>
    <w:rsid w:val="006B6F3C"/>
    <w:rsid w:val="006B7555"/>
    <w:rsid w:val="006B75F1"/>
    <w:rsid w:val="006B77C7"/>
    <w:rsid w:val="006B7899"/>
    <w:rsid w:val="006B789A"/>
    <w:rsid w:val="006B792F"/>
    <w:rsid w:val="006B7D63"/>
    <w:rsid w:val="006B7F93"/>
    <w:rsid w:val="006B7FCF"/>
    <w:rsid w:val="006C014A"/>
    <w:rsid w:val="006C01E5"/>
    <w:rsid w:val="006C0548"/>
    <w:rsid w:val="006C0668"/>
    <w:rsid w:val="006C08B6"/>
    <w:rsid w:val="006C0974"/>
    <w:rsid w:val="006C0B8B"/>
    <w:rsid w:val="006C0B92"/>
    <w:rsid w:val="006C0BC8"/>
    <w:rsid w:val="006C0BEF"/>
    <w:rsid w:val="006C0C9D"/>
    <w:rsid w:val="006C0ECF"/>
    <w:rsid w:val="006C16A2"/>
    <w:rsid w:val="006C1967"/>
    <w:rsid w:val="006C1BB0"/>
    <w:rsid w:val="006C1BC9"/>
    <w:rsid w:val="006C1CC9"/>
    <w:rsid w:val="006C1D33"/>
    <w:rsid w:val="006C1E0E"/>
    <w:rsid w:val="006C2383"/>
    <w:rsid w:val="006C2522"/>
    <w:rsid w:val="006C2662"/>
    <w:rsid w:val="006C26A6"/>
    <w:rsid w:val="006C26FA"/>
    <w:rsid w:val="006C2777"/>
    <w:rsid w:val="006C281F"/>
    <w:rsid w:val="006C28C0"/>
    <w:rsid w:val="006C28C8"/>
    <w:rsid w:val="006C2A2B"/>
    <w:rsid w:val="006C2A49"/>
    <w:rsid w:val="006C2A61"/>
    <w:rsid w:val="006C2ABB"/>
    <w:rsid w:val="006C2B68"/>
    <w:rsid w:val="006C2C04"/>
    <w:rsid w:val="006C2F0E"/>
    <w:rsid w:val="006C346A"/>
    <w:rsid w:val="006C37BF"/>
    <w:rsid w:val="006C380F"/>
    <w:rsid w:val="006C39EA"/>
    <w:rsid w:val="006C401A"/>
    <w:rsid w:val="006C40D1"/>
    <w:rsid w:val="006C418B"/>
    <w:rsid w:val="006C41E4"/>
    <w:rsid w:val="006C420F"/>
    <w:rsid w:val="006C4269"/>
    <w:rsid w:val="006C4282"/>
    <w:rsid w:val="006C42EA"/>
    <w:rsid w:val="006C430D"/>
    <w:rsid w:val="006C4567"/>
    <w:rsid w:val="006C4677"/>
    <w:rsid w:val="006C4831"/>
    <w:rsid w:val="006C4906"/>
    <w:rsid w:val="006C4907"/>
    <w:rsid w:val="006C4917"/>
    <w:rsid w:val="006C4E84"/>
    <w:rsid w:val="006C504B"/>
    <w:rsid w:val="006C51BB"/>
    <w:rsid w:val="006C523E"/>
    <w:rsid w:val="006C5307"/>
    <w:rsid w:val="006C5314"/>
    <w:rsid w:val="006C5392"/>
    <w:rsid w:val="006C5394"/>
    <w:rsid w:val="006C53F1"/>
    <w:rsid w:val="006C55BC"/>
    <w:rsid w:val="006C5651"/>
    <w:rsid w:val="006C574B"/>
    <w:rsid w:val="006C5798"/>
    <w:rsid w:val="006C586B"/>
    <w:rsid w:val="006C5B73"/>
    <w:rsid w:val="006C5BEA"/>
    <w:rsid w:val="006C5CC3"/>
    <w:rsid w:val="006C5ECF"/>
    <w:rsid w:val="006C5F5F"/>
    <w:rsid w:val="006C6091"/>
    <w:rsid w:val="006C623E"/>
    <w:rsid w:val="006C6544"/>
    <w:rsid w:val="006C66D3"/>
    <w:rsid w:val="006C678B"/>
    <w:rsid w:val="006C683D"/>
    <w:rsid w:val="006C686E"/>
    <w:rsid w:val="006C6AA6"/>
    <w:rsid w:val="006C6D7E"/>
    <w:rsid w:val="006C6D94"/>
    <w:rsid w:val="006C7115"/>
    <w:rsid w:val="006C7172"/>
    <w:rsid w:val="006C72CB"/>
    <w:rsid w:val="006C76CD"/>
    <w:rsid w:val="006C792F"/>
    <w:rsid w:val="006C7B3F"/>
    <w:rsid w:val="006C7D8F"/>
    <w:rsid w:val="006C7F9E"/>
    <w:rsid w:val="006D0142"/>
    <w:rsid w:val="006D015F"/>
    <w:rsid w:val="006D0281"/>
    <w:rsid w:val="006D0922"/>
    <w:rsid w:val="006D09F0"/>
    <w:rsid w:val="006D0A1A"/>
    <w:rsid w:val="006D0E22"/>
    <w:rsid w:val="006D0E70"/>
    <w:rsid w:val="006D0E76"/>
    <w:rsid w:val="006D0FD9"/>
    <w:rsid w:val="006D1234"/>
    <w:rsid w:val="006D132B"/>
    <w:rsid w:val="006D14F4"/>
    <w:rsid w:val="006D1920"/>
    <w:rsid w:val="006D1DA3"/>
    <w:rsid w:val="006D2483"/>
    <w:rsid w:val="006D26FE"/>
    <w:rsid w:val="006D2738"/>
    <w:rsid w:val="006D2ADA"/>
    <w:rsid w:val="006D2C11"/>
    <w:rsid w:val="006D2E77"/>
    <w:rsid w:val="006D2F91"/>
    <w:rsid w:val="006D3174"/>
    <w:rsid w:val="006D3271"/>
    <w:rsid w:val="006D33C5"/>
    <w:rsid w:val="006D35A6"/>
    <w:rsid w:val="006D362E"/>
    <w:rsid w:val="006D3725"/>
    <w:rsid w:val="006D3B90"/>
    <w:rsid w:val="006D3C0C"/>
    <w:rsid w:val="006D3CA1"/>
    <w:rsid w:val="006D3CF2"/>
    <w:rsid w:val="006D3FDC"/>
    <w:rsid w:val="006D4268"/>
    <w:rsid w:val="006D42CE"/>
    <w:rsid w:val="006D43DF"/>
    <w:rsid w:val="006D4670"/>
    <w:rsid w:val="006D4700"/>
    <w:rsid w:val="006D470D"/>
    <w:rsid w:val="006D4898"/>
    <w:rsid w:val="006D4929"/>
    <w:rsid w:val="006D4AD3"/>
    <w:rsid w:val="006D4C11"/>
    <w:rsid w:val="006D4C1E"/>
    <w:rsid w:val="006D4E1F"/>
    <w:rsid w:val="006D5182"/>
    <w:rsid w:val="006D5508"/>
    <w:rsid w:val="006D56FF"/>
    <w:rsid w:val="006D5845"/>
    <w:rsid w:val="006D5A61"/>
    <w:rsid w:val="006D5B6E"/>
    <w:rsid w:val="006D5BF0"/>
    <w:rsid w:val="006D5D03"/>
    <w:rsid w:val="006D5D70"/>
    <w:rsid w:val="006D5F43"/>
    <w:rsid w:val="006D608B"/>
    <w:rsid w:val="006D6179"/>
    <w:rsid w:val="006D6343"/>
    <w:rsid w:val="006D6558"/>
    <w:rsid w:val="006D6654"/>
    <w:rsid w:val="006D6706"/>
    <w:rsid w:val="006D6749"/>
    <w:rsid w:val="006D6759"/>
    <w:rsid w:val="006D6831"/>
    <w:rsid w:val="006D6EEA"/>
    <w:rsid w:val="006D714F"/>
    <w:rsid w:val="006D719E"/>
    <w:rsid w:val="006D719F"/>
    <w:rsid w:val="006D749F"/>
    <w:rsid w:val="006D74B5"/>
    <w:rsid w:val="006D7555"/>
    <w:rsid w:val="006D78B7"/>
    <w:rsid w:val="006D790B"/>
    <w:rsid w:val="006D7A11"/>
    <w:rsid w:val="006D7AE1"/>
    <w:rsid w:val="006D7B05"/>
    <w:rsid w:val="006D7CBB"/>
    <w:rsid w:val="006D7D25"/>
    <w:rsid w:val="006E0178"/>
    <w:rsid w:val="006E03E6"/>
    <w:rsid w:val="006E044C"/>
    <w:rsid w:val="006E0760"/>
    <w:rsid w:val="006E082C"/>
    <w:rsid w:val="006E08C3"/>
    <w:rsid w:val="006E0A31"/>
    <w:rsid w:val="006E0AE8"/>
    <w:rsid w:val="006E0B7E"/>
    <w:rsid w:val="006E0C0B"/>
    <w:rsid w:val="006E0D70"/>
    <w:rsid w:val="006E0F6A"/>
    <w:rsid w:val="006E0FC3"/>
    <w:rsid w:val="006E0FED"/>
    <w:rsid w:val="006E1175"/>
    <w:rsid w:val="006E1ADC"/>
    <w:rsid w:val="006E20AE"/>
    <w:rsid w:val="006E228B"/>
    <w:rsid w:val="006E239F"/>
    <w:rsid w:val="006E24F4"/>
    <w:rsid w:val="006E263D"/>
    <w:rsid w:val="006E266E"/>
    <w:rsid w:val="006E28AC"/>
    <w:rsid w:val="006E2A7D"/>
    <w:rsid w:val="006E2E03"/>
    <w:rsid w:val="006E2E69"/>
    <w:rsid w:val="006E2FC3"/>
    <w:rsid w:val="006E32D8"/>
    <w:rsid w:val="006E3337"/>
    <w:rsid w:val="006E3375"/>
    <w:rsid w:val="006E358D"/>
    <w:rsid w:val="006E3729"/>
    <w:rsid w:val="006E3D47"/>
    <w:rsid w:val="006E3E1D"/>
    <w:rsid w:val="006E4257"/>
    <w:rsid w:val="006E43DC"/>
    <w:rsid w:val="006E46EC"/>
    <w:rsid w:val="006E4711"/>
    <w:rsid w:val="006E4A0B"/>
    <w:rsid w:val="006E4E35"/>
    <w:rsid w:val="006E4F91"/>
    <w:rsid w:val="006E5019"/>
    <w:rsid w:val="006E5049"/>
    <w:rsid w:val="006E509A"/>
    <w:rsid w:val="006E5143"/>
    <w:rsid w:val="006E5173"/>
    <w:rsid w:val="006E5383"/>
    <w:rsid w:val="006E53FC"/>
    <w:rsid w:val="006E58A7"/>
    <w:rsid w:val="006E599B"/>
    <w:rsid w:val="006E59C7"/>
    <w:rsid w:val="006E5B16"/>
    <w:rsid w:val="006E5B60"/>
    <w:rsid w:val="006E5C5D"/>
    <w:rsid w:val="006E5CF8"/>
    <w:rsid w:val="006E5D0C"/>
    <w:rsid w:val="006E6069"/>
    <w:rsid w:val="006E62CC"/>
    <w:rsid w:val="006E6344"/>
    <w:rsid w:val="006E635C"/>
    <w:rsid w:val="006E6401"/>
    <w:rsid w:val="006E66B4"/>
    <w:rsid w:val="006E68C9"/>
    <w:rsid w:val="006E69C3"/>
    <w:rsid w:val="006E6A04"/>
    <w:rsid w:val="006E6AC5"/>
    <w:rsid w:val="006E6DCF"/>
    <w:rsid w:val="006E6DDD"/>
    <w:rsid w:val="006E6F7C"/>
    <w:rsid w:val="006E72E3"/>
    <w:rsid w:val="006E7302"/>
    <w:rsid w:val="006E7382"/>
    <w:rsid w:val="006E73E9"/>
    <w:rsid w:val="006E741D"/>
    <w:rsid w:val="006E75D6"/>
    <w:rsid w:val="006E7713"/>
    <w:rsid w:val="006E777D"/>
    <w:rsid w:val="006E7799"/>
    <w:rsid w:val="006E78BA"/>
    <w:rsid w:val="006E79BB"/>
    <w:rsid w:val="006E7C16"/>
    <w:rsid w:val="006E7C5D"/>
    <w:rsid w:val="006E7D0D"/>
    <w:rsid w:val="006F005D"/>
    <w:rsid w:val="006F0257"/>
    <w:rsid w:val="006F0768"/>
    <w:rsid w:val="006F07A5"/>
    <w:rsid w:val="006F09A1"/>
    <w:rsid w:val="006F09A9"/>
    <w:rsid w:val="006F0D9B"/>
    <w:rsid w:val="006F1338"/>
    <w:rsid w:val="006F13C3"/>
    <w:rsid w:val="006F161E"/>
    <w:rsid w:val="006F16DA"/>
    <w:rsid w:val="006F171A"/>
    <w:rsid w:val="006F197C"/>
    <w:rsid w:val="006F1B75"/>
    <w:rsid w:val="006F1BB3"/>
    <w:rsid w:val="006F1F49"/>
    <w:rsid w:val="006F2005"/>
    <w:rsid w:val="006F204F"/>
    <w:rsid w:val="006F2083"/>
    <w:rsid w:val="006F213F"/>
    <w:rsid w:val="006F21CC"/>
    <w:rsid w:val="006F235C"/>
    <w:rsid w:val="006F27AF"/>
    <w:rsid w:val="006F27D0"/>
    <w:rsid w:val="006F29DD"/>
    <w:rsid w:val="006F2B4A"/>
    <w:rsid w:val="006F34CD"/>
    <w:rsid w:val="006F350A"/>
    <w:rsid w:val="006F35F8"/>
    <w:rsid w:val="006F36C6"/>
    <w:rsid w:val="006F380E"/>
    <w:rsid w:val="006F382B"/>
    <w:rsid w:val="006F3DED"/>
    <w:rsid w:val="006F3F13"/>
    <w:rsid w:val="006F4350"/>
    <w:rsid w:val="006F446C"/>
    <w:rsid w:val="006F4A79"/>
    <w:rsid w:val="006F4C07"/>
    <w:rsid w:val="006F4DA4"/>
    <w:rsid w:val="006F4F06"/>
    <w:rsid w:val="006F4F55"/>
    <w:rsid w:val="006F51E5"/>
    <w:rsid w:val="006F5448"/>
    <w:rsid w:val="006F5A00"/>
    <w:rsid w:val="006F5AF5"/>
    <w:rsid w:val="006F5B5C"/>
    <w:rsid w:val="006F5B88"/>
    <w:rsid w:val="006F5C40"/>
    <w:rsid w:val="006F5D1D"/>
    <w:rsid w:val="006F5D26"/>
    <w:rsid w:val="006F60CF"/>
    <w:rsid w:val="006F60E6"/>
    <w:rsid w:val="006F6295"/>
    <w:rsid w:val="006F662A"/>
    <w:rsid w:val="006F663D"/>
    <w:rsid w:val="006F6850"/>
    <w:rsid w:val="006F6891"/>
    <w:rsid w:val="006F68DA"/>
    <w:rsid w:val="006F6A68"/>
    <w:rsid w:val="006F6B92"/>
    <w:rsid w:val="006F6CAB"/>
    <w:rsid w:val="006F6EF2"/>
    <w:rsid w:val="006F7010"/>
    <w:rsid w:val="006F7287"/>
    <w:rsid w:val="006F7418"/>
    <w:rsid w:val="006F7453"/>
    <w:rsid w:val="006F79A4"/>
    <w:rsid w:val="006F79D4"/>
    <w:rsid w:val="006F7B45"/>
    <w:rsid w:val="006F7F9A"/>
    <w:rsid w:val="006F7FD8"/>
    <w:rsid w:val="006F7FD9"/>
    <w:rsid w:val="007000F0"/>
    <w:rsid w:val="00700111"/>
    <w:rsid w:val="00700121"/>
    <w:rsid w:val="00700674"/>
    <w:rsid w:val="00700677"/>
    <w:rsid w:val="00700691"/>
    <w:rsid w:val="007007D7"/>
    <w:rsid w:val="00700880"/>
    <w:rsid w:val="0070091A"/>
    <w:rsid w:val="00700A4D"/>
    <w:rsid w:val="00700ABC"/>
    <w:rsid w:val="00700FE7"/>
    <w:rsid w:val="007011EF"/>
    <w:rsid w:val="00701231"/>
    <w:rsid w:val="0070132F"/>
    <w:rsid w:val="00701443"/>
    <w:rsid w:val="0070152A"/>
    <w:rsid w:val="007015D3"/>
    <w:rsid w:val="00701953"/>
    <w:rsid w:val="007019AA"/>
    <w:rsid w:val="00701AED"/>
    <w:rsid w:val="00701C00"/>
    <w:rsid w:val="00701D18"/>
    <w:rsid w:val="00701F1D"/>
    <w:rsid w:val="00702013"/>
    <w:rsid w:val="0070206E"/>
    <w:rsid w:val="007020E2"/>
    <w:rsid w:val="0070232E"/>
    <w:rsid w:val="0070252B"/>
    <w:rsid w:val="0070271F"/>
    <w:rsid w:val="0070276E"/>
    <w:rsid w:val="007028AF"/>
    <w:rsid w:val="00702AD8"/>
    <w:rsid w:val="00702BD2"/>
    <w:rsid w:val="00702F2D"/>
    <w:rsid w:val="00702F94"/>
    <w:rsid w:val="007030F9"/>
    <w:rsid w:val="00703304"/>
    <w:rsid w:val="00703418"/>
    <w:rsid w:val="00703702"/>
    <w:rsid w:val="0070396A"/>
    <w:rsid w:val="00703A54"/>
    <w:rsid w:val="00703B0F"/>
    <w:rsid w:val="00703F9F"/>
    <w:rsid w:val="00704005"/>
    <w:rsid w:val="0070414E"/>
    <w:rsid w:val="00704205"/>
    <w:rsid w:val="00704575"/>
    <w:rsid w:val="0070459F"/>
    <w:rsid w:val="007046AA"/>
    <w:rsid w:val="00704900"/>
    <w:rsid w:val="00704D8B"/>
    <w:rsid w:val="00704E08"/>
    <w:rsid w:val="00704EDE"/>
    <w:rsid w:val="00704F56"/>
    <w:rsid w:val="00704F97"/>
    <w:rsid w:val="00705818"/>
    <w:rsid w:val="007058FF"/>
    <w:rsid w:val="00705C5D"/>
    <w:rsid w:val="00705E70"/>
    <w:rsid w:val="00705F0B"/>
    <w:rsid w:val="00706072"/>
    <w:rsid w:val="0070615B"/>
    <w:rsid w:val="007061AA"/>
    <w:rsid w:val="007062B0"/>
    <w:rsid w:val="007063D3"/>
    <w:rsid w:val="007066CB"/>
    <w:rsid w:val="007066DA"/>
    <w:rsid w:val="00706775"/>
    <w:rsid w:val="007067A7"/>
    <w:rsid w:val="007068AE"/>
    <w:rsid w:val="007069A2"/>
    <w:rsid w:val="007069D9"/>
    <w:rsid w:val="00706A54"/>
    <w:rsid w:val="00706C17"/>
    <w:rsid w:val="00706D42"/>
    <w:rsid w:val="00706EA0"/>
    <w:rsid w:val="00707092"/>
    <w:rsid w:val="007070E5"/>
    <w:rsid w:val="00707144"/>
    <w:rsid w:val="00707435"/>
    <w:rsid w:val="00707657"/>
    <w:rsid w:val="007079E9"/>
    <w:rsid w:val="00707B81"/>
    <w:rsid w:val="00707BF2"/>
    <w:rsid w:val="00707C6C"/>
    <w:rsid w:val="00707CB5"/>
    <w:rsid w:val="00707D97"/>
    <w:rsid w:val="00707E4A"/>
    <w:rsid w:val="00707E5A"/>
    <w:rsid w:val="00707FB1"/>
    <w:rsid w:val="0071016C"/>
    <w:rsid w:val="0071020D"/>
    <w:rsid w:val="0071024D"/>
    <w:rsid w:val="00710485"/>
    <w:rsid w:val="007104C4"/>
    <w:rsid w:val="00710559"/>
    <w:rsid w:val="007106B0"/>
    <w:rsid w:val="007109D8"/>
    <w:rsid w:val="00710B0A"/>
    <w:rsid w:val="00710B5E"/>
    <w:rsid w:val="00710BC2"/>
    <w:rsid w:val="00710C97"/>
    <w:rsid w:val="00710CB9"/>
    <w:rsid w:val="00710E6F"/>
    <w:rsid w:val="00710E79"/>
    <w:rsid w:val="007110C5"/>
    <w:rsid w:val="0071152E"/>
    <w:rsid w:val="00711534"/>
    <w:rsid w:val="007115E8"/>
    <w:rsid w:val="007117FA"/>
    <w:rsid w:val="00711A65"/>
    <w:rsid w:val="00711C52"/>
    <w:rsid w:val="007123A7"/>
    <w:rsid w:val="007126A1"/>
    <w:rsid w:val="00712770"/>
    <w:rsid w:val="007128EB"/>
    <w:rsid w:val="007129A4"/>
    <w:rsid w:val="007129A6"/>
    <w:rsid w:val="007129F6"/>
    <w:rsid w:val="00712C73"/>
    <w:rsid w:val="00712F63"/>
    <w:rsid w:val="00712F8C"/>
    <w:rsid w:val="00712FA6"/>
    <w:rsid w:val="00712FD3"/>
    <w:rsid w:val="007132AA"/>
    <w:rsid w:val="007132FF"/>
    <w:rsid w:val="0071332D"/>
    <w:rsid w:val="0071362E"/>
    <w:rsid w:val="0071377A"/>
    <w:rsid w:val="007139FA"/>
    <w:rsid w:val="00713BFE"/>
    <w:rsid w:val="00713C4C"/>
    <w:rsid w:val="00714072"/>
    <w:rsid w:val="00714316"/>
    <w:rsid w:val="007146D5"/>
    <w:rsid w:val="00714703"/>
    <w:rsid w:val="00714899"/>
    <w:rsid w:val="00714E0D"/>
    <w:rsid w:val="00714FB7"/>
    <w:rsid w:val="00714FC7"/>
    <w:rsid w:val="00715033"/>
    <w:rsid w:val="007151CF"/>
    <w:rsid w:val="007153E7"/>
    <w:rsid w:val="0071553C"/>
    <w:rsid w:val="0071564D"/>
    <w:rsid w:val="007159E1"/>
    <w:rsid w:val="00715BEB"/>
    <w:rsid w:val="00715CCB"/>
    <w:rsid w:val="00715D8A"/>
    <w:rsid w:val="00715DB8"/>
    <w:rsid w:val="00715E08"/>
    <w:rsid w:val="00715F11"/>
    <w:rsid w:val="0071600F"/>
    <w:rsid w:val="0071605C"/>
    <w:rsid w:val="007160EA"/>
    <w:rsid w:val="007163A1"/>
    <w:rsid w:val="007163CD"/>
    <w:rsid w:val="0071642F"/>
    <w:rsid w:val="00716A05"/>
    <w:rsid w:val="00716C8A"/>
    <w:rsid w:val="00716D9E"/>
    <w:rsid w:val="00716E0E"/>
    <w:rsid w:val="00716F99"/>
    <w:rsid w:val="007172D4"/>
    <w:rsid w:val="00717A2A"/>
    <w:rsid w:val="00717A79"/>
    <w:rsid w:val="00717AC6"/>
    <w:rsid w:val="00717ACD"/>
    <w:rsid w:val="00717C8E"/>
    <w:rsid w:val="00717C9F"/>
    <w:rsid w:val="00717CDC"/>
    <w:rsid w:val="00717CF4"/>
    <w:rsid w:val="00717E34"/>
    <w:rsid w:val="00720131"/>
    <w:rsid w:val="007201F3"/>
    <w:rsid w:val="00720421"/>
    <w:rsid w:val="00720447"/>
    <w:rsid w:val="00720488"/>
    <w:rsid w:val="007204C1"/>
    <w:rsid w:val="0072083A"/>
    <w:rsid w:val="007209C3"/>
    <w:rsid w:val="00720CE5"/>
    <w:rsid w:val="00720DCA"/>
    <w:rsid w:val="00720E59"/>
    <w:rsid w:val="00720EB7"/>
    <w:rsid w:val="00721074"/>
    <w:rsid w:val="0072114E"/>
    <w:rsid w:val="007211A3"/>
    <w:rsid w:val="007211CD"/>
    <w:rsid w:val="007212FA"/>
    <w:rsid w:val="007214A6"/>
    <w:rsid w:val="00721536"/>
    <w:rsid w:val="00721551"/>
    <w:rsid w:val="00721615"/>
    <w:rsid w:val="0072179B"/>
    <w:rsid w:val="007217EC"/>
    <w:rsid w:val="00721903"/>
    <w:rsid w:val="0072193E"/>
    <w:rsid w:val="00721BD3"/>
    <w:rsid w:val="00721BE4"/>
    <w:rsid w:val="00721CE5"/>
    <w:rsid w:val="00721D50"/>
    <w:rsid w:val="007220F7"/>
    <w:rsid w:val="00722107"/>
    <w:rsid w:val="00722429"/>
    <w:rsid w:val="00722446"/>
    <w:rsid w:val="007227BC"/>
    <w:rsid w:val="0072281B"/>
    <w:rsid w:val="007229E3"/>
    <w:rsid w:val="00722B4C"/>
    <w:rsid w:val="00723087"/>
    <w:rsid w:val="007230D6"/>
    <w:rsid w:val="0072311C"/>
    <w:rsid w:val="0072317D"/>
    <w:rsid w:val="00723399"/>
    <w:rsid w:val="007234E9"/>
    <w:rsid w:val="00723616"/>
    <w:rsid w:val="0072378B"/>
    <w:rsid w:val="00723996"/>
    <w:rsid w:val="00723C79"/>
    <w:rsid w:val="00723E1E"/>
    <w:rsid w:val="00724143"/>
    <w:rsid w:val="007241CF"/>
    <w:rsid w:val="0072424D"/>
    <w:rsid w:val="00724433"/>
    <w:rsid w:val="00724556"/>
    <w:rsid w:val="00724655"/>
    <w:rsid w:val="0072486B"/>
    <w:rsid w:val="00724BA0"/>
    <w:rsid w:val="00724C54"/>
    <w:rsid w:val="00724C59"/>
    <w:rsid w:val="00724DB2"/>
    <w:rsid w:val="00724E7C"/>
    <w:rsid w:val="00724E8D"/>
    <w:rsid w:val="00724ECA"/>
    <w:rsid w:val="00724FA8"/>
    <w:rsid w:val="0072502F"/>
    <w:rsid w:val="00725052"/>
    <w:rsid w:val="00725132"/>
    <w:rsid w:val="007251B6"/>
    <w:rsid w:val="00725369"/>
    <w:rsid w:val="0072538C"/>
    <w:rsid w:val="00725B31"/>
    <w:rsid w:val="00725B65"/>
    <w:rsid w:val="00725BEF"/>
    <w:rsid w:val="00725C45"/>
    <w:rsid w:val="00725C47"/>
    <w:rsid w:val="00725D67"/>
    <w:rsid w:val="00726010"/>
    <w:rsid w:val="0072604A"/>
    <w:rsid w:val="00726381"/>
    <w:rsid w:val="007266C0"/>
    <w:rsid w:val="0072685C"/>
    <w:rsid w:val="00726F27"/>
    <w:rsid w:val="00726F7B"/>
    <w:rsid w:val="0072700E"/>
    <w:rsid w:val="0072710C"/>
    <w:rsid w:val="00727306"/>
    <w:rsid w:val="007274AF"/>
    <w:rsid w:val="007275EC"/>
    <w:rsid w:val="0072761D"/>
    <w:rsid w:val="00727843"/>
    <w:rsid w:val="007278D9"/>
    <w:rsid w:val="007278EB"/>
    <w:rsid w:val="00727995"/>
    <w:rsid w:val="00727B7C"/>
    <w:rsid w:val="00727B8A"/>
    <w:rsid w:val="00727C3A"/>
    <w:rsid w:val="00727F1E"/>
    <w:rsid w:val="00730140"/>
    <w:rsid w:val="00730185"/>
    <w:rsid w:val="00730267"/>
    <w:rsid w:val="0073057F"/>
    <w:rsid w:val="0073093E"/>
    <w:rsid w:val="00730B07"/>
    <w:rsid w:val="00730B8E"/>
    <w:rsid w:val="00730D54"/>
    <w:rsid w:val="00730D7F"/>
    <w:rsid w:val="00730DD3"/>
    <w:rsid w:val="00730E50"/>
    <w:rsid w:val="0073102A"/>
    <w:rsid w:val="0073108D"/>
    <w:rsid w:val="007312B3"/>
    <w:rsid w:val="00731710"/>
    <w:rsid w:val="00731885"/>
    <w:rsid w:val="007318DA"/>
    <w:rsid w:val="0073190B"/>
    <w:rsid w:val="00731BFB"/>
    <w:rsid w:val="00732025"/>
    <w:rsid w:val="0073203D"/>
    <w:rsid w:val="007323E0"/>
    <w:rsid w:val="00732733"/>
    <w:rsid w:val="007328EB"/>
    <w:rsid w:val="00732961"/>
    <w:rsid w:val="0073297A"/>
    <w:rsid w:val="00732C68"/>
    <w:rsid w:val="00732F57"/>
    <w:rsid w:val="00733042"/>
    <w:rsid w:val="00733107"/>
    <w:rsid w:val="007331EC"/>
    <w:rsid w:val="007333D2"/>
    <w:rsid w:val="007335BB"/>
    <w:rsid w:val="007336FF"/>
    <w:rsid w:val="0073395F"/>
    <w:rsid w:val="00733AA3"/>
    <w:rsid w:val="00733F66"/>
    <w:rsid w:val="0073412B"/>
    <w:rsid w:val="007342D9"/>
    <w:rsid w:val="00734391"/>
    <w:rsid w:val="007343B7"/>
    <w:rsid w:val="007344E6"/>
    <w:rsid w:val="00734751"/>
    <w:rsid w:val="00734A59"/>
    <w:rsid w:val="00734EC9"/>
    <w:rsid w:val="00735041"/>
    <w:rsid w:val="007351C2"/>
    <w:rsid w:val="007351D8"/>
    <w:rsid w:val="0073528D"/>
    <w:rsid w:val="007352F6"/>
    <w:rsid w:val="00735552"/>
    <w:rsid w:val="0073557B"/>
    <w:rsid w:val="00735648"/>
    <w:rsid w:val="00735846"/>
    <w:rsid w:val="007358A8"/>
    <w:rsid w:val="007359E7"/>
    <w:rsid w:val="00735AF3"/>
    <w:rsid w:val="00735AF8"/>
    <w:rsid w:val="00735C00"/>
    <w:rsid w:val="00735EE6"/>
    <w:rsid w:val="007361A4"/>
    <w:rsid w:val="00736368"/>
    <w:rsid w:val="007364FA"/>
    <w:rsid w:val="00736AD2"/>
    <w:rsid w:val="00736ADF"/>
    <w:rsid w:val="00736DE7"/>
    <w:rsid w:val="00737294"/>
    <w:rsid w:val="00737537"/>
    <w:rsid w:val="007378EF"/>
    <w:rsid w:val="007379AE"/>
    <w:rsid w:val="00737A32"/>
    <w:rsid w:val="00737A73"/>
    <w:rsid w:val="00737B3F"/>
    <w:rsid w:val="00737B64"/>
    <w:rsid w:val="00737C80"/>
    <w:rsid w:val="00737E86"/>
    <w:rsid w:val="00737F72"/>
    <w:rsid w:val="0074006E"/>
    <w:rsid w:val="0074029C"/>
    <w:rsid w:val="00740303"/>
    <w:rsid w:val="00740462"/>
    <w:rsid w:val="007404D1"/>
    <w:rsid w:val="00740589"/>
    <w:rsid w:val="00740656"/>
    <w:rsid w:val="00740728"/>
    <w:rsid w:val="007407E0"/>
    <w:rsid w:val="0074084D"/>
    <w:rsid w:val="007408B9"/>
    <w:rsid w:val="007408E8"/>
    <w:rsid w:val="007408F2"/>
    <w:rsid w:val="00740A57"/>
    <w:rsid w:val="00740B7E"/>
    <w:rsid w:val="00740BE4"/>
    <w:rsid w:val="00740E4A"/>
    <w:rsid w:val="007414C8"/>
    <w:rsid w:val="007414F6"/>
    <w:rsid w:val="00741588"/>
    <w:rsid w:val="007416A9"/>
    <w:rsid w:val="007417FC"/>
    <w:rsid w:val="00741846"/>
    <w:rsid w:val="0074189C"/>
    <w:rsid w:val="00741926"/>
    <w:rsid w:val="00741A6D"/>
    <w:rsid w:val="00741CB6"/>
    <w:rsid w:val="00741CC5"/>
    <w:rsid w:val="00741D0E"/>
    <w:rsid w:val="00741FA3"/>
    <w:rsid w:val="00741FAB"/>
    <w:rsid w:val="00742002"/>
    <w:rsid w:val="007420CC"/>
    <w:rsid w:val="007425B8"/>
    <w:rsid w:val="00742695"/>
    <w:rsid w:val="007428C5"/>
    <w:rsid w:val="00742A09"/>
    <w:rsid w:val="00742ECA"/>
    <w:rsid w:val="00742F06"/>
    <w:rsid w:val="007431E2"/>
    <w:rsid w:val="00743218"/>
    <w:rsid w:val="0074323A"/>
    <w:rsid w:val="007433FF"/>
    <w:rsid w:val="00743593"/>
    <w:rsid w:val="007435B3"/>
    <w:rsid w:val="007438A2"/>
    <w:rsid w:val="00743927"/>
    <w:rsid w:val="00743B80"/>
    <w:rsid w:val="00743C4B"/>
    <w:rsid w:val="00743CC8"/>
    <w:rsid w:val="00743F6D"/>
    <w:rsid w:val="0074420E"/>
    <w:rsid w:val="00744331"/>
    <w:rsid w:val="00744452"/>
    <w:rsid w:val="00744644"/>
    <w:rsid w:val="0074471B"/>
    <w:rsid w:val="00744734"/>
    <w:rsid w:val="0074480D"/>
    <w:rsid w:val="00744927"/>
    <w:rsid w:val="00744B97"/>
    <w:rsid w:val="00744C3C"/>
    <w:rsid w:val="00744D88"/>
    <w:rsid w:val="00744E20"/>
    <w:rsid w:val="00744E44"/>
    <w:rsid w:val="00744F1D"/>
    <w:rsid w:val="00744F33"/>
    <w:rsid w:val="0074511D"/>
    <w:rsid w:val="007455A3"/>
    <w:rsid w:val="007455DC"/>
    <w:rsid w:val="00745750"/>
    <w:rsid w:val="00745787"/>
    <w:rsid w:val="007459AA"/>
    <w:rsid w:val="00745AA6"/>
    <w:rsid w:val="00745C42"/>
    <w:rsid w:val="00745E02"/>
    <w:rsid w:val="00746000"/>
    <w:rsid w:val="00746251"/>
    <w:rsid w:val="007464E3"/>
    <w:rsid w:val="00746575"/>
    <w:rsid w:val="007465F1"/>
    <w:rsid w:val="00746680"/>
    <w:rsid w:val="00746857"/>
    <w:rsid w:val="007468C4"/>
    <w:rsid w:val="00746A84"/>
    <w:rsid w:val="00746C45"/>
    <w:rsid w:val="00746E78"/>
    <w:rsid w:val="00746E7F"/>
    <w:rsid w:val="00747045"/>
    <w:rsid w:val="0074708B"/>
    <w:rsid w:val="00747141"/>
    <w:rsid w:val="007472A0"/>
    <w:rsid w:val="00747380"/>
    <w:rsid w:val="0074747B"/>
    <w:rsid w:val="00747571"/>
    <w:rsid w:val="007475F2"/>
    <w:rsid w:val="00747661"/>
    <w:rsid w:val="00747782"/>
    <w:rsid w:val="007479CF"/>
    <w:rsid w:val="00747C80"/>
    <w:rsid w:val="00747C92"/>
    <w:rsid w:val="00747D53"/>
    <w:rsid w:val="007500DF"/>
    <w:rsid w:val="007501A1"/>
    <w:rsid w:val="007501F6"/>
    <w:rsid w:val="0075031C"/>
    <w:rsid w:val="00750355"/>
    <w:rsid w:val="0075039A"/>
    <w:rsid w:val="007503C5"/>
    <w:rsid w:val="00750406"/>
    <w:rsid w:val="00750420"/>
    <w:rsid w:val="00750704"/>
    <w:rsid w:val="00750785"/>
    <w:rsid w:val="0075082C"/>
    <w:rsid w:val="00750943"/>
    <w:rsid w:val="007509A6"/>
    <w:rsid w:val="00750A66"/>
    <w:rsid w:val="00750B5A"/>
    <w:rsid w:val="00750BFB"/>
    <w:rsid w:val="00750C5D"/>
    <w:rsid w:val="00750CCF"/>
    <w:rsid w:val="00750E56"/>
    <w:rsid w:val="00750EA8"/>
    <w:rsid w:val="00750FAC"/>
    <w:rsid w:val="0075128D"/>
    <w:rsid w:val="00751379"/>
    <w:rsid w:val="007514CE"/>
    <w:rsid w:val="00751537"/>
    <w:rsid w:val="007515C7"/>
    <w:rsid w:val="00751682"/>
    <w:rsid w:val="00751963"/>
    <w:rsid w:val="00751A72"/>
    <w:rsid w:val="00751ABC"/>
    <w:rsid w:val="00751B61"/>
    <w:rsid w:val="00751C6B"/>
    <w:rsid w:val="00751DF4"/>
    <w:rsid w:val="00751EE4"/>
    <w:rsid w:val="00751F15"/>
    <w:rsid w:val="00751F34"/>
    <w:rsid w:val="00751FD3"/>
    <w:rsid w:val="00751FE2"/>
    <w:rsid w:val="00752119"/>
    <w:rsid w:val="007525CD"/>
    <w:rsid w:val="0075283A"/>
    <w:rsid w:val="00752C3D"/>
    <w:rsid w:val="00752E5B"/>
    <w:rsid w:val="00753147"/>
    <w:rsid w:val="00753375"/>
    <w:rsid w:val="007536DB"/>
    <w:rsid w:val="0075383A"/>
    <w:rsid w:val="00753868"/>
    <w:rsid w:val="0075395E"/>
    <w:rsid w:val="007539B9"/>
    <w:rsid w:val="00753BA9"/>
    <w:rsid w:val="00753CFA"/>
    <w:rsid w:val="00753EE2"/>
    <w:rsid w:val="00753F83"/>
    <w:rsid w:val="00754265"/>
    <w:rsid w:val="00754364"/>
    <w:rsid w:val="00754558"/>
    <w:rsid w:val="00754668"/>
    <w:rsid w:val="00754715"/>
    <w:rsid w:val="00754893"/>
    <w:rsid w:val="00754918"/>
    <w:rsid w:val="0075496C"/>
    <w:rsid w:val="00754A6A"/>
    <w:rsid w:val="00754A91"/>
    <w:rsid w:val="00754BB3"/>
    <w:rsid w:val="00754CE9"/>
    <w:rsid w:val="00754D70"/>
    <w:rsid w:val="00754E39"/>
    <w:rsid w:val="00754E85"/>
    <w:rsid w:val="00754EA0"/>
    <w:rsid w:val="00754F75"/>
    <w:rsid w:val="00754FA2"/>
    <w:rsid w:val="00755166"/>
    <w:rsid w:val="00755440"/>
    <w:rsid w:val="007554C8"/>
    <w:rsid w:val="007558FA"/>
    <w:rsid w:val="00755AF5"/>
    <w:rsid w:val="00755C6D"/>
    <w:rsid w:val="00755CA8"/>
    <w:rsid w:val="00755E9C"/>
    <w:rsid w:val="00755F66"/>
    <w:rsid w:val="00755F72"/>
    <w:rsid w:val="00756034"/>
    <w:rsid w:val="007561F7"/>
    <w:rsid w:val="0075628B"/>
    <w:rsid w:val="007562A8"/>
    <w:rsid w:val="0075661E"/>
    <w:rsid w:val="0075662A"/>
    <w:rsid w:val="0075665F"/>
    <w:rsid w:val="0075667F"/>
    <w:rsid w:val="007567FB"/>
    <w:rsid w:val="0075681D"/>
    <w:rsid w:val="00756883"/>
    <w:rsid w:val="00756964"/>
    <w:rsid w:val="00756AD4"/>
    <w:rsid w:val="00756B02"/>
    <w:rsid w:val="00756B69"/>
    <w:rsid w:val="00756BFC"/>
    <w:rsid w:val="00756D13"/>
    <w:rsid w:val="00756D1F"/>
    <w:rsid w:val="00757026"/>
    <w:rsid w:val="00757059"/>
    <w:rsid w:val="00757124"/>
    <w:rsid w:val="007571E6"/>
    <w:rsid w:val="00757237"/>
    <w:rsid w:val="007572B0"/>
    <w:rsid w:val="0075733D"/>
    <w:rsid w:val="007576DC"/>
    <w:rsid w:val="0075773E"/>
    <w:rsid w:val="00757792"/>
    <w:rsid w:val="007577AC"/>
    <w:rsid w:val="00757956"/>
    <w:rsid w:val="00757E45"/>
    <w:rsid w:val="00757EE9"/>
    <w:rsid w:val="00757F1F"/>
    <w:rsid w:val="00760494"/>
    <w:rsid w:val="007606F4"/>
    <w:rsid w:val="007606F5"/>
    <w:rsid w:val="007610B0"/>
    <w:rsid w:val="00761471"/>
    <w:rsid w:val="00761618"/>
    <w:rsid w:val="0076175D"/>
    <w:rsid w:val="00761AE0"/>
    <w:rsid w:val="00761B6D"/>
    <w:rsid w:val="00761EA7"/>
    <w:rsid w:val="00762014"/>
    <w:rsid w:val="00762052"/>
    <w:rsid w:val="00762373"/>
    <w:rsid w:val="007623AF"/>
    <w:rsid w:val="00762673"/>
    <w:rsid w:val="007629A7"/>
    <w:rsid w:val="00762E46"/>
    <w:rsid w:val="00762E69"/>
    <w:rsid w:val="00762F6A"/>
    <w:rsid w:val="00762F6E"/>
    <w:rsid w:val="00762F81"/>
    <w:rsid w:val="00762F86"/>
    <w:rsid w:val="007631D0"/>
    <w:rsid w:val="00763218"/>
    <w:rsid w:val="00763272"/>
    <w:rsid w:val="00763500"/>
    <w:rsid w:val="007637DB"/>
    <w:rsid w:val="007637ED"/>
    <w:rsid w:val="007639D2"/>
    <w:rsid w:val="00763AE4"/>
    <w:rsid w:val="00763B05"/>
    <w:rsid w:val="00763EA2"/>
    <w:rsid w:val="007640DC"/>
    <w:rsid w:val="007641BF"/>
    <w:rsid w:val="0076446C"/>
    <w:rsid w:val="007646B5"/>
    <w:rsid w:val="007647AB"/>
    <w:rsid w:val="007648C8"/>
    <w:rsid w:val="00764AC2"/>
    <w:rsid w:val="00764D89"/>
    <w:rsid w:val="00764F9C"/>
    <w:rsid w:val="00764FE6"/>
    <w:rsid w:val="0076500E"/>
    <w:rsid w:val="0076518A"/>
    <w:rsid w:val="0076536B"/>
    <w:rsid w:val="007653F8"/>
    <w:rsid w:val="00765493"/>
    <w:rsid w:val="007655C5"/>
    <w:rsid w:val="0076573D"/>
    <w:rsid w:val="00765750"/>
    <w:rsid w:val="00765862"/>
    <w:rsid w:val="00765AB2"/>
    <w:rsid w:val="00765BD2"/>
    <w:rsid w:val="007663BD"/>
    <w:rsid w:val="0076644C"/>
    <w:rsid w:val="007664F0"/>
    <w:rsid w:val="007666D6"/>
    <w:rsid w:val="00766831"/>
    <w:rsid w:val="00766ABB"/>
    <w:rsid w:val="00766CAD"/>
    <w:rsid w:val="00766EA0"/>
    <w:rsid w:val="00766F4D"/>
    <w:rsid w:val="00766F85"/>
    <w:rsid w:val="00766FE9"/>
    <w:rsid w:val="007672BA"/>
    <w:rsid w:val="00767412"/>
    <w:rsid w:val="0076744D"/>
    <w:rsid w:val="00767951"/>
    <w:rsid w:val="00767A19"/>
    <w:rsid w:val="00767B69"/>
    <w:rsid w:val="00770014"/>
    <w:rsid w:val="007701BE"/>
    <w:rsid w:val="007703B7"/>
    <w:rsid w:val="00770709"/>
    <w:rsid w:val="00770966"/>
    <w:rsid w:val="00770A69"/>
    <w:rsid w:val="00770AC1"/>
    <w:rsid w:val="00770BED"/>
    <w:rsid w:val="00770DFC"/>
    <w:rsid w:val="00770E99"/>
    <w:rsid w:val="00770F15"/>
    <w:rsid w:val="0077166D"/>
    <w:rsid w:val="00771827"/>
    <w:rsid w:val="00771B12"/>
    <w:rsid w:val="00771B3D"/>
    <w:rsid w:val="00771D04"/>
    <w:rsid w:val="00771D8A"/>
    <w:rsid w:val="00771DF0"/>
    <w:rsid w:val="00771E08"/>
    <w:rsid w:val="0077201E"/>
    <w:rsid w:val="007720AE"/>
    <w:rsid w:val="00772109"/>
    <w:rsid w:val="00772552"/>
    <w:rsid w:val="00772596"/>
    <w:rsid w:val="00772A66"/>
    <w:rsid w:val="00772AD0"/>
    <w:rsid w:val="00772C70"/>
    <w:rsid w:val="00772CB3"/>
    <w:rsid w:val="00772D45"/>
    <w:rsid w:val="00772F9F"/>
    <w:rsid w:val="00773402"/>
    <w:rsid w:val="007737FE"/>
    <w:rsid w:val="007737FF"/>
    <w:rsid w:val="007739A2"/>
    <w:rsid w:val="00773BE2"/>
    <w:rsid w:val="00773C69"/>
    <w:rsid w:val="00773EC0"/>
    <w:rsid w:val="0077434E"/>
    <w:rsid w:val="0077437F"/>
    <w:rsid w:val="0077443E"/>
    <w:rsid w:val="007744E5"/>
    <w:rsid w:val="0077463C"/>
    <w:rsid w:val="007746B1"/>
    <w:rsid w:val="007746B5"/>
    <w:rsid w:val="007747BA"/>
    <w:rsid w:val="00774CAB"/>
    <w:rsid w:val="00774E7D"/>
    <w:rsid w:val="00774F6F"/>
    <w:rsid w:val="0077510E"/>
    <w:rsid w:val="00775423"/>
    <w:rsid w:val="0077548D"/>
    <w:rsid w:val="00775644"/>
    <w:rsid w:val="00775B52"/>
    <w:rsid w:val="00775DBB"/>
    <w:rsid w:val="00775E2A"/>
    <w:rsid w:val="00775FAA"/>
    <w:rsid w:val="00776152"/>
    <w:rsid w:val="00776344"/>
    <w:rsid w:val="00776350"/>
    <w:rsid w:val="007763C8"/>
    <w:rsid w:val="0077648B"/>
    <w:rsid w:val="00776493"/>
    <w:rsid w:val="00776539"/>
    <w:rsid w:val="00776564"/>
    <w:rsid w:val="007765F3"/>
    <w:rsid w:val="00776712"/>
    <w:rsid w:val="00776776"/>
    <w:rsid w:val="0077682D"/>
    <w:rsid w:val="00776866"/>
    <w:rsid w:val="00776A32"/>
    <w:rsid w:val="00776C72"/>
    <w:rsid w:val="00776D6E"/>
    <w:rsid w:val="00776DBD"/>
    <w:rsid w:val="00776EEF"/>
    <w:rsid w:val="00776F64"/>
    <w:rsid w:val="007771CA"/>
    <w:rsid w:val="00777219"/>
    <w:rsid w:val="0077759C"/>
    <w:rsid w:val="00777762"/>
    <w:rsid w:val="0077779B"/>
    <w:rsid w:val="007777C0"/>
    <w:rsid w:val="0077789D"/>
    <w:rsid w:val="00777922"/>
    <w:rsid w:val="00777ABA"/>
    <w:rsid w:val="007800D9"/>
    <w:rsid w:val="0078010B"/>
    <w:rsid w:val="00780201"/>
    <w:rsid w:val="0078032C"/>
    <w:rsid w:val="0078033E"/>
    <w:rsid w:val="00780383"/>
    <w:rsid w:val="007804E0"/>
    <w:rsid w:val="007806CF"/>
    <w:rsid w:val="00780A44"/>
    <w:rsid w:val="007811E2"/>
    <w:rsid w:val="0078127A"/>
    <w:rsid w:val="007812D4"/>
    <w:rsid w:val="007812E3"/>
    <w:rsid w:val="00781447"/>
    <w:rsid w:val="00781654"/>
    <w:rsid w:val="00781777"/>
    <w:rsid w:val="007817EE"/>
    <w:rsid w:val="007818AA"/>
    <w:rsid w:val="00781B0A"/>
    <w:rsid w:val="00781B8B"/>
    <w:rsid w:val="00781CA5"/>
    <w:rsid w:val="00781EC7"/>
    <w:rsid w:val="00781F4B"/>
    <w:rsid w:val="007820A5"/>
    <w:rsid w:val="007820A6"/>
    <w:rsid w:val="0078218C"/>
    <w:rsid w:val="007821BE"/>
    <w:rsid w:val="007821F1"/>
    <w:rsid w:val="007822E4"/>
    <w:rsid w:val="00782482"/>
    <w:rsid w:val="0078249C"/>
    <w:rsid w:val="0078267F"/>
    <w:rsid w:val="007827C0"/>
    <w:rsid w:val="00782837"/>
    <w:rsid w:val="0078284C"/>
    <w:rsid w:val="00782889"/>
    <w:rsid w:val="00782AE2"/>
    <w:rsid w:val="00782BAC"/>
    <w:rsid w:val="00782BD3"/>
    <w:rsid w:val="00782CF6"/>
    <w:rsid w:val="00782DB4"/>
    <w:rsid w:val="0078305D"/>
    <w:rsid w:val="00783101"/>
    <w:rsid w:val="0078317B"/>
    <w:rsid w:val="0078357B"/>
    <w:rsid w:val="00783656"/>
    <w:rsid w:val="00783704"/>
    <w:rsid w:val="00783742"/>
    <w:rsid w:val="00783B80"/>
    <w:rsid w:val="00783E69"/>
    <w:rsid w:val="00783E92"/>
    <w:rsid w:val="00783F43"/>
    <w:rsid w:val="007840B6"/>
    <w:rsid w:val="007842B4"/>
    <w:rsid w:val="007842CA"/>
    <w:rsid w:val="007843A5"/>
    <w:rsid w:val="00784462"/>
    <w:rsid w:val="007845F8"/>
    <w:rsid w:val="00784696"/>
    <w:rsid w:val="007847FA"/>
    <w:rsid w:val="007848A0"/>
    <w:rsid w:val="00784A4B"/>
    <w:rsid w:val="00784AD5"/>
    <w:rsid w:val="00784B04"/>
    <w:rsid w:val="00784C12"/>
    <w:rsid w:val="00784C97"/>
    <w:rsid w:val="00784E6B"/>
    <w:rsid w:val="00784FFF"/>
    <w:rsid w:val="007850A7"/>
    <w:rsid w:val="0078523E"/>
    <w:rsid w:val="00785268"/>
    <w:rsid w:val="007854A4"/>
    <w:rsid w:val="007858FC"/>
    <w:rsid w:val="00785A21"/>
    <w:rsid w:val="00785BA5"/>
    <w:rsid w:val="00785C8A"/>
    <w:rsid w:val="00785CD6"/>
    <w:rsid w:val="00785EAB"/>
    <w:rsid w:val="007860A4"/>
    <w:rsid w:val="00786131"/>
    <w:rsid w:val="00786199"/>
    <w:rsid w:val="00786243"/>
    <w:rsid w:val="00786249"/>
    <w:rsid w:val="0078627F"/>
    <w:rsid w:val="007862CB"/>
    <w:rsid w:val="007864D1"/>
    <w:rsid w:val="0078653D"/>
    <w:rsid w:val="00786A46"/>
    <w:rsid w:val="00786A67"/>
    <w:rsid w:val="00786B42"/>
    <w:rsid w:val="00786B43"/>
    <w:rsid w:val="00786E42"/>
    <w:rsid w:val="00786E7B"/>
    <w:rsid w:val="00786F5A"/>
    <w:rsid w:val="00787332"/>
    <w:rsid w:val="007874DE"/>
    <w:rsid w:val="007875CB"/>
    <w:rsid w:val="00787889"/>
    <w:rsid w:val="007878B5"/>
    <w:rsid w:val="007878B6"/>
    <w:rsid w:val="00787916"/>
    <w:rsid w:val="00787940"/>
    <w:rsid w:val="00787BC9"/>
    <w:rsid w:val="00787D5A"/>
    <w:rsid w:val="00787E3D"/>
    <w:rsid w:val="00787F03"/>
    <w:rsid w:val="0079004E"/>
    <w:rsid w:val="0079021A"/>
    <w:rsid w:val="0079039F"/>
    <w:rsid w:val="007905AE"/>
    <w:rsid w:val="0079066F"/>
    <w:rsid w:val="00790862"/>
    <w:rsid w:val="007908A8"/>
    <w:rsid w:val="00790910"/>
    <w:rsid w:val="007909D7"/>
    <w:rsid w:val="007909DD"/>
    <w:rsid w:val="00790C20"/>
    <w:rsid w:val="00790CCB"/>
    <w:rsid w:val="00790E4F"/>
    <w:rsid w:val="00790F72"/>
    <w:rsid w:val="00791115"/>
    <w:rsid w:val="00791477"/>
    <w:rsid w:val="007917EA"/>
    <w:rsid w:val="007918E6"/>
    <w:rsid w:val="00791AE9"/>
    <w:rsid w:val="00791D23"/>
    <w:rsid w:val="00791D2E"/>
    <w:rsid w:val="00791D3D"/>
    <w:rsid w:val="00791DA1"/>
    <w:rsid w:val="00791DE1"/>
    <w:rsid w:val="00791EDD"/>
    <w:rsid w:val="007922EE"/>
    <w:rsid w:val="00792394"/>
    <w:rsid w:val="00792481"/>
    <w:rsid w:val="007924E8"/>
    <w:rsid w:val="00792528"/>
    <w:rsid w:val="00792574"/>
    <w:rsid w:val="007925EF"/>
    <w:rsid w:val="00792660"/>
    <w:rsid w:val="00792866"/>
    <w:rsid w:val="00792D72"/>
    <w:rsid w:val="00793065"/>
    <w:rsid w:val="00793081"/>
    <w:rsid w:val="00793138"/>
    <w:rsid w:val="0079325D"/>
    <w:rsid w:val="007934EC"/>
    <w:rsid w:val="0079375E"/>
    <w:rsid w:val="007937B9"/>
    <w:rsid w:val="0079392F"/>
    <w:rsid w:val="00793A1A"/>
    <w:rsid w:val="00793A2E"/>
    <w:rsid w:val="00793C8A"/>
    <w:rsid w:val="00793F3E"/>
    <w:rsid w:val="00794251"/>
    <w:rsid w:val="007942E4"/>
    <w:rsid w:val="007944E6"/>
    <w:rsid w:val="0079462B"/>
    <w:rsid w:val="00794BAC"/>
    <w:rsid w:val="00794BF1"/>
    <w:rsid w:val="00794D46"/>
    <w:rsid w:val="00795001"/>
    <w:rsid w:val="0079508E"/>
    <w:rsid w:val="0079515E"/>
    <w:rsid w:val="00795242"/>
    <w:rsid w:val="00795386"/>
    <w:rsid w:val="007953CA"/>
    <w:rsid w:val="00795599"/>
    <w:rsid w:val="00795622"/>
    <w:rsid w:val="00795666"/>
    <w:rsid w:val="00795764"/>
    <w:rsid w:val="0079598E"/>
    <w:rsid w:val="00795A1A"/>
    <w:rsid w:val="00795B9C"/>
    <w:rsid w:val="00795C53"/>
    <w:rsid w:val="00795D87"/>
    <w:rsid w:val="00795DEC"/>
    <w:rsid w:val="00795E19"/>
    <w:rsid w:val="00795FB5"/>
    <w:rsid w:val="00796035"/>
    <w:rsid w:val="00796198"/>
    <w:rsid w:val="00796358"/>
    <w:rsid w:val="007963F3"/>
    <w:rsid w:val="0079649C"/>
    <w:rsid w:val="0079655C"/>
    <w:rsid w:val="007965BB"/>
    <w:rsid w:val="007966AD"/>
    <w:rsid w:val="00796774"/>
    <w:rsid w:val="00796796"/>
    <w:rsid w:val="00796A8B"/>
    <w:rsid w:val="00796B6D"/>
    <w:rsid w:val="00796DCA"/>
    <w:rsid w:val="0079703B"/>
    <w:rsid w:val="00797050"/>
    <w:rsid w:val="007970DE"/>
    <w:rsid w:val="00797122"/>
    <w:rsid w:val="007973AF"/>
    <w:rsid w:val="00797583"/>
    <w:rsid w:val="007977B1"/>
    <w:rsid w:val="00797BB2"/>
    <w:rsid w:val="00797CA8"/>
    <w:rsid w:val="00797D36"/>
    <w:rsid w:val="00797DD9"/>
    <w:rsid w:val="00797E44"/>
    <w:rsid w:val="00797EE5"/>
    <w:rsid w:val="007A003C"/>
    <w:rsid w:val="007A0119"/>
    <w:rsid w:val="007A019D"/>
    <w:rsid w:val="007A0268"/>
    <w:rsid w:val="007A0653"/>
    <w:rsid w:val="007A0667"/>
    <w:rsid w:val="007A0831"/>
    <w:rsid w:val="007A0889"/>
    <w:rsid w:val="007A09D9"/>
    <w:rsid w:val="007A0BB6"/>
    <w:rsid w:val="007A0C94"/>
    <w:rsid w:val="007A0EB9"/>
    <w:rsid w:val="007A0F77"/>
    <w:rsid w:val="007A11C6"/>
    <w:rsid w:val="007A125D"/>
    <w:rsid w:val="007A14B9"/>
    <w:rsid w:val="007A1569"/>
    <w:rsid w:val="007A158F"/>
    <w:rsid w:val="007A15B8"/>
    <w:rsid w:val="007A1655"/>
    <w:rsid w:val="007A1825"/>
    <w:rsid w:val="007A194C"/>
    <w:rsid w:val="007A1AEB"/>
    <w:rsid w:val="007A1B8A"/>
    <w:rsid w:val="007A1BA3"/>
    <w:rsid w:val="007A1FE2"/>
    <w:rsid w:val="007A219A"/>
    <w:rsid w:val="007A23DA"/>
    <w:rsid w:val="007A27C3"/>
    <w:rsid w:val="007A27D7"/>
    <w:rsid w:val="007A2961"/>
    <w:rsid w:val="007A29A6"/>
    <w:rsid w:val="007A29C6"/>
    <w:rsid w:val="007A2AAA"/>
    <w:rsid w:val="007A2AF0"/>
    <w:rsid w:val="007A2B64"/>
    <w:rsid w:val="007A2C5A"/>
    <w:rsid w:val="007A2D4D"/>
    <w:rsid w:val="007A2D94"/>
    <w:rsid w:val="007A3130"/>
    <w:rsid w:val="007A321D"/>
    <w:rsid w:val="007A34A0"/>
    <w:rsid w:val="007A375C"/>
    <w:rsid w:val="007A37EA"/>
    <w:rsid w:val="007A3887"/>
    <w:rsid w:val="007A3A8C"/>
    <w:rsid w:val="007A3B18"/>
    <w:rsid w:val="007A3BCE"/>
    <w:rsid w:val="007A3C17"/>
    <w:rsid w:val="007A3CDD"/>
    <w:rsid w:val="007A3DDE"/>
    <w:rsid w:val="007A3E0A"/>
    <w:rsid w:val="007A40E4"/>
    <w:rsid w:val="007A4246"/>
    <w:rsid w:val="007A44D5"/>
    <w:rsid w:val="007A4500"/>
    <w:rsid w:val="007A46AD"/>
    <w:rsid w:val="007A4A48"/>
    <w:rsid w:val="007A4D31"/>
    <w:rsid w:val="007A4EC3"/>
    <w:rsid w:val="007A558B"/>
    <w:rsid w:val="007A561C"/>
    <w:rsid w:val="007A5665"/>
    <w:rsid w:val="007A57C9"/>
    <w:rsid w:val="007A584C"/>
    <w:rsid w:val="007A5AD6"/>
    <w:rsid w:val="007A5C72"/>
    <w:rsid w:val="007A5C96"/>
    <w:rsid w:val="007A5DAD"/>
    <w:rsid w:val="007A5F5F"/>
    <w:rsid w:val="007A5FB6"/>
    <w:rsid w:val="007A5FD6"/>
    <w:rsid w:val="007A5FEA"/>
    <w:rsid w:val="007A60CA"/>
    <w:rsid w:val="007A6254"/>
    <w:rsid w:val="007A6306"/>
    <w:rsid w:val="007A63F7"/>
    <w:rsid w:val="007A6491"/>
    <w:rsid w:val="007A64CA"/>
    <w:rsid w:val="007A6598"/>
    <w:rsid w:val="007A66BD"/>
    <w:rsid w:val="007A67E4"/>
    <w:rsid w:val="007A6835"/>
    <w:rsid w:val="007A68A9"/>
    <w:rsid w:val="007A68B5"/>
    <w:rsid w:val="007A6918"/>
    <w:rsid w:val="007A69F8"/>
    <w:rsid w:val="007A6A45"/>
    <w:rsid w:val="007A6D2B"/>
    <w:rsid w:val="007A7091"/>
    <w:rsid w:val="007A710B"/>
    <w:rsid w:val="007A726E"/>
    <w:rsid w:val="007A72A8"/>
    <w:rsid w:val="007A746C"/>
    <w:rsid w:val="007A75D8"/>
    <w:rsid w:val="007A765F"/>
    <w:rsid w:val="007A7788"/>
    <w:rsid w:val="007A7901"/>
    <w:rsid w:val="007A7D1D"/>
    <w:rsid w:val="007A7D6E"/>
    <w:rsid w:val="007A7EBE"/>
    <w:rsid w:val="007A7EC9"/>
    <w:rsid w:val="007A7F3A"/>
    <w:rsid w:val="007A7F73"/>
    <w:rsid w:val="007B00DA"/>
    <w:rsid w:val="007B0503"/>
    <w:rsid w:val="007B0589"/>
    <w:rsid w:val="007B0B7C"/>
    <w:rsid w:val="007B0E0C"/>
    <w:rsid w:val="007B0F31"/>
    <w:rsid w:val="007B0F90"/>
    <w:rsid w:val="007B0FCC"/>
    <w:rsid w:val="007B1126"/>
    <w:rsid w:val="007B12B5"/>
    <w:rsid w:val="007B132D"/>
    <w:rsid w:val="007B137D"/>
    <w:rsid w:val="007B13CB"/>
    <w:rsid w:val="007B1704"/>
    <w:rsid w:val="007B170F"/>
    <w:rsid w:val="007B1720"/>
    <w:rsid w:val="007B1816"/>
    <w:rsid w:val="007B1A54"/>
    <w:rsid w:val="007B1E3D"/>
    <w:rsid w:val="007B1E7E"/>
    <w:rsid w:val="007B1EB4"/>
    <w:rsid w:val="007B2073"/>
    <w:rsid w:val="007B20D7"/>
    <w:rsid w:val="007B23AF"/>
    <w:rsid w:val="007B2475"/>
    <w:rsid w:val="007B25B9"/>
    <w:rsid w:val="007B28E3"/>
    <w:rsid w:val="007B2972"/>
    <w:rsid w:val="007B2A07"/>
    <w:rsid w:val="007B2A75"/>
    <w:rsid w:val="007B2AC8"/>
    <w:rsid w:val="007B2AF8"/>
    <w:rsid w:val="007B2C11"/>
    <w:rsid w:val="007B328A"/>
    <w:rsid w:val="007B3339"/>
    <w:rsid w:val="007B36FF"/>
    <w:rsid w:val="007B3858"/>
    <w:rsid w:val="007B3D88"/>
    <w:rsid w:val="007B3DA7"/>
    <w:rsid w:val="007B3EA7"/>
    <w:rsid w:val="007B3EE5"/>
    <w:rsid w:val="007B41C9"/>
    <w:rsid w:val="007B41DA"/>
    <w:rsid w:val="007B423A"/>
    <w:rsid w:val="007B4306"/>
    <w:rsid w:val="007B4651"/>
    <w:rsid w:val="007B4CB1"/>
    <w:rsid w:val="007B4CFB"/>
    <w:rsid w:val="007B4E6A"/>
    <w:rsid w:val="007B518C"/>
    <w:rsid w:val="007B51DE"/>
    <w:rsid w:val="007B51E5"/>
    <w:rsid w:val="007B51FE"/>
    <w:rsid w:val="007B5344"/>
    <w:rsid w:val="007B53AB"/>
    <w:rsid w:val="007B5440"/>
    <w:rsid w:val="007B5840"/>
    <w:rsid w:val="007B58D7"/>
    <w:rsid w:val="007B591B"/>
    <w:rsid w:val="007B59F4"/>
    <w:rsid w:val="007B5ADE"/>
    <w:rsid w:val="007B5BC8"/>
    <w:rsid w:val="007B5FA1"/>
    <w:rsid w:val="007B6088"/>
    <w:rsid w:val="007B61B8"/>
    <w:rsid w:val="007B64B5"/>
    <w:rsid w:val="007B65C4"/>
    <w:rsid w:val="007B65CB"/>
    <w:rsid w:val="007B6698"/>
    <w:rsid w:val="007B6706"/>
    <w:rsid w:val="007B67D0"/>
    <w:rsid w:val="007B6816"/>
    <w:rsid w:val="007B6822"/>
    <w:rsid w:val="007B6832"/>
    <w:rsid w:val="007B6970"/>
    <w:rsid w:val="007B69B8"/>
    <w:rsid w:val="007B6F92"/>
    <w:rsid w:val="007B6FA3"/>
    <w:rsid w:val="007B711C"/>
    <w:rsid w:val="007B7338"/>
    <w:rsid w:val="007B74C2"/>
    <w:rsid w:val="007B75FA"/>
    <w:rsid w:val="007B7686"/>
    <w:rsid w:val="007B7901"/>
    <w:rsid w:val="007B7937"/>
    <w:rsid w:val="007B7A6C"/>
    <w:rsid w:val="007B7A7F"/>
    <w:rsid w:val="007B7A8D"/>
    <w:rsid w:val="007B7B03"/>
    <w:rsid w:val="007B7C10"/>
    <w:rsid w:val="007B7D56"/>
    <w:rsid w:val="007B7D75"/>
    <w:rsid w:val="007B7FC5"/>
    <w:rsid w:val="007B7FDF"/>
    <w:rsid w:val="007C01A4"/>
    <w:rsid w:val="007C021D"/>
    <w:rsid w:val="007C0771"/>
    <w:rsid w:val="007C0B02"/>
    <w:rsid w:val="007C0D0E"/>
    <w:rsid w:val="007C0DEA"/>
    <w:rsid w:val="007C1163"/>
    <w:rsid w:val="007C11F9"/>
    <w:rsid w:val="007C1293"/>
    <w:rsid w:val="007C152A"/>
    <w:rsid w:val="007C170D"/>
    <w:rsid w:val="007C1846"/>
    <w:rsid w:val="007C1883"/>
    <w:rsid w:val="007C1998"/>
    <w:rsid w:val="007C1B1D"/>
    <w:rsid w:val="007C1C5D"/>
    <w:rsid w:val="007C1C67"/>
    <w:rsid w:val="007C1CBF"/>
    <w:rsid w:val="007C1E4C"/>
    <w:rsid w:val="007C244B"/>
    <w:rsid w:val="007C2580"/>
    <w:rsid w:val="007C26E5"/>
    <w:rsid w:val="007C2922"/>
    <w:rsid w:val="007C29A2"/>
    <w:rsid w:val="007C29FA"/>
    <w:rsid w:val="007C2AC8"/>
    <w:rsid w:val="007C2B44"/>
    <w:rsid w:val="007C2DC8"/>
    <w:rsid w:val="007C2E57"/>
    <w:rsid w:val="007C2EF8"/>
    <w:rsid w:val="007C2FC0"/>
    <w:rsid w:val="007C317D"/>
    <w:rsid w:val="007C3380"/>
    <w:rsid w:val="007C345D"/>
    <w:rsid w:val="007C35F7"/>
    <w:rsid w:val="007C3639"/>
    <w:rsid w:val="007C3833"/>
    <w:rsid w:val="007C38AE"/>
    <w:rsid w:val="007C3A25"/>
    <w:rsid w:val="007C3A3C"/>
    <w:rsid w:val="007C3A4B"/>
    <w:rsid w:val="007C3CA3"/>
    <w:rsid w:val="007C3D15"/>
    <w:rsid w:val="007C3DB8"/>
    <w:rsid w:val="007C3E30"/>
    <w:rsid w:val="007C3E4A"/>
    <w:rsid w:val="007C3EF4"/>
    <w:rsid w:val="007C409C"/>
    <w:rsid w:val="007C4128"/>
    <w:rsid w:val="007C4853"/>
    <w:rsid w:val="007C497A"/>
    <w:rsid w:val="007C4C77"/>
    <w:rsid w:val="007C4D79"/>
    <w:rsid w:val="007C4EFA"/>
    <w:rsid w:val="007C4F42"/>
    <w:rsid w:val="007C4F6F"/>
    <w:rsid w:val="007C5174"/>
    <w:rsid w:val="007C51F6"/>
    <w:rsid w:val="007C52BF"/>
    <w:rsid w:val="007C52D2"/>
    <w:rsid w:val="007C5313"/>
    <w:rsid w:val="007C53D4"/>
    <w:rsid w:val="007C580B"/>
    <w:rsid w:val="007C5891"/>
    <w:rsid w:val="007C59CC"/>
    <w:rsid w:val="007C5D43"/>
    <w:rsid w:val="007C5E60"/>
    <w:rsid w:val="007C5E61"/>
    <w:rsid w:val="007C60CC"/>
    <w:rsid w:val="007C618D"/>
    <w:rsid w:val="007C643D"/>
    <w:rsid w:val="007C64BB"/>
    <w:rsid w:val="007C6668"/>
    <w:rsid w:val="007C67AB"/>
    <w:rsid w:val="007C6927"/>
    <w:rsid w:val="007C6B05"/>
    <w:rsid w:val="007C6B1D"/>
    <w:rsid w:val="007C720A"/>
    <w:rsid w:val="007C722F"/>
    <w:rsid w:val="007C7396"/>
    <w:rsid w:val="007C7499"/>
    <w:rsid w:val="007C74F6"/>
    <w:rsid w:val="007C793E"/>
    <w:rsid w:val="007C7960"/>
    <w:rsid w:val="007C7995"/>
    <w:rsid w:val="007C79C1"/>
    <w:rsid w:val="007C7AAC"/>
    <w:rsid w:val="007C7F48"/>
    <w:rsid w:val="007C7F74"/>
    <w:rsid w:val="007D03A7"/>
    <w:rsid w:val="007D0425"/>
    <w:rsid w:val="007D05C6"/>
    <w:rsid w:val="007D05FB"/>
    <w:rsid w:val="007D07DB"/>
    <w:rsid w:val="007D0AF4"/>
    <w:rsid w:val="007D0B41"/>
    <w:rsid w:val="007D0BF4"/>
    <w:rsid w:val="007D1092"/>
    <w:rsid w:val="007D118C"/>
    <w:rsid w:val="007D15E8"/>
    <w:rsid w:val="007D160E"/>
    <w:rsid w:val="007D16CD"/>
    <w:rsid w:val="007D1825"/>
    <w:rsid w:val="007D1924"/>
    <w:rsid w:val="007D199B"/>
    <w:rsid w:val="007D1B4F"/>
    <w:rsid w:val="007D1B53"/>
    <w:rsid w:val="007D1BAB"/>
    <w:rsid w:val="007D1E71"/>
    <w:rsid w:val="007D1F85"/>
    <w:rsid w:val="007D21B0"/>
    <w:rsid w:val="007D21E9"/>
    <w:rsid w:val="007D2350"/>
    <w:rsid w:val="007D23CE"/>
    <w:rsid w:val="007D23E1"/>
    <w:rsid w:val="007D2621"/>
    <w:rsid w:val="007D2636"/>
    <w:rsid w:val="007D271F"/>
    <w:rsid w:val="007D27BA"/>
    <w:rsid w:val="007D29B0"/>
    <w:rsid w:val="007D2B17"/>
    <w:rsid w:val="007D2BFE"/>
    <w:rsid w:val="007D2CAD"/>
    <w:rsid w:val="007D2E3A"/>
    <w:rsid w:val="007D30DA"/>
    <w:rsid w:val="007D30F2"/>
    <w:rsid w:val="007D321B"/>
    <w:rsid w:val="007D3285"/>
    <w:rsid w:val="007D339A"/>
    <w:rsid w:val="007D3447"/>
    <w:rsid w:val="007D3457"/>
    <w:rsid w:val="007D3528"/>
    <w:rsid w:val="007D36CE"/>
    <w:rsid w:val="007D37C2"/>
    <w:rsid w:val="007D3937"/>
    <w:rsid w:val="007D3A21"/>
    <w:rsid w:val="007D3BFB"/>
    <w:rsid w:val="007D3D92"/>
    <w:rsid w:val="007D3E7D"/>
    <w:rsid w:val="007D3EF9"/>
    <w:rsid w:val="007D42D2"/>
    <w:rsid w:val="007D42FE"/>
    <w:rsid w:val="007D4808"/>
    <w:rsid w:val="007D4B31"/>
    <w:rsid w:val="007D4CD6"/>
    <w:rsid w:val="007D4DCA"/>
    <w:rsid w:val="007D4F1E"/>
    <w:rsid w:val="007D5037"/>
    <w:rsid w:val="007D5038"/>
    <w:rsid w:val="007D52A3"/>
    <w:rsid w:val="007D53A6"/>
    <w:rsid w:val="007D5523"/>
    <w:rsid w:val="007D55F5"/>
    <w:rsid w:val="007D5638"/>
    <w:rsid w:val="007D5646"/>
    <w:rsid w:val="007D5741"/>
    <w:rsid w:val="007D5956"/>
    <w:rsid w:val="007D5B41"/>
    <w:rsid w:val="007D5CA8"/>
    <w:rsid w:val="007D5D08"/>
    <w:rsid w:val="007D5E98"/>
    <w:rsid w:val="007D5F68"/>
    <w:rsid w:val="007D6040"/>
    <w:rsid w:val="007D60EE"/>
    <w:rsid w:val="007D6145"/>
    <w:rsid w:val="007D614D"/>
    <w:rsid w:val="007D62D3"/>
    <w:rsid w:val="007D641C"/>
    <w:rsid w:val="007D643B"/>
    <w:rsid w:val="007D647E"/>
    <w:rsid w:val="007D64A1"/>
    <w:rsid w:val="007D66F6"/>
    <w:rsid w:val="007D68FB"/>
    <w:rsid w:val="007D68FF"/>
    <w:rsid w:val="007D69EC"/>
    <w:rsid w:val="007D6B26"/>
    <w:rsid w:val="007D6B9E"/>
    <w:rsid w:val="007D6DA3"/>
    <w:rsid w:val="007D6DFF"/>
    <w:rsid w:val="007D6E09"/>
    <w:rsid w:val="007D6E24"/>
    <w:rsid w:val="007D6F77"/>
    <w:rsid w:val="007D6FE4"/>
    <w:rsid w:val="007D702D"/>
    <w:rsid w:val="007D7328"/>
    <w:rsid w:val="007D7373"/>
    <w:rsid w:val="007D7471"/>
    <w:rsid w:val="007D76DF"/>
    <w:rsid w:val="007D774C"/>
    <w:rsid w:val="007D774E"/>
    <w:rsid w:val="007D77E2"/>
    <w:rsid w:val="007D7A19"/>
    <w:rsid w:val="007D7B4E"/>
    <w:rsid w:val="007D7BBB"/>
    <w:rsid w:val="007E02D8"/>
    <w:rsid w:val="007E03CD"/>
    <w:rsid w:val="007E07E3"/>
    <w:rsid w:val="007E09DC"/>
    <w:rsid w:val="007E0B6D"/>
    <w:rsid w:val="007E0CAF"/>
    <w:rsid w:val="007E0D63"/>
    <w:rsid w:val="007E0D65"/>
    <w:rsid w:val="007E1064"/>
    <w:rsid w:val="007E1085"/>
    <w:rsid w:val="007E10FD"/>
    <w:rsid w:val="007E12DB"/>
    <w:rsid w:val="007E1518"/>
    <w:rsid w:val="007E1585"/>
    <w:rsid w:val="007E15BD"/>
    <w:rsid w:val="007E172F"/>
    <w:rsid w:val="007E1823"/>
    <w:rsid w:val="007E19DE"/>
    <w:rsid w:val="007E1A0F"/>
    <w:rsid w:val="007E1D16"/>
    <w:rsid w:val="007E1E61"/>
    <w:rsid w:val="007E1FCD"/>
    <w:rsid w:val="007E20AF"/>
    <w:rsid w:val="007E230D"/>
    <w:rsid w:val="007E2565"/>
    <w:rsid w:val="007E2649"/>
    <w:rsid w:val="007E29DF"/>
    <w:rsid w:val="007E29F8"/>
    <w:rsid w:val="007E2CDF"/>
    <w:rsid w:val="007E2ECC"/>
    <w:rsid w:val="007E2F09"/>
    <w:rsid w:val="007E2F6D"/>
    <w:rsid w:val="007E2FA4"/>
    <w:rsid w:val="007E2FF2"/>
    <w:rsid w:val="007E3117"/>
    <w:rsid w:val="007E32BE"/>
    <w:rsid w:val="007E3358"/>
    <w:rsid w:val="007E3594"/>
    <w:rsid w:val="007E3A01"/>
    <w:rsid w:val="007E3C0F"/>
    <w:rsid w:val="007E3C16"/>
    <w:rsid w:val="007E3C7B"/>
    <w:rsid w:val="007E3D1C"/>
    <w:rsid w:val="007E3E1E"/>
    <w:rsid w:val="007E3EE9"/>
    <w:rsid w:val="007E40FF"/>
    <w:rsid w:val="007E415D"/>
    <w:rsid w:val="007E4487"/>
    <w:rsid w:val="007E4498"/>
    <w:rsid w:val="007E4588"/>
    <w:rsid w:val="007E4747"/>
    <w:rsid w:val="007E4810"/>
    <w:rsid w:val="007E4A1B"/>
    <w:rsid w:val="007E4B62"/>
    <w:rsid w:val="007E4E9E"/>
    <w:rsid w:val="007E4F30"/>
    <w:rsid w:val="007E50EE"/>
    <w:rsid w:val="007E520F"/>
    <w:rsid w:val="007E551D"/>
    <w:rsid w:val="007E5638"/>
    <w:rsid w:val="007E573C"/>
    <w:rsid w:val="007E58DD"/>
    <w:rsid w:val="007E58EB"/>
    <w:rsid w:val="007E5967"/>
    <w:rsid w:val="007E59E1"/>
    <w:rsid w:val="007E5D40"/>
    <w:rsid w:val="007E5D56"/>
    <w:rsid w:val="007E5D84"/>
    <w:rsid w:val="007E5F6B"/>
    <w:rsid w:val="007E60B7"/>
    <w:rsid w:val="007E6175"/>
    <w:rsid w:val="007E61D5"/>
    <w:rsid w:val="007E632F"/>
    <w:rsid w:val="007E673B"/>
    <w:rsid w:val="007E6962"/>
    <w:rsid w:val="007E6D28"/>
    <w:rsid w:val="007E6D92"/>
    <w:rsid w:val="007E6E38"/>
    <w:rsid w:val="007E7330"/>
    <w:rsid w:val="007E7562"/>
    <w:rsid w:val="007E764F"/>
    <w:rsid w:val="007E76C9"/>
    <w:rsid w:val="007E76E2"/>
    <w:rsid w:val="007E7804"/>
    <w:rsid w:val="007E7A72"/>
    <w:rsid w:val="007E7C5F"/>
    <w:rsid w:val="007E7CF6"/>
    <w:rsid w:val="007E7DD6"/>
    <w:rsid w:val="007E7E11"/>
    <w:rsid w:val="007E7EE2"/>
    <w:rsid w:val="007F01D6"/>
    <w:rsid w:val="007F046A"/>
    <w:rsid w:val="007F0494"/>
    <w:rsid w:val="007F0562"/>
    <w:rsid w:val="007F0634"/>
    <w:rsid w:val="007F08CA"/>
    <w:rsid w:val="007F0BA4"/>
    <w:rsid w:val="007F0C14"/>
    <w:rsid w:val="007F0CE5"/>
    <w:rsid w:val="007F0D42"/>
    <w:rsid w:val="007F0F3C"/>
    <w:rsid w:val="007F1087"/>
    <w:rsid w:val="007F10B1"/>
    <w:rsid w:val="007F1115"/>
    <w:rsid w:val="007F12AB"/>
    <w:rsid w:val="007F1376"/>
    <w:rsid w:val="007F1934"/>
    <w:rsid w:val="007F1A58"/>
    <w:rsid w:val="007F1B5F"/>
    <w:rsid w:val="007F1C7B"/>
    <w:rsid w:val="007F1CE2"/>
    <w:rsid w:val="007F1DF8"/>
    <w:rsid w:val="007F1E56"/>
    <w:rsid w:val="007F1EF2"/>
    <w:rsid w:val="007F200C"/>
    <w:rsid w:val="007F201F"/>
    <w:rsid w:val="007F228C"/>
    <w:rsid w:val="007F26FA"/>
    <w:rsid w:val="007F2792"/>
    <w:rsid w:val="007F27FB"/>
    <w:rsid w:val="007F2827"/>
    <w:rsid w:val="007F2AB4"/>
    <w:rsid w:val="007F2B12"/>
    <w:rsid w:val="007F2B44"/>
    <w:rsid w:val="007F2D08"/>
    <w:rsid w:val="007F2D9B"/>
    <w:rsid w:val="007F2E7A"/>
    <w:rsid w:val="007F32BB"/>
    <w:rsid w:val="007F339C"/>
    <w:rsid w:val="007F340C"/>
    <w:rsid w:val="007F35ED"/>
    <w:rsid w:val="007F373A"/>
    <w:rsid w:val="007F37B2"/>
    <w:rsid w:val="007F393A"/>
    <w:rsid w:val="007F3B57"/>
    <w:rsid w:val="007F3B6E"/>
    <w:rsid w:val="007F3E68"/>
    <w:rsid w:val="007F40D5"/>
    <w:rsid w:val="007F4267"/>
    <w:rsid w:val="007F429D"/>
    <w:rsid w:val="007F432F"/>
    <w:rsid w:val="007F4398"/>
    <w:rsid w:val="007F44DE"/>
    <w:rsid w:val="007F461F"/>
    <w:rsid w:val="007F476E"/>
    <w:rsid w:val="007F4925"/>
    <w:rsid w:val="007F4A00"/>
    <w:rsid w:val="007F4B09"/>
    <w:rsid w:val="007F4BA4"/>
    <w:rsid w:val="007F4DAE"/>
    <w:rsid w:val="007F4DEF"/>
    <w:rsid w:val="007F4F82"/>
    <w:rsid w:val="007F540E"/>
    <w:rsid w:val="007F5754"/>
    <w:rsid w:val="007F5EF7"/>
    <w:rsid w:val="007F5F47"/>
    <w:rsid w:val="007F6019"/>
    <w:rsid w:val="007F6056"/>
    <w:rsid w:val="007F6199"/>
    <w:rsid w:val="007F61C1"/>
    <w:rsid w:val="007F61D4"/>
    <w:rsid w:val="007F62C7"/>
    <w:rsid w:val="007F66FF"/>
    <w:rsid w:val="007F67BE"/>
    <w:rsid w:val="007F6B00"/>
    <w:rsid w:val="007F6B12"/>
    <w:rsid w:val="007F6D54"/>
    <w:rsid w:val="007F7114"/>
    <w:rsid w:val="007F7158"/>
    <w:rsid w:val="007F7179"/>
    <w:rsid w:val="007F71EB"/>
    <w:rsid w:val="007F728B"/>
    <w:rsid w:val="007F732F"/>
    <w:rsid w:val="007F74BC"/>
    <w:rsid w:val="007F75B5"/>
    <w:rsid w:val="007F7616"/>
    <w:rsid w:val="007F77FE"/>
    <w:rsid w:val="007F7AC2"/>
    <w:rsid w:val="007F7B1C"/>
    <w:rsid w:val="007F7C07"/>
    <w:rsid w:val="007F7F56"/>
    <w:rsid w:val="0080027F"/>
    <w:rsid w:val="008002A1"/>
    <w:rsid w:val="0080049C"/>
    <w:rsid w:val="00800535"/>
    <w:rsid w:val="00800602"/>
    <w:rsid w:val="0080067A"/>
    <w:rsid w:val="00800826"/>
    <w:rsid w:val="00800944"/>
    <w:rsid w:val="00800CCC"/>
    <w:rsid w:val="00800E17"/>
    <w:rsid w:val="00800E8C"/>
    <w:rsid w:val="008010ED"/>
    <w:rsid w:val="00801423"/>
    <w:rsid w:val="00801451"/>
    <w:rsid w:val="008017EE"/>
    <w:rsid w:val="00801AEE"/>
    <w:rsid w:val="00801C8F"/>
    <w:rsid w:val="00801D5C"/>
    <w:rsid w:val="00801DD3"/>
    <w:rsid w:val="00801DFE"/>
    <w:rsid w:val="00801E50"/>
    <w:rsid w:val="00801EC9"/>
    <w:rsid w:val="00802090"/>
    <w:rsid w:val="008020AC"/>
    <w:rsid w:val="008020C1"/>
    <w:rsid w:val="00802153"/>
    <w:rsid w:val="0080238E"/>
    <w:rsid w:val="008023F2"/>
    <w:rsid w:val="008024D7"/>
    <w:rsid w:val="00802695"/>
    <w:rsid w:val="00802848"/>
    <w:rsid w:val="00802B63"/>
    <w:rsid w:val="00802C2B"/>
    <w:rsid w:val="00802C92"/>
    <w:rsid w:val="00802EF5"/>
    <w:rsid w:val="0080300A"/>
    <w:rsid w:val="00803120"/>
    <w:rsid w:val="00803169"/>
    <w:rsid w:val="00803182"/>
    <w:rsid w:val="008031BE"/>
    <w:rsid w:val="00803294"/>
    <w:rsid w:val="00803330"/>
    <w:rsid w:val="008038B4"/>
    <w:rsid w:val="0080398A"/>
    <w:rsid w:val="00803D82"/>
    <w:rsid w:val="00803DAC"/>
    <w:rsid w:val="00803E7B"/>
    <w:rsid w:val="00803F6A"/>
    <w:rsid w:val="00804166"/>
    <w:rsid w:val="008044A5"/>
    <w:rsid w:val="00804567"/>
    <w:rsid w:val="008048E3"/>
    <w:rsid w:val="00804A66"/>
    <w:rsid w:val="00804B5A"/>
    <w:rsid w:val="00804CCC"/>
    <w:rsid w:val="00804DD3"/>
    <w:rsid w:val="0080510D"/>
    <w:rsid w:val="0080567D"/>
    <w:rsid w:val="008059AE"/>
    <w:rsid w:val="00805A1B"/>
    <w:rsid w:val="00805A24"/>
    <w:rsid w:val="00805AAF"/>
    <w:rsid w:val="00805D60"/>
    <w:rsid w:val="00805DC0"/>
    <w:rsid w:val="00805E34"/>
    <w:rsid w:val="00805EF8"/>
    <w:rsid w:val="00805F58"/>
    <w:rsid w:val="00806421"/>
    <w:rsid w:val="00806434"/>
    <w:rsid w:val="00806439"/>
    <w:rsid w:val="00806666"/>
    <w:rsid w:val="00806749"/>
    <w:rsid w:val="008067F8"/>
    <w:rsid w:val="0080695B"/>
    <w:rsid w:val="00806A42"/>
    <w:rsid w:val="00806D4D"/>
    <w:rsid w:val="00806ECC"/>
    <w:rsid w:val="00807019"/>
    <w:rsid w:val="008070BE"/>
    <w:rsid w:val="008070CA"/>
    <w:rsid w:val="008070D4"/>
    <w:rsid w:val="00807305"/>
    <w:rsid w:val="00807346"/>
    <w:rsid w:val="008073BC"/>
    <w:rsid w:val="00807559"/>
    <w:rsid w:val="0080761E"/>
    <w:rsid w:val="008078F8"/>
    <w:rsid w:val="00807C3E"/>
    <w:rsid w:val="00807E02"/>
    <w:rsid w:val="00807E5F"/>
    <w:rsid w:val="00807F88"/>
    <w:rsid w:val="00810281"/>
    <w:rsid w:val="00810385"/>
    <w:rsid w:val="0081038A"/>
    <w:rsid w:val="0081048B"/>
    <w:rsid w:val="00810596"/>
    <w:rsid w:val="008105A5"/>
    <w:rsid w:val="00810752"/>
    <w:rsid w:val="00810812"/>
    <w:rsid w:val="00810848"/>
    <w:rsid w:val="00810A0C"/>
    <w:rsid w:val="008110D7"/>
    <w:rsid w:val="008110E1"/>
    <w:rsid w:val="00811161"/>
    <w:rsid w:val="008111D0"/>
    <w:rsid w:val="008113AF"/>
    <w:rsid w:val="00811571"/>
    <w:rsid w:val="008115C2"/>
    <w:rsid w:val="008117BF"/>
    <w:rsid w:val="00811869"/>
    <w:rsid w:val="00811AF4"/>
    <w:rsid w:val="008120D3"/>
    <w:rsid w:val="008125FD"/>
    <w:rsid w:val="00812685"/>
    <w:rsid w:val="008127AA"/>
    <w:rsid w:val="00812883"/>
    <w:rsid w:val="00813059"/>
    <w:rsid w:val="008130C8"/>
    <w:rsid w:val="00813280"/>
    <w:rsid w:val="00813288"/>
    <w:rsid w:val="008132DB"/>
    <w:rsid w:val="008132EF"/>
    <w:rsid w:val="008132F6"/>
    <w:rsid w:val="00813433"/>
    <w:rsid w:val="0081364A"/>
    <w:rsid w:val="0081396F"/>
    <w:rsid w:val="00813A27"/>
    <w:rsid w:val="00813A86"/>
    <w:rsid w:val="00813C4C"/>
    <w:rsid w:val="00813C7E"/>
    <w:rsid w:val="00813C82"/>
    <w:rsid w:val="00813DF7"/>
    <w:rsid w:val="00813EB3"/>
    <w:rsid w:val="00813FBA"/>
    <w:rsid w:val="00813FF6"/>
    <w:rsid w:val="0081406D"/>
    <w:rsid w:val="008143DC"/>
    <w:rsid w:val="00814453"/>
    <w:rsid w:val="0081445B"/>
    <w:rsid w:val="0081465D"/>
    <w:rsid w:val="008146F8"/>
    <w:rsid w:val="00814762"/>
    <w:rsid w:val="00814BF4"/>
    <w:rsid w:val="00814FAD"/>
    <w:rsid w:val="0081505A"/>
    <w:rsid w:val="0081512F"/>
    <w:rsid w:val="008151D4"/>
    <w:rsid w:val="0081529B"/>
    <w:rsid w:val="008154BD"/>
    <w:rsid w:val="0081555E"/>
    <w:rsid w:val="008155CC"/>
    <w:rsid w:val="00815642"/>
    <w:rsid w:val="0081574B"/>
    <w:rsid w:val="00815C79"/>
    <w:rsid w:val="00815E94"/>
    <w:rsid w:val="0081614A"/>
    <w:rsid w:val="00816162"/>
    <w:rsid w:val="008162A4"/>
    <w:rsid w:val="00816471"/>
    <w:rsid w:val="008164B8"/>
    <w:rsid w:val="008164CE"/>
    <w:rsid w:val="00816532"/>
    <w:rsid w:val="00816647"/>
    <w:rsid w:val="00816703"/>
    <w:rsid w:val="0081675E"/>
    <w:rsid w:val="00816BC8"/>
    <w:rsid w:val="00816E11"/>
    <w:rsid w:val="00816E14"/>
    <w:rsid w:val="00817065"/>
    <w:rsid w:val="00817119"/>
    <w:rsid w:val="008171B2"/>
    <w:rsid w:val="00817447"/>
    <w:rsid w:val="00817484"/>
    <w:rsid w:val="008174C1"/>
    <w:rsid w:val="0081758A"/>
    <w:rsid w:val="008177B4"/>
    <w:rsid w:val="00817A19"/>
    <w:rsid w:val="00817C9D"/>
    <w:rsid w:val="00817CE5"/>
    <w:rsid w:val="00817ECD"/>
    <w:rsid w:val="00817F31"/>
    <w:rsid w:val="00817F6C"/>
    <w:rsid w:val="00817F97"/>
    <w:rsid w:val="008200A6"/>
    <w:rsid w:val="008200A7"/>
    <w:rsid w:val="0082014E"/>
    <w:rsid w:val="008203A6"/>
    <w:rsid w:val="00820632"/>
    <w:rsid w:val="0082074C"/>
    <w:rsid w:val="00820769"/>
    <w:rsid w:val="00820855"/>
    <w:rsid w:val="00820CBF"/>
    <w:rsid w:val="00820D58"/>
    <w:rsid w:val="00821020"/>
    <w:rsid w:val="00821251"/>
    <w:rsid w:val="0082183A"/>
    <w:rsid w:val="008219B1"/>
    <w:rsid w:val="00821A29"/>
    <w:rsid w:val="00821ABD"/>
    <w:rsid w:val="00821AEB"/>
    <w:rsid w:val="00821D25"/>
    <w:rsid w:val="0082208C"/>
    <w:rsid w:val="008220FD"/>
    <w:rsid w:val="0082276A"/>
    <w:rsid w:val="00822825"/>
    <w:rsid w:val="00822A87"/>
    <w:rsid w:val="00822AE8"/>
    <w:rsid w:val="00822CC8"/>
    <w:rsid w:val="00822EA2"/>
    <w:rsid w:val="00822ED0"/>
    <w:rsid w:val="00822F2B"/>
    <w:rsid w:val="0082302F"/>
    <w:rsid w:val="00823041"/>
    <w:rsid w:val="00823233"/>
    <w:rsid w:val="0082335F"/>
    <w:rsid w:val="0082342A"/>
    <w:rsid w:val="0082348F"/>
    <w:rsid w:val="0082356F"/>
    <w:rsid w:val="008236B8"/>
    <w:rsid w:val="00823823"/>
    <w:rsid w:val="0082390F"/>
    <w:rsid w:val="00823B7F"/>
    <w:rsid w:val="00823D75"/>
    <w:rsid w:val="00823ECA"/>
    <w:rsid w:val="008240D3"/>
    <w:rsid w:val="008240DC"/>
    <w:rsid w:val="0082428E"/>
    <w:rsid w:val="008242A4"/>
    <w:rsid w:val="00824426"/>
    <w:rsid w:val="0082459E"/>
    <w:rsid w:val="00824696"/>
    <w:rsid w:val="0082496B"/>
    <w:rsid w:val="00824A03"/>
    <w:rsid w:val="00824A94"/>
    <w:rsid w:val="00824AA1"/>
    <w:rsid w:val="00824B0E"/>
    <w:rsid w:val="00824BC7"/>
    <w:rsid w:val="00824C9D"/>
    <w:rsid w:val="00824DEB"/>
    <w:rsid w:val="00824E0C"/>
    <w:rsid w:val="00824ECD"/>
    <w:rsid w:val="00824F3B"/>
    <w:rsid w:val="0082541E"/>
    <w:rsid w:val="008257E3"/>
    <w:rsid w:val="0082582A"/>
    <w:rsid w:val="00825B11"/>
    <w:rsid w:val="00825CFD"/>
    <w:rsid w:val="00825F6E"/>
    <w:rsid w:val="00825F87"/>
    <w:rsid w:val="008260B8"/>
    <w:rsid w:val="0082615B"/>
    <w:rsid w:val="008266A7"/>
    <w:rsid w:val="0082671B"/>
    <w:rsid w:val="00826737"/>
    <w:rsid w:val="00826907"/>
    <w:rsid w:val="00826A16"/>
    <w:rsid w:val="00826C23"/>
    <w:rsid w:val="00826CB5"/>
    <w:rsid w:val="00826E32"/>
    <w:rsid w:val="008270C3"/>
    <w:rsid w:val="00827126"/>
    <w:rsid w:val="008273DE"/>
    <w:rsid w:val="008273F8"/>
    <w:rsid w:val="00827830"/>
    <w:rsid w:val="00827B49"/>
    <w:rsid w:val="00827D3D"/>
    <w:rsid w:val="00827E38"/>
    <w:rsid w:val="00830444"/>
    <w:rsid w:val="008304FC"/>
    <w:rsid w:val="0083050A"/>
    <w:rsid w:val="00830597"/>
    <w:rsid w:val="008305A6"/>
    <w:rsid w:val="00830663"/>
    <w:rsid w:val="008307CB"/>
    <w:rsid w:val="00830B9D"/>
    <w:rsid w:val="00830D5D"/>
    <w:rsid w:val="00830E52"/>
    <w:rsid w:val="00830FCF"/>
    <w:rsid w:val="00831047"/>
    <w:rsid w:val="00831418"/>
    <w:rsid w:val="00831475"/>
    <w:rsid w:val="008314C5"/>
    <w:rsid w:val="00831963"/>
    <w:rsid w:val="00831D55"/>
    <w:rsid w:val="00831DAD"/>
    <w:rsid w:val="00831FCC"/>
    <w:rsid w:val="00832136"/>
    <w:rsid w:val="0083213F"/>
    <w:rsid w:val="00832262"/>
    <w:rsid w:val="0083233F"/>
    <w:rsid w:val="008324E3"/>
    <w:rsid w:val="00832569"/>
    <w:rsid w:val="008325C0"/>
    <w:rsid w:val="00832656"/>
    <w:rsid w:val="0083276D"/>
    <w:rsid w:val="008328B1"/>
    <w:rsid w:val="008329B2"/>
    <w:rsid w:val="00832A6A"/>
    <w:rsid w:val="00832BA0"/>
    <w:rsid w:val="00832BD9"/>
    <w:rsid w:val="00832DAE"/>
    <w:rsid w:val="00833293"/>
    <w:rsid w:val="008333F8"/>
    <w:rsid w:val="00833530"/>
    <w:rsid w:val="00833664"/>
    <w:rsid w:val="0083382E"/>
    <w:rsid w:val="0083395F"/>
    <w:rsid w:val="00833A4E"/>
    <w:rsid w:val="00833A6F"/>
    <w:rsid w:val="00833B18"/>
    <w:rsid w:val="00833B9F"/>
    <w:rsid w:val="00833C24"/>
    <w:rsid w:val="00833C6F"/>
    <w:rsid w:val="00833CC1"/>
    <w:rsid w:val="00833D9E"/>
    <w:rsid w:val="00833E2F"/>
    <w:rsid w:val="00833E59"/>
    <w:rsid w:val="008341DB"/>
    <w:rsid w:val="0083424B"/>
    <w:rsid w:val="00834556"/>
    <w:rsid w:val="0083460F"/>
    <w:rsid w:val="0083468A"/>
    <w:rsid w:val="0083483D"/>
    <w:rsid w:val="0083499B"/>
    <w:rsid w:val="00834E27"/>
    <w:rsid w:val="00834E86"/>
    <w:rsid w:val="00834F6B"/>
    <w:rsid w:val="00834F9D"/>
    <w:rsid w:val="00834FCA"/>
    <w:rsid w:val="008351CB"/>
    <w:rsid w:val="00835401"/>
    <w:rsid w:val="00835467"/>
    <w:rsid w:val="008354CC"/>
    <w:rsid w:val="008354D8"/>
    <w:rsid w:val="0083551F"/>
    <w:rsid w:val="00835588"/>
    <w:rsid w:val="008356C8"/>
    <w:rsid w:val="00835721"/>
    <w:rsid w:val="00835822"/>
    <w:rsid w:val="0083592A"/>
    <w:rsid w:val="00835A1B"/>
    <w:rsid w:val="00835AB3"/>
    <w:rsid w:val="00835B2C"/>
    <w:rsid w:val="00835CFF"/>
    <w:rsid w:val="00835D7E"/>
    <w:rsid w:val="00835F88"/>
    <w:rsid w:val="0083603D"/>
    <w:rsid w:val="008360DF"/>
    <w:rsid w:val="00836231"/>
    <w:rsid w:val="00836414"/>
    <w:rsid w:val="0083663A"/>
    <w:rsid w:val="0083679B"/>
    <w:rsid w:val="008367B6"/>
    <w:rsid w:val="0083684B"/>
    <w:rsid w:val="00836874"/>
    <w:rsid w:val="00836A9D"/>
    <w:rsid w:val="00836BDB"/>
    <w:rsid w:val="00836D13"/>
    <w:rsid w:val="00836E8D"/>
    <w:rsid w:val="00836FAA"/>
    <w:rsid w:val="00836FD1"/>
    <w:rsid w:val="008370AD"/>
    <w:rsid w:val="008370AF"/>
    <w:rsid w:val="008372DB"/>
    <w:rsid w:val="00837335"/>
    <w:rsid w:val="00837573"/>
    <w:rsid w:val="0083758B"/>
    <w:rsid w:val="0083770C"/>
    <w:rsid w:val="008378C7"/>
    <w:rsid w:val="008378F0"/>
    <w:rsid w:val="00837FAF"/>
    <w:rsid w:val="00840227"/>
    <w:rsid w:val="00840296"/>
    <w:rsid w:val="0084041D"/>
    <w:rsid w:val="0084053C"/>
    <w:rsid w:val="0084086E"/>
    <w:rsid w:val="00840959"/>
    <w:rsid w:val="00840BBB"/>
    <w:rsid w:val="00840BD8"/>
    <w:rsid w:val="00840E89"/>
    <w:rsid w:val="00840FF7"/>
    <w:rsid w:val="008412E5"/>
    <w:rsid w:val="00841378"/>
    <w:rsid w:val="0084137A"/>
    <w:rsid w:val="008416FA"/>
    <w:rsid w:val="00841907"/>
    <w:rsid w:val="00841925"/>
    <w:rsid w:val="00841A27"/>
    <w:rsid w:val="00841AE9"/>
    <w:rsid w:val="00841BF6"/>
    <w:rsid w:val="00841CD3"/>
    <w:rsid w:val="00841E0E"/>
    <w:rsid w:val="008423D7"/>
    <w:rsid w:val="00842439"/>
    <w:rsid w:val="00842580"/>
    <w:rsid w:val="00842803"/>
    <w:rsid w:val="00842974"/>
    <w:rsid w:val="00842CC3"/>
    <w:rsid w:val="00842DC3"/>
    <w:rsid w:val="00842DD1"/>
    <w:rsid w:val="00842DD5"/>
    <w:rsid w:val="00842E81"/>
    <w:rsid w:val="008430A2"/>
    <w:rsid w:val="00843238"/>
    <w:rsid w:val="008432AF"/>
    <w:rsid w:val="008435B7"/>
    <w:rsid w:val="00843633"/>
    <w:rsid w:val="008437EA"/>
    <w:rsid w:val="0084381D"/>
    <w:rsid w:val="00843844"/>
    <w:rsid w:val="00843A9E"/>
    <w:rsid w:val="00843AAD"/>
    <w:rsid w:val="00844032"/>
    <w:rsid w:val="008441D9"/>
    <w:rsid w:val="008441F5"/>
    <w:rsid w:val="00844294"/>
    <w:rsid w:val="00844347"/>
    <w:rsid w:val="0084437F"/>
    <w:rsid w:val="00844458"/>
    <w:rsid w:val="0084459A"/>
    <w:rsid w:val="008445A2"/>
    <w:rsid w:val="00844670"/>
    <w:rsid w:val="008446B2"/>
    <w:rsid w:val="00844AA4"/>
    <w:rsid w:val="00844C54"/>
    <w:rsid w:val="00844CD6"/>
    <w:rsid w:val="00844CF2"/>
    <w:rsid w:val="00844DF5"/>
    <w:rsid w:val="00844F30"/>
    <w:rsid w:val="00844FA7"/>
    <w:rsid w:val="008450F3"/>
    <w:rsid w:val="00845159"/>
    <w:rsid w:val="0084516D"/>
    <w:rsid w:val="008451CC"/>
    <w:rsid w:val="008454D9"/>
    <w:rsid w:val="0084553D"/>
    <w:rsid w:val="0084579C"/>
    <w:rsid w:val="00845946"/>
    <w:rsid w:val="0084597D"/>
    <w:rsid w:val="00845B31"/>
    <w:rsid w:val="00845B7E"/>
    <w:rsid w:val="00845BE8"/>
    <w:rsid w:val="00845CF1"/>
    <w:rsid w:val="00845ED3"/>
    <w:rsid w:val="00846009"/>
    <w:rsid w:val="00846250"/>
    <w:rsid w:val="008462B3"/>
    <w:rsid w:val="0084651C"/>
    <w:rsid w:val="0084658D"/>
    <w:rsid w:val="0084689D"/>
    <w:rsid w:val="00846962"/>
    <w:rsid w:val="00846CF3"/>
    <w:rsid w:val="00846F81"/>
    <w:rsid w:val="00846FB4"/>
    <w:rsid w:val="008471F9"/>
    <w:rsid w:val="008473C4"/>
    <w:rsid w:val="008476A0"/>
    <w:rsid w:val="00847B68"/>
    <w:rsid w:val="00847DB7"/>
    <w:rsid w:val="00847E8C"/>
    <w:rsid w:val="00847F94"/>
    <w:rsid w:val="008502DA"/>
    <w:rsid w:val="008502F4"/>
    <w:rsid w:val="0085031A"/>
    <w:rsid w:val="0085041B"/>
    <w:rsid w:val="00850468"/>
    <w:rsid w:val="008506F5"/>
    <w:rsid w:val="008509E0"/>
    <w:rsid w:val="00850AAE"/>
    <w:rsid w:val="00850B66"/>
    <w:rsid w:val="00850C70"/>
    <w:rsid w:val="00850DC8"/>
    <w:rsid w:val="0085111E"/>
    <w:rsid w:val="008513D2"/>
    <w:rsid w:val="00851750"/>
    <w:rsid w:val="0085177E"/>
    <w:rsid w:val="00851A5D"/>
    <w:rsid w:val="00851C5E"/>
    <w:rsid w:val="00851C9A"/>
    <w:rsid w:val="00851CE0"/>
    <w:rsid w:val="00852057"/>
    <w:rsid w:val="008522A9"/>
    <w:rsid w:val="00852319"/>
    <w:rsid w:val="008523C0"/>
    <w:rsid w:val="008523C6"/>
    <w:rsid w:val="008524FA"/>
    <w:rsid w:val="0085257A"/>
    <w:rsid w:val="00852588"/>
    <w:rsid w:val="0085289B"/>
    <w:rsid w:val="00852A33"/>
    <w:rsid w:val="00852AFE"/>
    <w:rsid w:val="00852EB1"/>
    <w:rsid w:val="00852F38"/>
    <w:rsid w:val="00853006"/>
    <w:rsid w:val="008531B6"/>
    <w:rsid w:val="00853650"/>
    <w:rsid w:val="008536E8"/>
    <w:rsid w:val="00853791"/>
    <w:rsid w:val="00853875"/>
    <w:rsid w:val="008538C7"/>
    <w:rsid w:val="00853AF0"/>
    <w:rsid w:val="00853C0C"/>
    <w:rsid w:val="00853C8C"/>
    <w:rsid w:val="00854146"/>
    <w:rsid w:val="008545CF"/>
    <w:rsid w:val="00854921"/>
    <w:rsid w:val="00854973"/>
    <w:rsid w:val="008549B9"/>
    <w:rsid w:val="00854C15"/>
    <w:rsid w:val="00854CAB"/>
    <w:rsid w:val="00854D1F"/>
    <w:rsid w:val="00854E7C"/>
    <w:rsid w:val="00854ED9"/>
    <w:rsid w:val="00854EF0"/>
    <w:rsid w:val="00855135"/>
    <w:rsid w:val="008552AD"/>
    <w:rsid w:val="0085535A"/>
    <w:rsid w:val="008554A4"/>
    <w:rsid w:val="00855582"/>
    <w:rsid w:val="00855615"/>
    <w:rsid w:val="008556BF"/>
    <w:rsid w:val="0085576A"/>
    <w:rsid w:val="00855791"/>
    <w:rsid w:val="00855A43"/>
    <w:rsid w:val="00855B5D"/>
    <w:rsid w:val="00855C69"/>
    <w:rsid w:val="0085608B"/>
    <w:rsid w:val="008561E6"/>
    <w:rsid w:val="00856273"/>
    <w:rsid w:val="00856275"/>
    <w:rsid w:val="008563E9"/>
    <w:rsid w:val="00856469"/>
    <w:rsid w:val="008566C6"/>
    <w:rsid w:val="00856834"/>
    <w:rsid w:val="00856C34"/>
    <w:rsid w:val="00856CAB"/>
    <w:rsid w:val="00856CF6"/>
    <w:rsid w:val="00856D36"/>
    <w:rsid w:val="00856DDF"/>
    <w:rsid w:val="0085704D"/>
    <w:rsid w:val="0085717A"/>
    <w:rsid w:val="008573D4"/>
    <w:rsid w:val="008574A3"/>
    <w:rsid w:val="008575F8"/>
    <w:rsid w:val="00857706"/>
    <w:rsid w:val="0085774C"/>
    <w:rsid w:val="0085774F"/>
    <w:rsid w:val="0085779F"/>
    <w:rsid w:val="008579B5"/>
    <w:rsid w:val="00857A98"/>
    <w:rsid w:val="008604CE"/>
    <w:rsid w:val="00860658"/>
    <w:rsid w:val="008606FF"/>
    <w:rsid w:val="00860796"/>
    <w:rsid w:val="00860A05"/>
    <w:rsid w:val="00860A9C"/>
    <w:rsid w:val="00860C31"/>
    <w:rsid w:val="00860F2E"/>
    <w:rsid w:val="00860F95"/>
    <w:rsid w:val="00861014"/>
    <w:rsid w:val="0086103B"/>
    <w:rsid w:val="008610AB"/>
    <w:rsid w:val="00861297"/>
    <w:rsid w:val="008613FB"/>
    <w:rsid w:val="008615A7"/>
    <w:rsid w:val="008615E1"/>
    <w:rsid w:val="00861636"/>
    <w:rsid w:val="00861773"/>
    <w:rsid w:val="00861813"/>
    <w:rsid w:val="00861862"/>
    <w:rsid w:val="008619E9"/>
    <w:rsid w:val="00861A56"/>
    <w:rsid w:val="00861B09"/>
    <w:rsid w:val="00861C4B"/>
    <w:rsid w:val="00861D2A"/>
    <w:rsid w:val="00861D6F"/>
    <w:rsid w:val="00862011"/>
    <w:rsid w:val="008621C6"/>
    <w:rsid w:val="00862200"/>
    <w:rsid w:val="00862346"/>
    <w:rsid w:val="008625D2"/>
    <w:rsid w:val="0086281F"/>
    <w:rsid w:val="0086282C"/>
    <w:rsid w:val="00862974"/>
    <w:rsid w:val="0086297E"/>
    <w:rsid w:val="00862B69"/>
    <w:rsid w:val="00862B80"/>
    <w:rsid w:val="00862BF8"/>
    <w:rsid w:val="00862DB7"/>
    <w:rsid w:val="0086302C"/>
    <w:rsid w:val="008630D2"/>
    <w:rsid w:val="00863176"/>
    <w:rsid w:val="008631B5"/>
    <w:rsid w:val="008631FB"/>
    <w:rsid w:val="008632D3"/>
    <w:rsid w:val="008632F1"/>
    <w:rsid w:val="00863361"/>
    <w:rsid w:val="008636E4"/>
    <w:rsid w:val="00863884"/>
    <w:rsid w:val="00863959"/>
    <w:rsid w:val="00863A1C"/>
    <w:rsid w:val="00863C96"/>
    <w:rsid w:val="00863DAC"/>
    <w:rsid w:val="00863E95"/>
    <w:rsid w:val="00863EA4"/>
    <w:rsid w:val="00864049"/>
    <w:rsid w:val="0086413F"/>
    <w:rsid w:val="00864176"/>
    <w:rsid w:val="008642E2"/>
    <w:rsid w:val="008642E3"/>
    <w:rsid w:val="008645BB"/>
    <w:rsid w:val="008645C2"/>
    <w:rsid w:val="00864800"/>
    <w:rsid w:val="00864A6E"/>
    <w:rsid w:val="00864E00"/>
    <w:rsid w:val="00864E89"/>
    <w:rsid w:val="0086505B"/>
    <w:rsid w:val="008650CF"/>
    <w:rsid w:val="00865305"/>
    <w:rsid w:val="00865321"/>
    <w:rsid w:val="00865546"/>
    <w:rsid w:val="00865747"/>
    <w:rsid w:val="0086575A"/>
    <w:rsid w:val="0086589B"/>
    <w:rsid w:val="008658E9"/>
    <w:rsid w:val="00865BD8"/>
    <w:rsid w:val="00865BE9"/>
    <w:rsid w:val="00865CAD"/>
    <w:rsid w:val="00865CDB"/>
    <w:rsid w:val="00865CDE"/>
    <w:rsid w:val="00865D8C"/>
    <w:rsid w:val="00865DC1"/>
    <w:rsid w:val="00865F1C"/>
    <w:rsid w:val="00866313"/>
    <w:rsid w:val="008664CF"/>
    <w:rsid w:val="008668D1"/>
    <w:rsid w:val="00866A7C"/>
    <w:rsid w:val="00866B45"/>
    <w:rsid w:val="00866D45"/>
    <w:rsid w:val="00866EBD"/>
    <w:rsid w:val="0086703D"/>
    <w:rsid w:val="00867264"/>
    <w:rsid w:val="008672AB"/>
    <w:rsid w:val="00867368"/>
    <w:rsid w:val="00867485"/>
    <w:rsid w:val="0086758B"/>
    <w:rsid w:val="00867A9A"/>
    <w:rsid w:val="00867E67"/>
    <w:rsid w:val="00867F71"/>
    <w:rsid w:val="0087003C"/>
    <w:rsid w:val="00870112"/>
    <w:rsid w:val="0087038B"/>
    <w:rsid w:val="00870C8E"/>
    <w:rsid w:val="00870E7E"/>
    <w:rsid w:val="00870F53"/>
    <w:rsid w:val="00870F5D"/>
    <w:rsid w:val="00870F6D"/>
    <w:rsid w:val="008710C3"/>
    <w:rsid w:val="008710FB"/>
    <w:rsid w:val="0087114F"/>
    <w:rsid w:val="0087120D"/>
    <w:rsid w:val="0087122A"/>
    <w:rsid w:val="0087152A"/>
    <w:rsid w:val="00871692"/>
    <w:rsid w:val="0087182D"/>
    <w:rsid w:val="0087198D"/>
    <w:rsid w:val="00871A36"/>
    <w:rsid w:val="00871AF3"/>
    <w:rsid w:val="00871B97"/>
    <w:rsid w:val="00872038"/>
    <w:rsid w:val="008720C6"/>
    <w:rsid w:val="00872315"/>
    <w:rsid w:val="008726CA"/>
    <w:rsid w:val="0087289B"/>
    <w:rsid w:val="008728AE"/>
    <w:rsid w:val="00872A6E"/>
    <w:rsid w:val="00872B24"/>
    <w:rsid w:val="00872E84"/>
    <w:rsid w:val="0087301F"/>
    <w:rsid w:val="0087302C"/>
    <w:rsid w:val="00873291"/>
    <w:rsid w:val="00873298"/>
    <w:rsid w:val="00873464"/>
    <w:rsid w:val="00873524"/>
    <w:rsid w:val="0087357C"/>
    <w:rsid w:val="00873592"/>
    <w:rsid w:val="0087365A"/>
    <w:rsid w:val="0087372A"/>
    <w:rsid w:val="0087375E"/>
    <w:rsid w:val="00873816"/>
    <w:rsid w:val="00873B69"/>
    <w:rsid w:val="00873C3A"/>
    <w:rsid w:val="00873DC0"/>
    <w:rsid w:val="008740CC"/>
    <w:rsid w:val="0087411F"/>
    <w:rsid w:val="00874318"/>
    <w:rsid w:val="008743C7"/>
    <w:rsid w:val="008743D9"/>
    <w:rsid w:val="00874682"/>
    <w:rsid w:val="00874754"/>
    <w:rsid w:val="00874836"/>
    <w:rsid w:val="00874915"/>
    <w:rsid w:val="00874EC0"/>
    <w:rsid w:val="00874F19"/>
    <w:rsid w:val="008750EB"/>
    <w:rsid w:val="008750F9"/>
    <w:rsid w:val="008752A3"/>
    <w:rsid w:val="00875341"/>
    <w:rsid w:val="0087536F"/>
    <w:rsid w:val="008754AF"/>
    <w:rsid w:val="00875581"/>
    <w:rsid w:val="00875706"/>
    <w:rsid w:val="00875A31"/>
    <w:rsid w:val="00875B88"/>
    <w:rsid w:val="00875D80"/>
    <w:rsid w:val="00875FF2"/>
    <w:rsid w:val="00876074"/>
    <w:rsid w:val="008760E2"/>
    <w:rsid w:val="00876341"/>
    <w:rsid w:val="008763E7"/>
    <w:rsid w:val="00876603"/>
    <w:rsid w:val="00876689"/>
    <w:rsid w:val="00876A29"/>
    <w:rsid w:val="00876A78"/>
    <w:rsid w:val="00876ABD"/>
    <w:rsid w:val="00876B12"/>
    <w:rsid w:val="00876B6A"/>
    <w:rsid w:val="00876CC1"/>
    <w:rsid w:val="00876DA5"/>
    <w:rsid w:val="00876DC6"/>
    <w:rsid w:val="00876E36"/>
    <w:rsid w:val="00876FAF"/>
    <w:rsid w:val="00876FC2"/>
    <w:rsid w:val="00877136"/>
    <w:rsid w:val="008771DF"/>
    <w:rsid w:val="00877383"/>
    <w:rsid w:val="008773CC"/>
    <w:rsid w:val="008775C5"/>
    <w:rsid w:val="008776E1"/>
    <w:rsid w:val="00877877"/>
    <w:rsid w:val="008778FA"/>
    <w:rsid w:val="00877CDA"/>
    <w:rsid w:val="00877DE1"/>
    <w:rsid w:val="00880458"/>
    <w:rsid w:val="00880497"/>
    <w:rsid w:val="00880500"/>
    <w:rsid w:val="00880519"/>
    <w:rsid w:val="008805ED"/>
    <w:rsid w:val="008806BA"/>
    <w:rsid w:val="008806C2"/>
    <w:rsid w:val="00880713"/>
    <w:rsid w:val="0088086C"/>
    <w:rsid w:val="00880936"/>
    <w:rsid w:val="00880A40"/>
    <w:rsid w:val="00880AC5"/>
    <w:rsid w:val="00880E9D"/>
    <w:rsid w:val="00880EB4"/>
    <w:rsid w:val="008810DB"/>
    <w:rsid w:val="00881444"/>
    <w:rsid w:val="008814FB"/>
    <w:rsid w:val="0088165D"/>
    <w:rsid w:val="008817AE"/>
    <w:rsid w:val="00881995"/>
    <w:rsid w:val="00881A3C"/>
    <w:rsid w:val="00881C81"/>
    <w:rsid w:val="00881D52"/>
    <w:rsid w:val="00881E38"/>
    <w:rsid w:val="00881F31"/>
    <w:rsid w:val="00881F5F"/>
    <w:rsid w:val="00881F7B"/>
    <w:rsid w:val="00881F8B"/>
    <w:rsid w:val="00881FD0"/>
    <w:rsid w:val="008822A4"/>
    <w:rsid w:val="00882365"/>
    <w:rsid w:val="008823BD"/>
    <w:rsid w:val="0088241B"/>
    <w:rsid w:val="00882647"/>
    <w:rsid w:val="008828D6"/>
    <w:rsid w:val="00882B13"/>
    <w:rsid w:val="00882C06"/>
    <w:rsid w:val="00882CC7"/>
    <w:rsid w:val="00882E33"/>
    <w:rsid w:val="00882F71"/>
    <w:rsid w:val="00882F7A"/>
    <w:rsid w:val="00883305"/>
    <w:rsid w:val="008836B7"/>
    <w:rsid w:val="008836FE"/>
    <w:rsid w:val="0088377D"/>
    <w:rsid w:val="008837ED"/>
    <w:rsid w:val="00883865"/>
    <w:rsid w:val="00883CC3"/>
    <w:rsid w:val="00883EBD"/>
    <w:rsid w:val="00883ED4"/>
    <w:rsid w:val="00884643"/>
    <w:rsid w:val="0088487E"/>
    <w:rsid w:val="00884B55"/>
    <w:rsid w:val="00884BD2"/>
    <w:rsid w:val="00885232"/>
    <w:rsid w:val="008854C8"/>
    <w:rsid w:val="008854D1"/>
    <w:rsid w:val="00885644"/>
    <w:rsid w:val="0088569F"/>
    <w:rsid w:val="008857E4"/>
    <w:rsid w:val="00885853"/>
    <w:rsid w:val="00885A3E"/>
    <w:rsid w:val="00885A72"/>
    <w:rsid w:val="00885C56"/>
    <w:rsid w:val="00885D07"/>
    <w:rsid w:val="00885E84"/>
    <w:rsid w:val="00885EB9"/>
    <w:rsid w:val="00885FF6"/>
    <w:rsid w:val="0088607F"/>
    <w:rsid w:val="008860C5"/>
    <w:rsid w:val="008863D5"/>
    <w:rsid w:val="00886472"/>
    <w:rsid w:val="008865A8"/>
    <w:rsid w:val="008866F4"/>
    <w:rsid w:val="00886975"/>
    <w:rsid w:val="00886993"/>
    <w:rsid w:val="008869F4"/>
    <w:rsid w:val="00886A83"/>
    <w:rsid w:val="00886D87"/>
    <w:rsid w:val="00886D8E"/>
    <w:rsid w:val="00886E93"/>
    <w:rsid w:val="00886EF7"/>
    <w:rsid w:val="008870FC"/>
    <w:rsid w:val="0088742D"/>
    <w:rsid w:val="008876BF"/>
    <w:rsid w:val="0088772A"/>
    <w:rsid w:val="008877A7"/>
    <w:rsid w:val="008878AB"/>
    <w:rsid w:val="00887945"/>
    <w:rsid w:val="00887B1A"/>
    <w:rsid w:val="00887DE2"/>
    <w:rsid w:val="00887F57"/>
    <w:rsid w:val="00887F96"/>
    <w:rsid w:val="00887FDB"/>
    <w:rsid w:val="0089003B"/>
    <w:rsid w:val="0089008D"/>
    <w:rsid w:val="0089013F"/>
    <w:rsid w:val="008902FB"/>
    <w:rsid w:val="0089035D"/>
    <w:rsid w:val="00890692"/>
    <w:rsid w:val="008906B6"/>
    <w:rsid w:val="008906FF"/>
    <w:rsid w:val="0089084B"/>
    <w:rsid w:val="00890994"/>
    <w:rsid w:val="008909A0"/>
    <w:rsid w:val="00890B0B"/>
    <w:rsid w:val="00890BB5"/>
    <w:rsid w:val="00890D11"/>
    <w:rsid w:val="00890D7F"/>
    <w:rsid w:val="0089100A"/>
    <w:rsid w:val="00891029"/>
    <w:rsid w:val="008910DC"/>
    <w:rsid w:val="008911CB"/>
    <w:rsid w:val="00891405"/>
    <w:rsid w:val="0089143E"/>
    <w:rsid w:val="008914A5"/>
    <w:rsid w:val="0089154E"/>
    <w:rsid w:val="008917B3"/>
    <w:rsid w:val="008918D2"/>
    <w:rsid w:val="0089199B"/>
    <w:rsid w:val="00891BDA"/>
    <w:rsid w:val="00891BEF"/>
    <w:rsid w:val="00891C21"/>
    <w:rsid w:val="00891E73"/>
    <w:rsid w:val="008920D5"/>
    <w:rsid w:val="008924B9"/>
    <w:rsid w:val="008924F4"/>
    <w:rsid w:val="008925F1"/>
    <w:rsid w:val="00892755"/>
    <w:rsid w:val="0089281D"/>
    <w:rsid w:val="0089291A"/>
    <w:rsid w:val="00892BC6"/>
    <w:rsid w:val="0089302A"/>
    <w:rsid w:val="0089309F"/>
    <w:rsid w:val="0089316B"/>
    <w:rsid w:val="00893202"/>
    <w:rsid w:val="00893391"/>
    <w:rsid w:val="00893394"/>
    <w:rsid w:val="008934F0"/>
    <w:rsid w:val="00893953"/>
    <w:rsid w:val="0089397F"/>
    <w:rsid w:val="00893BCB"/>
    <w:rsid w:val="00893C5E"/>
    <w:rsid w:val="00893D23"/>
    <w:rsid w:val="00893D26"/>
    <w:rsid w:val="00893EEF"/>
    <w:rsid w:val="00894391"/>
    <w:rsid w:val="00894737"/>
    <w:rsid w:val="00894948"/>
    <w:rsid w:val="00894AA0"/>
    <w:rsid w:val="00894AFA"/>
    <w:rsid w:val="0089511E"/>
    <w:rsid w:val="0089593A"/>
    <w:rsid w:val="008959C0"/>
    <w:rsid w:val="00895A4F"/>
    <w:rsid w:val="00895A7C"/>
    <w:rsid w:val="00895A9B"/>
    <w:rsid w:val="00895AA3"/>
    <w:rsid w:val="00895C3A"/>
    <w:rsid w:val="00895F48"/>
    <w:rsid w:val="00895F78"/>
    <w:rsid w:val="00896034"/>
    <w:rsid w:val="00896210"/>
    <w:rsid w:val="00896360"/>
    <w:rsid w:val="008964F2"/>
    <w:rsid w:val="00896575"/>
    <w:rsid w:val="0089671C"/>
    <w:rsid w:val="0089674F"/>
    <w:rsid w:val="008968C7"/>
    <w:rsid w:val="00896998"/>
    <w:rsid w:val="00896B1C"/>
    <w:rsid w:val="00896BC4"/>
    <w:rsid w:val="00896EA9"/>
    <w:rsid w:val="00896ECB"/>
    <w:rsid w:val="0089716B"/>
    <w:rsid w:val="008971A2"/>
    <w:rsid w:val="0089720F"/>
    <w:rsid w:val="008972A1"/>
    <w:rsid w:val="00897343"/>
    <w:rsid w:val="0089743E"/>
    <w:rsid w:val="00897571"/>
    <w:rsid w:val="008975A2"/>
    <w:rsid w:val="008976BA"/>
    <w:rsid w:val="00897780"/>
    <w:rsid w:val="00897A3D"/>
    <w:rsid w:val="00897A4A"/>
    <w:rsid w:val="00897B51"/>
    <w:rsid w:val="00897CA1"/>
    <w:rsid w:val="00897DC2"/>
    <w:rsid w:val="00897E93"/>
    <w:rsid w:val="00897F4E"/>
    <w:rsid w:val="00897F4F"/>
    <w:rsid w:val="008A0021"/>
    <w:rsid w:val="008A0063"/>
    <w:rsid w:val="008A029F"/>
    <w:rsid w:val="008A02D8"/>
    <w:rsid w:val="008A0638"/>
    <w:rsid w:val="008A0660"/>
    <w:rsid w:val="008A0692"/>
    <w:rsid w:val="008A0704"/>
    <w:rsid w:val="008A07E3"/>
    <w:rsid w:val="008A0898"/>
    <w:rsid w:val="008A08D3"/>
    <w:rsid w:val="008A0922"/>
    <w:rsid w:val="008A0B91"/>
    <w:rsid w:val="008A0BB5"/>
    <w:rsid w:val="008A0F1A"/>
    <w:rsid w:val="008A0F31"/>
    <w:rsid w:val="008A1059"/>
    <w:rsid w:val="008A11CA"/>
    <w:rsid w:val="008A122E"/>
    <w:rsid w:val="008A1272"/>
    <w:rsid w:val="008A12B3"/>
    <w:rsid w:val="008A14CB"/>
    <w:rsid w:val="008A1634"/>
    <w:rsid w:val="008A17B0"/>
    <w:rsid w:val="008A184F"/>
    <w:rsid w:val="008A18BC"/>
    <w:rsid w:val="008A1981"/>
    <w:rsid w:val="008A19F2"/>
    <w:rsid w:val="008A1AF3"/>
    <w:rsid w:val="008A1C87"/>
    <w:rsid w:val="008A1D24"/>
    <w:rsid w:val="008A1E86"/>
    <w:rsid w:val="008A2095"/>
    <w:rsid w:val="008A23A4"/>
    <w:rsid w:val="008A23E2"/>
    <w:rsid w:val="008A2463"/>
    <w:rsid w:val="008A2944"/>
    <w:rsid w:val="008A2C72"/>
    <w:rsid w:val="008A2D31"/>
    <w:rsid w:val="008A2EC8"/>
    <w:rsid w:val="008A3034"/>
    <w:rsid w:val="008A326A"/>
    <w:rsid w:val="008A3370"/>
    <w:rsid w:val="008A3425"/>
    <w:rsid w:val="008A3471"/>
    <w:rsid w:val="008A34A1"/>
    <w:rsid w:val="008A34B3"/>
    <w:rsid w:val="008A34E2"/>
    <w:rsid w:val="008A38D3"/>
    <w:rsid w:val="008A39FB"/>
    <w:rsid w:val="008A3ADD"/>
    <w:rsid w:val="008A40BC"/>
    <w:rsid w:val="008A40DD"/>
    <w:rsid w:val="008A41CC"/>
    <w:rsid w:val="008A41CD"/>
    <w:rsid w:val="008A428A"/>
    <w:rsid w:val="008A42AF"/>
    <w:rsid w:val="008A4471"/>
    <w:rsid w:val="008A44B5"/>
    <w:rsid w:val="008A45EC"/>
    <w:rsid w:val="008A4795"/>
    <w:rsid w:val="008A47CE"/>
    <w:rsid w:val="008A4880"/>
    <w:rsid w:val="008A48B0"/>
    <w:rsid w:val="008A4939"/>
    <w:rsid w:val="008A4986"/>
    <w:rsid w:val="008A498B"/>
    <w:rsid w:val="008A4D88"/>
    <w:rsid w:val="008A4DF2"/>
    <w:rsid w:val="008A4EB0"/>
    <w:rsid w:val="008A4FBE"/>
    <w:rsid w:val="008A5233"/>
    <w:rsid w:val="008A52B1"/>
    <w:rsid w:val="008A549B"/>
    <w:rsid w:val="008A5754"/>
    <w:rsid w:val="008A58A6"/>
    <w:rsid w:val="008A5B01"/>
    <w:rsid w:val="008A5E0E"/>
    <w:rsid w:val="008A5E99"/>
    <w:rsid w:val="008A5E9C"/>
    <w:rsid w:val="008A5EED"/>
    <w:rsid w:val="008A5F45"/>
    <w:rsid w:val="008A5F9C"/>
    <w:rsid w:val="008A5FA9"/>
    <w:rsid w:val="008A5FB5"/>
    <w:rsid w:val="008A60E9"/>
    <w:rsid w:val="008A6121"/>
    <w:rsid w:val="008A65DB"/>
    <w:rsid w:val="008A6B59"/>
    <w:rsid w:val="008A6EE3"/>
    <w:rsid w:val="008A6FEE"/>
    <w:rsid w:val="008A74AE"/>
    <w:rsid w:val="008A7568"/>
    <w:rsid w:val="008A7638"/>
    <w:rsid w:val="008A776B"/>
    <w:rsid w:val="008A7AC4"/>
    <w:rsid w:val="008A7B31"/>
    <w:rsid w:val="008A7CA9"/>
    <w:rsid w:val="008A7D41"/>
    <w:rsid w:val="008A7E66"/>
    <w:rsid w:val="008B019C"/>
    <w:rsid w:val="008B01EA"/>
    <w:rsid w:val="008B0499"/>
    <w:rsid w:val="008B0962"/>
    <w:rsid w:val="008B0C34"/>
    <w:rsid w:val="008B0C53"/>
    <w:rsid w:val="008B0C6C"/>
    <w:rsid w:val="008B0C9D"/>
    <w:rsid w:val="008B0DBA"/>
    <w:rsid w:val="008B0F73"/>
    <w:rsid w:val="008B1303"/>
    <w:rsid w:val="008B130B"/>
    <w:rsid w:val="008B143F"/>
    <w:rsid w:val="008B1626"/>
    <w:rsid w:val="008B1FFD"/>
    <w:rsid w:val="008B221A"/>
    <w:rsid w:val="008B2287"/>
    <w:rsid w:val="008B22BA"/>
    <w:rsid w:val="008B22BD"/>
    <w:rsid w:val="008B267F"/>
    <w:rsid w:val="008B26CD"/>
    <w:rsid w:val="008B29B3"/>
    <w:rsid w:val="008B2C31"/>
    <w:rsid w:val="008B2CBA"/>
    <w:rsid w:val="008B2E71"/>
    <w:rsid w:val="008B2FE4"/>
    <w:rsid w:val="008B3297"/>
    <w:rsid w:val="008B33A9"/>
    <w:rsid w:val="008B33AA"/>
    <w:rsid w:val="008B34A8"/>
    <w:rsid w:val="008B34D2"/>
    <w:rsid w:val="008B3779"/>
    <w:rsid w:val="008B3811"/>
    <w:rsid w:val="008B38E5"/>
    <w:rsid w:val="008B3A56"/>
    <w:rsid w:val="008B3C27"/>
    <w:rsid w:val="008B3D16"/>
    <w:rsid w:val="008B3E1F"/>
    <w:rsid w:val="008B3E86"/>
    <w:rsid w:val="008B409C"/>
    <w:rsid w:val="008B4108"/>
    <w:rsid w:val="008B4183"/>
    <w:rsid w:val="008B4413"/>
    <w:rsid w:val="008B45E3"/>
    <w:rsid w:val="008B4705"/>
    <w:rsid w:val="008B48CE"/>
    <w:rsid w:val="008B4C57"/>
    <w:rsid w:val="008B4D4F"/>
    <w:rsid w:val="008B4EA4"/>
    <w:rsid w:val="008B4F36"/>
    <w:rsid w:val="008B4F45"/>
    <w:rsid w:val="008B4F70"/>
    <w:rsid w:val="008B53A2"/>
    <w:rsid w:val="008B53BD"/>
    <w:rsid w:val="008B5730"/>
    <w:rsid w:val="008B59B7"/>
    <w:rsid w:val="008B5B32"/>
    <w:rsid w:val="008B5CB1"/>
    <w:rsid w:val="008B5D36"/>
    <w:rsid w:val="008B5D45"/>
    <w:rsid w:val="008B6067"/>
    <w:rsid w:val="008B625B"/>
    <w:rsid w:val="008B6492"/>
    <w:rsid w:val="008B653D"/>
    <w:rsid w:val="008B65AF"/>
    <w:rsid w:val="008B6604"/>
    <w:rsid w:val="008B6A55"/>
    <w:rsid w:val="008B6AA7"/>
    <w:rsid w:val="008B6B15"/>
    <w:rsid w:val="008B6C3D"/>
    <w:rsid w:val="008B71AB"/>
    <w:rsid w:val="008B7287"/>
    <w:rsid w:val="008B736C"/>
    <w:rsid w:val="008B73A2"/>
    <w:rsid w:val="008B74C5"/>
    <w:rsid w:val="008B7709"/>
    <w:rsid w:val="008B77E3"/>
    <w:rsid w:val="008B7958"/>
    <w:rsid w:val="008B7A60"/>
    <w:rsid w:val="008B7C3E"/>
    <w:rsid w:val="008B7C92"/>
    <w:rsid w:val="008C0093"/>
    <w:rsid w:val="008C00D2"/>
    <w:rsid w:val="008C00EC"/>
    <w:rsid w:val="008C0283"/>
    <w:rsid w:val="008C038A"/>
    <w:rsid w:val="008C04BE"/>
    <w:rsid w:val="008C04F5"/>
    <w:rsid w:val="008C055D"/>
    <w:rsid w:val="008C0685"/>
    <w:rsid w:val="008C0787"/>
    <w:rsid w:val="008C078A"/>
    <w:rsid w:val="008C0A11"/>
    <w:rsid w:val="008C0A3B"/>
    <w:rsid w:val="008C0D88"/>
    <w:rsid w:val="008C0E08"/>
    <w:rsid w:val="008C0EF4"/>
    <w:rsid w:val="008C0F20"/>
    <w:rsid w:val="008C0FEB"/>
    <w:rsid w:val="008C1212"/>
    <w:rsid w:val="008C16E0"/>
    <w:rsid w:val="008C16E5"/>
    <w:rsid w:val="008C185E"/>
    <w:rsid w:val="008C19FA"/>
    <w:rsid w:val="008C1C1C"/>
    <w:rsid w:val="008C1C59"/>
    <w:rsid w:val="008C1F0B"/>
    <w:rsid w:val="008C23CC"/>
    <w:rsid w:val="008C24C2"/>
    <w:rsid w:val="008C24F6"/>
    <w:rsid w:val="008C2669"/>
    <w:rsid w:val="008C26E3"/>
    <w:rsid w:val="008C2837"/>
    <w:rsid w:val="008C2947"/>
    <w:rsid w:val="008C2989"/>
    <w:rsid w:val="008C29A3"/>
    <w:rsid w:val="008C2B82"/>
    <w:rsid w:val="008C2C35"/>
    <w:rsid w:val="008C2D24"/>
    <w:rsid w:val="008C2D3A"/>
    <w:rsid w:val="008C2DDB"/>
    <w:rsid w:val="008C2F27"/>
    <w:rsid w:val="008C3128"/>
    <w:rsid w:val="008C3349"/>
    <w:rsid w:val="008C341C"/>
    <w:rsid w:val="008C3447"/>
    <w:rsid w:val="008C34E0"/>
    <w:rsid w:val="008C3552"/>
    <w:rsid w:val="008C3B57"/>
    <w:rsid w:val="008C3BA3"/>
    <w:rsid w:val="008C3D0F"/>
    <w:rsid w:val="008C3E46"/>
    <w:rsid w:val="008C3FAC"/>
    <w:rsid w:val="008C3FE4"/>
    <w:rsid w:val="008C3FF3"/>
    <w:rsid w:val="008C3FF8"/>
    <w:rsid w:val="008C402C"/>
    <w:rsid w:val="008C42D1"/>
    <w:rsid w:val="008C4372"/>
    <w:rsid w:val="008C4447"/>
    <w:rsid w:val="008C45B4"/>
    <w:rsid w:val="008C460D"/>
    <w:rsid w:val="008C4702"/>
    <w:rsid w:val="008C492A"/>
    <w:rsid w:val="008C4F34"/>
    <w:rsid w:val="008C50C4"/>
    <w:rsid w:val="008C52C0"/>
    <w:rsid w:val="008C52CD"/>
    <w:rsid w:val="008C538C"/>
    <w:rsid w:val="008C54C6"/>
    <w:rsid w:val="008C576D"/>
    <w:rsid w:val="008C583A"/>
    <w:rsid w:val="008C585E"/>
    <w:rsid w:val="008C59A3"/>
    <w:rsid w:val="008C59C7"/>
    <w:rsid w:val="008C59D2"/>
    <w:rsid w:val="008C59D5"/>
    <w:rsid w:val="008C5A17"/>
    <w:rsid w:val="008C5BA7"/>
    <w:rsid w:val="008C5CA0"/>
    <w:rsid w:val="008C5F21"/>
    <w:rsid w:val="008C5F60"/>
    <w:rsid w:val="008C6144"/>
    <w:rsid w:val="008C6219"/>
    <w:rsid w:val="008C623D"/>
    <w:rsid w:val="008C6305"/>
    <w:rsid w:val="008C6339"/>
    <w:rsid w:val="008C63D8"/>
    <w:rsid w:val="008C6693"/>
    <w:rsid w:val="008C673F"/>
    <w:rsid w:val="008C67E8"/>
    <w:rsid w:val="008C6949"/>
    <w:rsid w:val="008C69C5"/>
    <w:rsid w:val="008C69CA"/>
    <w:rsid w:val="008C6B48"/>
    <w:rsid w:val="008C6BEC"/>
    <w:rsid w:val="008C6CEB"/>
    <w:rsid w:val="008C6CEF"/>
    <w:rsid w:val="008C6ED1"/>
    <w:rsid w:val="008C6F6C"/>
    <w:rsid w:val="008C7116"/>
    <w:rsid w:val="008C737F"/>
    <w:rsid w:val="008C7580"/>
    <w:rsid w:val="008C7602"/>
    <w:rsid w:val="008C76F7"/>
    <w:rsid w:val="008C7940"/>
    <w:rsid w:val="008C7D1E"/>
    <w:rsid w:val="008C7D95"/>
    <w:rsid w:val="008C7DDF"/>
    <w:rsid w:val="008C7FB8"/>
    <w:rsid w:val="008D01CF"/>
    <w:rsid w:val="008D0222"/>
    <w:rsid w:val="008D040C"/>
    <w:rsid w:val="008D04E8"/>
    <w:rsid w:val="008D053D"/>
    <w:rsid w:val="008D0694"/>
    <w:rsid w:val="008D0766"/>
    <w:rsid w:val="008D09DD"/>
    <w:rsid w:val="008D0C08"/>
    <w:rsid w:val="008D0E47"/>
    <w:rsid w:val="008D0F64"/>
    <w:rsid w:val="008D0FFB"/>
    <w:rsid w:val="008D10CA"/>
    <w:rsid w:val="008D1122"/>
    <w:rsid w:val="008D116F"/>
    <w:rsid w:val="008D1355"/>
    <w:rsid w:val="008D1392"/>
    <w:rsid w:val="008D1784"/>
    <w:rsid w:val="008D17BB"/>
    <w:rsid w:val="008D19F5"/>
    <w:rsid w:val="008D1D0B"/>
    <w:rsid w:val="008D1DFF"/>
    <w:rsid w:val="008D1EAB"/>
    <w:rsid w:val="008D1F10"/>
    <w:rsid w:val="008D23BF"/>
    <w:rsid w:val="008D2569"/>
    <w:rsid w:val="008D2584"/>
    <w:rsid w:val="008D269A"/>
    <w:rsid w:val="008D26A4"/>
    <w:rsid w:val="008D2DF4"/>
    <w:rsid w:val="008D2F5A"/>
    <w:rsid w:val="008D3168"/>
    <w:rsid w:val="008D32C5"/>
    <w:rsid w:val="008D32E3"/>
    <w:rsid w:val="008D331C"/>
    <w:rsid w:val="008D3632"/>
    <w:rsid w:val="008D3659"/>
    <w:rsid w:val="008D3901"/>
    <w:rsid w:val="008D3EDB"/>
    <w:rsid w:val="008D4031"/>
    <w:rsid w:val="008D424E"/>
    <w:rsid w:val="008D475B"/>
    <w:rsid w:val="008D4790"/>
    <w:rsid w:val="008D4833"/>
    <w:rsid w:val="008D48A7"/>
    <w:rsid w:val="008D4A8F"/>
    <w:rsid w:val="008D4B4B"/>
    <w:rsid w:val="008D4C35"/>
    <w:rsid w:val="008D4E76"/>
    <w:rsid w:val="008D4F6B"/>
    <w:rsid w:val="008D52A5"/>
    <w:rsid w:val="008D547D"/>
    <w:rsid w:val="008D549B"/>
    <w:rsid w:val="008D551B"/>
    <w:rsid w:val="008D555B"/>
    <w:rsid w:val="008D55D3"/>
    <w:rsid w:val="008D56B8"/>
    <w:rsid w:val="008D5703"/>
    <w:rsid w:val="008D5789"/>
    <w:rsid w:val="008D58FA"/>
    <w:rsid w:val="008D5963"/>
    <w:rsid w:val="008D5ABA"/>
    <w:rsid w:val="008D5D1A"/>
    <w:rsid w:val="008D5DCA"/>
    <w:rsid w:val="008D5EB5"/>
    <w:rsid w:val="008D5F97"/>
    <w:rsid w:val="008D6337"/>
    <w:rsid w:val="008D633A"/>
    <w:rsid w:val="008D669B"/>
    <w:rsid w:val="008D66E5"/>
    <w:rsid w:val="008D691E"/>
    <w:rsid w:val="008D6B1B"/>
    <w:rsid w:val="008D6BEE"/>
    <w:rsid w:val="008D6D5A"/>
    <w:rsid w:val="008D7019"/>
    <w:rsid w:val="008D750E"/>
    <w:rsid w:val="008D78FF"/>
    <w:rsid w:val="008D7996"/>
    <w:rsid w:val="008D7BF5"/>
    <w:rsid w:val="008D7D19"/>
    <w:rsid w:val="008D7E4E"/>
    <w:rsid w:val="008E0124"/>
    <w:rsid w:val="008E0355"/>
    <w:rsid w:val="008E04E0"/>
    <w:rsid w:val="008E05A4"/>
    <w:rsid w:val="008E063A"/>
    <w:rsid w:val="008E072F"/>
    <w:rsid w:val="008E07DC"/>
    <w:rsid w:val="008E0886"/>
    <w:rsid w:val="008E1072"/>
    <w:rsid w:val="008E10EE"/>
    <w:rsid w:val="008E1139"/>
    <w:rsid w:val="008E1180"/>
    <w:rsid w:val="008E12BD"/>
    <w:rsid w:val="008E13DB"/>
    <w:rsid w:val="008E1509"/>
    <w:rsid w:val="008E16F2"/>
    <w:rsid w:val="008E1A09"/>
    <w:rsid w:val="008E1A6C"/>
    <w:rsid w:val="008E1C3B"/>
    <w:rsid w:val="008E1CB4"/>
    <w:rsid w:val="008E1CCB"/>
    <w:rsid w:val="008E1ED7"/>
    <w:rsid w:val="008E20DB"/>
    <w:rsid w:val="008E239E"/>
    <w:rsid w:val="008E23C5"/>
    <w:rsid w:val="008E2646"/>
    <w:rsid w:val="008E2902"/>
    <w:rsid w:val="008E2A51"/>
    <w:rsid w:val="008E2F4A"/>
    <w:rsid w:val="008E3071"/>
    <w:rsid w:val="008E31E2"/>
    <w:rsid w:val="008E326C"/>
    <w:rsid w:val="008E373A"/>
    <w:rsid w:val="008E3AC6"/>
    <w:rsid w:val="008E3C9C"/>
    <w:rsid w:val="008E3DB2"/>
    <w:rsid w:val="008E3E5F"/>
    <w:rsid w:val="008E4431"/>
    <w:rsid w:val="008E449D"/>
    <w:rsid w:val="008E45D7"/>
    <w:rsid w:val="008E480A"/>
    <w:rsid w:val="008E4889"/>
    <w:rsid w:val="008E48F5"/>
    <w:rsid w:val="008E4A0C"/>
    <w:rsid w:val="008E4C18"/>
    <w:rsid w:val="008E4D1E"/>
    <w:rsid w:val="008E4D51"/>
    <w:rsid w:val="008E4EAA"/>
    <w:rsid w:val="008E4FF9"/>
    <w:rsid w:val="008E5035"/>
    <w:rsid w:val="008E51A4"/>
    <w:rsid w:val="008E5340"/>
    <w:rsid w:val="008E5506"/>
    <w:rsid w:val="008E5593"/>
    <w:rsid w:val="008E55C5"/>
    <w:rsid w:val="008E5CD7"/>
    <w:rsid w:val="008E5D3A"/>
    <w:rsid w:val="008E5EB0"/>
    <w:rsid w:val="008E63F3"/>
    <w:rsid w:val="008E64B5"/>
    <w:rsid w:val="008E653B"/>
    <w:rsid w:val="008E6558"/>
    <w:rsid w:val="008E668D"/>
    <w:rsid w:val="008E686E"/>
    <w:rsid w:val="008E69F8"/>
    <w:rsid w:val="008E6AED"/>
    <w:rsid w:val="008E6BBF"/>
    <w:rsid w:val="008E6D0E"/>
    <w:rsid w:val="008E6E0C"/>
    <w:rsid w:val="008E6E3F"/>
    <w:rsid w:val="008E6E4D"/>
    <w:rsid w:val="008E7273"/>
    <w:rsid w:val="008E73DE"/>
    <w:rsid w:val="008E769F"/>
    <w:rsid w:val="008E7728"/>
    <w:rsid w:val="008E7763"/>
    <w:rsid w:val="008E7A6A"/>
    <w:rsid w:val="008E7A82"/>
    <w:rsid w:val="008E7CC7"/>
    <w:rsid w:val="008E7DBD"/>
    <w:rsid w:val="008F007E"/>
    <w:rsid w:val="008F01A8"/>
    <w:rsid w:val="008F01B8"/>
    <w:rsid w:val="008F0294"/>
    <w:rsid w:val="008F02EE"/>
    <w:rsid w:val="008F056C"/>
    <w:rsid w:val="008F076A"/>
    <w:rsid w:val="008F07FC"/>
    <w:rsid w:val="008F0871"/>
    <w:rsid w:val="008F0A85"/>
    <w:rsid w:val="008F0AD8"/>
    <w:rsid w:val="008F0ADC"/>
    <w:rsid w:val="008F0C59"/>
    <w:rsid w:val="008F0CD7"/>
    <w:rsid w:val="008F0EB0"/>
    <w:rsid w:val="008F0FFD"/>
    <w:rsid w:val="008F1055"/>
    <w:rsid w:val="008F1120"/>
    <w:rsid w:val="008F1176"/>
    <w:rsid w:val="008F1312"/>
    <w:rsid w:val="008F135B"/>
    <w:rsid w:val="008F14E8"/>
    <w:rsid w:val="008F156B"/>
    <w:rsid w:val="008F15A2"/>
    <w:rsid w:val="008F17F9"/>
    <w:rsid w:val="008F1A41"/>
    <w:rsid w:val="008F1AE6"/>
    <w:rsid w:val="008F1B67"/>
    <w:rsid w:val="008F1E48"/>
    <w:rsid w:val="008F20CB"/>
    <w:rsid w:val="008F220A"/>
    <w:rsid w:val="008F235C"/>
    <w:rsid w:val="008F2389"/>
    <w:rsid w:val="008F23FF"/>
    <w:rsid w:val="008F242E"/>
    <w:rsid w:val="008F2468"/>
    <w:rsid w:val="008F27B8"/>
    <w:rsid w:val="008F2948"/>
    <w:rsid w:val="008F2B86"/>
    <w:rsid w:val="008F2C70"/>
    <w:rsid w:val="008F3519"/>
    <w:rsid w:val="008F39F4"/>
    <w:rsid w:val="008F3A56"/>
    <w:rsid w:val="008F3BE9"/>
    <w:rsid w:val="008F3C1D"/>
    <w:rsid w:val="008F3C6D"/>
    <w:rsid w:val="008F3E5D"/>
    <w:rsid w:val="008F3F73"/>
    <w:rsid w:val="008F42EC"/>
    <w:rsid w:val="008F4495"/>
    <w:rsid w:val="008F4669"/>
    <w:rsid w:val="008F4930"/>
    <w:rsid w:val="008F4A7E"/>
    <w:rsid w:val="008F4B56"/>
    <w:rsid w:val="008F4CC0"/>
    <w:rsid w:val="008F5299"/>
    <w:rsid w:val="008F5319"/>
    <w:rsid w:val="008F54FB"/>
    <w:rsid w:val="008F566B"/>
    <w:rsid w:val="008F5888"/>
    <w:rsid w:val="008F59A8"/>
    <w:rsid w:val="008F59B4"/>
    <w:rsid w:val="008F5ADD"/>
    <w:rsid w:val="008F5B7D"/>
    <w:rsid w:val="008F5C53"/>
    <w:rsid w:val="008F5C70"/>
    <w:rsid w:val="008F5D46"/>
    <w:rsid w:val="008F5E79"/>
    <w:rsid w:val="008F6331"/>
    <w:rsid w:val="008F6560"/>
    <w:rsid w:val="008F6594"/>
    <w:rsid w:val="008F669C"/>
    <w:rsid w:val="008F66B1"/>
    <w:rsid w:val="008F66B6"/>
    <w:rsid w:val="008F6702"/>
    <w:rsid w:val="008F68D9"/>
    <w:rsid w:val="008F69C9"/>
    <w:rsid w:val="008F6E8D"/>
    <w:rsid w:val="008F703E"/>
    <w:rsid w:val="008F71E8"/>
    <w:rsid w:val="008F7AE6"/>
    <w:rsid w:val="008F7BE0"/>
    <w:rsid w:val="008F7D47"/>
    <w:rsid w:val="008F7DA4"/>
    <w:rsid w:val="008F7E42"/>
    <w:rsid w:val="00900174"/>
    <w:rsid w:val="009003BE"/>
    <w:rsid w:val="0090071B"/>
    <w:rsid w:val="00900855"/>
    <w:rsid w:val="00900D70"/>
    <w:rsid w:val="00900D9B"/>
    <w:rsid w:val="00900E1F"/>
    <w:rsid w:val="00900F48"/>
    <w:rsid w:val="0090109B"/>
    <w:rsid w:val="009010A9"/>
    <w:rsid w:val="009010C7"/>
    <w:rsid w:val="009010DA"/>
    <w:rsid w:val="0090123D"/>
    <w:rsid w:val="0090128B"/>
    <w:rsid w:val="0090136F"/>
    <w:rsid w:val="0090198D"/>
    <w:rsid w:val="00901A3F"/>
    <w:rsid w:val="00901C26"/>
    <w:rsid w:val="00901CF1"/>
    <w:rsid w:val="00901F46"/>
    <w:rsid w:val="009021B9"/>
    <w:rsid w:val="00902250"/>
    <w:rsid w:val="009022AB"/>
    <w:rsid w:val="009023B3"/>
    <w:rsid w:val="00902517"/>
    <w:rsid w:val="009026E6"/>
    <w:rsid w:val="00902869"/>
    <w:rsid w:val="00902ABA"/>
    <w:rsid w:val="00902C1B"/>
    <w:rsid w:val="00902FA5"/>
    <w:rsid w:val="0090301E"/>
    <w:rsid w:val="00903087"/>
    <w:rsid w:val="009034B1"/>
    <w:rsid w:val="00903605"/>
    <w:rsid w:val="00903635"/>
    <w:rsid w:val="00903937"/>
    <w:rsid w:val="00903A37"/>
    <w:rsid w:val="00903A55"/>
    <w:rsid w:val="00903D56"/>
    <w:rsid w:val="00903DF7"/>
    <w:rsid w:val="00903ECD"/>
    <w:rsid w:val="00903F33"/>
    <w:rsid w:val="00903F48"/>
    <w:rsid w:val="00904086"/>
    <w:rsid w:val="00904317"/>
    <w:rsid w:val="0090440F"/>
    <w:rsid w:val="009046F7"/>
    <w:rsid w:val="00904789"/>
    <w:rsid w:val="0090481B"/>
    <w:rsid w:val="0090485F"/>
    <w:rsid w:val="00904B64"/>
    <w:rsid w:val="00904E8B"/>
    <w:rsid w:val="00904ECE"/>
    <w:rsid w:val="0090529F"/>
    <w:rsid w:val="00905B63"/>
    <w:rsid w:val="00905E1C"/>
    <w:rsid w:val="0090603A"/>
    <w:rsid w:val="0090607D"/>
    <w:rsid w:val="00906165"/>
    <w:rsid w:val="00906271"/>
    <w:rsid w:val="00906285"/>
    <w:rsid w:val="00906471"/>
    <w:rsid w:val="0090649E"/>
    <w:rsid w:val="009066A5"/>
    <w:rsid w:val="009066F4"/>
    <w:rsid w:val="009067BC"/>
    <w:rsid w:val="0090698B"/>
    <w:rsid w:val="00906A2F"/>
    <w:rsid w:val="00906AFB"/>
    <w:rsid w:val="00906B3A"/>
    <w:rsid w:val="00906C2F"/>
    <w:rsid w:val="00906E6C"/>
    <w:rsid w:val="00906F5E"/>
    <w:rsid w:val="00907268"/>
    <w:rsid w:val="0090734D"/>
    <w:rsid w:val="00907460"/>
    <w:rsid w:val="00907795"/>
    <w:rsid w:val="00907899"/>
    <w:rsid w:val="00907B74"/>
    <w:rsid w:val="00907BDC"/>
    <w:rsid w:val="00907FE0"/>
    <w:rsid w:val="00910020"/>
    <w:rsid w:val="0091003C"/>
    <w:rsid w:val="00910214"/>
    <w:rsid w:val="009102B2"/>
    <w:rsid w:val="00910510"/>
    <w:rsid w:val="009106C9"/>
    <w:rsid w:val="00910A84"/>
    <w:rsid w:val="00910AEE"/>
    <w:rsid w:val="00910CE1"/>
    <w:rsid w:val="00910CFA"/>
    <w:rsid w:val="00911013"/>
    <w:rsid w:val="009110A4"/>
    <w:rsid w:val="009110BC"/>
    <w:rsid w:val="009110C3"/>
    <w:rsid w:val="009112A7"/>
    <w:rsid w:val="0091148E"/>
    <w:rsid w:val="0091175C"/>
    <w:rsid w:val="00911837"/>
    <w:rsid w:val="009119BA"/>
    <w:rsid w:val="00911A24"/>
    <w:rsid w:val="00911AF3"/>
    <w:rsid w:val="00911C8E"/>
    <w:rsid w:val="00911CF2"/>
    <w:rsid w:val="00911D17"/>
    <w:rsid w:val="00911D29"/>
    <w:rsid w:val="00911D30"/>
    <w:rsid w:val="00911EB7"/>
    <w:rsid w:val="0091218F"/>
    <w:rsid w:val="0091233D"/>
    <w:rsid w:val="0091238F"/>
    <w:rsid w:val="009124ED"/>
    <w:rsid w:val="00912868"/>
    <w:rsid w:val="0091295C"/>
    <w:rsid w:val="00912FC1"/>
    <w:rsid w:val="009130A9"/>
    <w:rsid w:val="009131E6"/>
    <w:rsid w:val="00913234"/>
    <w:rsid w:val="00913281"/>
    <w:rsid w:val="009132AD"/>
    <w:rsid w:val="009137F8"/>
    <w:rsid w:val="00913A80"/>
    <w:rsid w:val="00913C0C"/>
    <w:rsid w:val="00913C4E"/>
    <w:rsid w:val="00913CAB"/>
    <w:rsid w:val="009140B5"/>
    <w:rsid w:val="009146E4"/>
    <w:rsid w:val="00914837"/>
    <w:rsid w:val="009148F6"/>
    <w:rsid w:val="00914CF2"/>
    <w:rsid w:val="00914D2D"/>
    <w:rsid w:val="00914DA7"/>
    <w:rsid w:val="00914F23"/>
    <w:rsid w:val="00914FDD"/>
    <w:rsid w:val="00915031"/>
    <w:rsid w:val="00915042"/>
    <w:rsid w:val="009156A1"/>
    <w:rsid w:val="00915834"/>
    <w:rsid w:val="00915993"/>
    <w:rsid w:val="00915AF1"/>
    <w:rsid w:val="00915BA7"/>
    <w:rsid w:val="00915DAE"/>
    <w:rsid w:val="00915F63"/>
    <w:rsid w:val="009163D0"/>
    <w:rsid w:val="00916564"/>
    <w:rsid w:val="009165C5"/>
    <w:rsid w:val="0091667A"/>
    <w:rsid w:val="00916808"/>
    <w:rsid w:val="00916A3C"/>
    <w:rsid w:val="00916AFA"/>
    <w:rsid w:val="00916CC2"/>
    <w:rsid w:val="009171AA"/>
    <w:rsid w:val="009171B6"/>
    <w:rsid w:val="0091737A"/>
    <w:rsid w:val="0091738B"/>
    <w:rsid w:val="009173B4"/>
    <w:rsid w:val="009173E9"/>
    <w:rsid w:val="00917433"/>
    <w:rsid w:val="0091773D"/>
    <w:rsid w:val="009177E9"/>
    <w:rsid w:val="0091791C"/>
    <w:rsid w:val="00917920"/>
    <w:rsid w:val="00917C1D"/>
    <w:rsid w:val="00917CA4"/>
    <w:rsid w:val="00917FD7"/>
    <w:rsid w:val="009200BB"/>
    <w:rsid w:val="00920216"/>
    <w:rsid w:val="009203BD"/>
    <w:rsid w:val="00920497"/>
    <w:rsid w:val="0092076E"/>
    <w:rsid w:val="00920982"/>
    <w:rsid w:val="00920A0B"/>
    <w:rsid w:val="00920A32"/>
    <w:rsid w:val="00920C4B"/>
    <w:rsid w:val="00920CB0"/>
    <w:rsid w:val="00920EB0"/>
    <w:rsid w:val="00920ED6"/>
    <w:rsid w:val="0092105C"/>
    <w:rsid w:val="00921095"/>
    <w:rsid w:val="009211BF"/>
    <w:rsid w:val="0092124F"/>
    <w:rsid w:val="0092165D"/>
    <w:rsid w:val="00921780"/>
    <w:rsid w:val="00921799"/>
    <w:rsid w:val="00921AAE"/>
    <w:rsid w:val="00921B10"/>
    <w:rsid w:val="00921C5D"/>
    <w:rsid w:val="00921E05"/>
    <w:rsid w:val="00921E64"/>
    <w:rsid w:val="009220F4"/>
    <w:rsid w:val="009221AD"/>
    <w:rsid w:val="0092221E"/>
    <w:rsid w:val="00922386"/>
    <w:rsid w:val="0092249B"/>
    <w:rsid w:val="00922538"/>
    <w:rsid w:val="0092293B"/>
    <w:rsid w:val="00922B8B"/>
    <w:rsid w:val="00922C6D"/>
    <w:rsid w:val="00923023"/>
    <w:rsid w:val="0092304A"/>
    <w:rsid w:val="009231B5"/>
    <w:rsid w:val="009231C7"/>
    <w:rsid w:val="009231F6"/>
    <w:rsid w:val="009231FC"/>
    <w:rsid w:val="00923366"/>
    <w:rsid w:val="00923377"/>
    <w:rsid w:val="00923602"/>
    <w:rsid w:val="00923853"/>
    <w:rsid w:val="00923D58"/>
    <w:rsid w:val="00923DD2"/>
    <w:rsid w:val="009240B7"/>
    <w:rsid w:val="009241D9"/>
    <w:rsid w:val="0092430F"/>
    <w:rsid w:val="009243D9"/>
    <w:rsid w:val="00924958"/>
    <w:rsid w:val="00924AEE"/>
    <w:rsid w:val="00924B38"/>
    <w:rsid w:val="00924B62"/>
    <w:rsid w:val="00924BB8"/>
    <w:rsid w:val="00924C5C"/>
    <w:rsid w:val="00924C73"/>
    <w:rsid w:val="00924CD5"/>
    <w:rsid w:val="00924F32"/>
    <w:rsid w:val="0092512B"/>
    <w:rsid w:val="0092526C"/>
    <w:rsid w:val="00925377"/>
    <w:rsid w:val="009253CF"/>
    <w:rsid w:val="0092576A"/>
    <w:rsid w:val="009257C1"/>
    <w:rsid w:val="009258E5"/>
    <w:rsid w:val="00925B42"/>
    <w:rsid w:val="00925B49"/>
    <w:rsid w:val="0092600B"/>
    <w:rsid w:val="009261AE"/>
    <w:rsid w:val="00926244"/>
    <w:rsid w:val="009262E1"/>
    <w:rsid w:val="00926463"/>
    <w:rsid w:val="009265C7"/>
    <w:rsid w:val="00926866"/>
    <w:rsid w:val="00926BED"/>
    <w:rsid w:val="00926D27"/>
    <w:rsid w:val="00926DEB"/>
    <w:rsid w:val="00926E17"/>
    <w:rsid w:val="00926E62"/>
    <w:rsid w:val="00926ED5"/>
    <w:rsid w:val="00926FC4"/>
    <w:rsid w:val="0092701F"/>
    <w:rsid w:val="0092724F"/>
    <w:rsid w:val="00927529"/>
    <w:rsid w:val="009275AF"/>
    <w:rsid w:val="00927AB9"/>
    <w:rsid w:val="00927C57"/>
    <w:rsid w:val="00927EA5"/>
    <w:rsid w:val="00927F21"/>
    <w:rsid w:val="00927FDA"/>
    <w:rsid w:val="009300B3"/>
    <w:rsid w:val="0093015A"/>
    <w:rsid w:val="0093024F"/>
    <w:rsid w:val="0093034D"/>
    <w:rsid w:val="0093039A"/>
    <w:rsid w:val="00930434"/>
    <w:rsid w:val="009306EA"/>
    <w:rsid w:val="00930884"/>
    <w:rsid w:val="00930940"/>
    <w:rsid w:val="00930AB7"/>
    <w:rsid w:val="00930C2E"/>
    <w:rsid w:val="00930CD1"/>
    <w:rsid w:val="00930D09"/>
    <w:rsid w:val="00930DF7"/>
    <w:rsid w:val="00930FBD"/>
    <w:rsid w:val="00930FF0"/>
    <w:rsid w:val="00931380"/>
    <w:rsid w:val="009314C0"/>
    <w:rsid w:val="009314C6"/>
    <w:rsid w:val="0093154A"/>
    <w:rsid w:val="0093156C"/>
    <w:rsid w:val="00931925"/>
    <w:rsid w:val="00931C37"/>
    <w:rsid w:val="00931E44"/>
    <w:rsid w:val="00931E7E"/>
    <w:rsid w:val="00931EDA"/>
    <w:rsid w:val="00931EF1"/>
    <w:rsid w:val="00931F8C"/>
    <w:rsid w:val="00932208"/>
    <w:rsid w:val="00932376"/>
    <w:rsid w:val="0093238C"/>
    <w:rsid w:val="009324B6"/>
    <w:rsid w:val="00932675"/>
    <w:rsid w:val="00932796"/>
    <w:rsid w:val="0093288B"/>
    <w:rsid w:val="009328C0"/>
    <w:rsid w:val="009328C9"/>
    <w:rsid w:val="00932A48"/>
    <w:rsid w:val="00932B00"/>
    <w:rsid w:val="00932B6F"/>
    <w:rsid w:val="00932D1D"/>
    <w:rsid w:val="00932EF5"/>
    <w:rsid w:val="00932F15"/>
    <w:rsid w:val="00932F76"/>
    <w:rsid w:val="0093301F"/>
    <w:rsid w:val="0093308A"/>
    <w:rsid w:val="009331CD"/>
    <w:rsid w:val="009331CF"/>
    <w:rsid w:val="009331FD"/>
    <w:rsid w:val="0093326C"/>
    <w:rsid w:val="009334AC"/>
    <w:rsid w:val="0093364F"/>
    <w:rsid w:val="00933711"/>
    <w:rsid w:val="009339A5"/>
    <w:rsid w:val="00933A06"/>
    <w:rsid w:val="00933C22"/>
    <w:rsid w:val="00933C6D"/>
    <w:rsid w:val="00933CA2"/>
    <w:rsid w:val="00933F03"/>
    <w:rsid w:val="00934060"/>
    <w:rsid w:val="009340C8"/>
    <w:rsid w:val="009340F4"/>
    <w:rsid w:val="00934227"/>
    <w:rsid w:val="0093432B"/>
    <w:rsid w:val="00934349"/>
    <w:rsid w:val="00934564"/>
    <w:rsid w:val="00934EB7"/>
    <w:rsid w:val="009350DB"/>
    <w:rsid w:val="00935248"/>
    <w:rsid w:val="00935301"/>
    <w:rsid w:val="00935630"/>
    <w:rsid w:val="00935734"/>
    <w:rsid w:val="00935819"/>
    <w:rsid w:val="009358E9"/>
    <w:rsid w:val="00935A58"/>
    <w:rsid w:val="00935AC4"/>
    <w:rsid w:val="00935CF3"/>
    <w:rsid w:val="00935E03"/>
    <w:rsid w:val="00935EC8"/>
    <w:rsid w:val="00936032"/>
    <w:rsid w:val="009360D5"/>
    <w:rsid w:val="00936406"/>
    <w:rsid w:val="009366B4"/>
    <w:rsid w:val="00936774"/>
    <w:rsid w:val="009368E5"/>
    <w:rsid w:val="00936ACE"/>
    <w:rsid w:val="00936AF7"/>
    <w:rsid w:val="00936B49"/>
    <w:rsid w:val="00936D1F"/>
    <w:rsid w:val="00936DF2"/>
    <w:rsid w:val="00936FC0"/>
    <w:rsid w:val="00937268"/>
    <w:rsid w:val="009375E5"/>
    <w:rsid w:val="00937713"/>
    <w:rsid w:val="00937928"/>
    <w:rsid w:val="00937ACB"/>
    <w:rsid w:val="00937C4E"/>
    <w:rsid w:val="00937D65"/>
    <w:rsid w:val="00937E53"/>
    <w:rsid w:val="00937F6F"/>
    <w:rsid w:val="00940092"/>
    <w:rsid w:val="009402C6"/>
    <w:rsid w:val="00940390"/>
    <w:rsid w:val="0094070A"/>
    <w:rsid w:val="00940755"/>
    <w:rsid w:val="00940810"/>
    <w:rsid w:val="00940849"/>
    <w:rsid w:val="0094092C"/>
    <w:rsid w:val="009409C8"/>
    <w:rsid w:val="00940C08"/>
    <w:rsid w:val="009412DE"/>
    <w:rsid w:val="00941341"/>
    <w:rsid w:val="00941361"/>
    <w:rsid w:val="009413DF"/>
    <w:rsid w:val="0094141E"/>
    <w:rsid w:val="0094146D"/>
    <w:rsid w:val="009416D7"/>
    <w:rsid w:val="009418BA"/>
    <w:rsid w:val="00941A22"/>
    <w:rsid w:val="00941CF7"/>
    <w:rsid w:val="00941EA3"/>
    <w:rsid w:val="00941ED9"/>
    <w:rsid w:val="00942010"/>
    <w:rsid w:val="0094224E"/>
    <w:rsid w:val="009425EB"/>
    <w:rsid w:val="00942700"/>
    <w:rsid w:val="009427EB"/>
    <w:rsid w:val="00942922"/>
    <w:rsid w:val="009429C3"/>
    <w:rsid w:val="00942A25"/>
    <w:rsid w:val="00942C8E"/>
    <w:rsid w:val="00942D51"/>
    <w:rsid w:val="00942D8C"/>
    <w:rsid w:val="0094320A"/>
    <w:rsid w:val="009433D2"/>
    <w:rsid w:val="00943676"/>
    <w:rsid w:val="0094367E"/>
    <w:rsid w:val="00943720"/>
    <w:rsid w:val="00943A87"/>
    <w:rsid w:val="00943BB0"/>
    <w:rsid w:val="00943F8E"/>
    <w:rsid w:val="00943FE1"/>
    <w:rsid w:val="0094414D"/>
    <w:rsid w:val="00944294"/>
    <w:rsid w:val="009442E4"/>
    <w:rsid w:val="009443AD"/>
    <w:rsid w:val="00944412"/>
    <w:rsid w:val="00944593"/>
    <w:rsid w:val="009446DD"/>
    <w:rsid w:val="009446F1"/>
    <w:rsid w:val="00944712"/>
    <w:rsid w:val="00944CFF"/>
    <w:rsid w:val="00944FE2"/>
    <w:rsid w:val="0094539F"/>
    <w:rsid w:val="00945542"/>
    <w:rsid w:val="009455E7"/>
    <w:rsid w:val="00945924"/>
    <w:rsid w:val="00945A3C"/>
    <w:rsid w:val="00945A89"/>
    <w:rsid w:val="00945AFE"/>
    <w:rsid w:val="00945E71"/>
    <w:rsid w:val="00946081"/>
    <w:rsid w:val="009461A7"/>
    <w:rsid w:val="009463BC"/>
    <w:rsid w:val="009464A6"/>
    <w:rsid w:val="00946751"/>
    <w:rsid w:val="009468A4"/>
    <w:rsid w:val="00946981"/>
    <w:rsid w:val="00946996"/>
    <w:rsid w:val="00946AAA"/>
    <w:rsid w:val="00946CCA"/>
    <w:rsid w:val="00947088"/>
    <w:rsid w:val="00947149"/>
    <w:rsid w:val="00947208"/>
    <w:rsid w:val="0094727C"/>
    <w:rsid w:val="00947550"/>
    <w:rsid w:val="00947590"/>
    <w:rsid w:val="0094762E"/>
    <w:rsid w:val="00947637"/>
    <w:rsid w:val="00947674"/>
    <w:rsid w:val="009477ED"/>
    <w:rsid w:val="00947C01"/>
    <w:rsid w:val="00947CDD"/>
    <w:rsid w:val="00947F7C"/>
    <w:rsid w:val="009500AD"/>
    <w:rsid w:val="009500B1"/>
    <w:rsid w:val="009501C6"/>
    <w:rsid w:val="00950609"/>
    <w:rsid w:val="009506CD"/>
    <w:rsid w:val="009507F8"/>
    <w:rsid w:val="00951175"/>
    <w:rsid w:val="0095159B"/>
    <w:rsid w:val="0095159C"/>
    <w:rsid w:val="0095170D"/>
    <w:rsid w:val="0095177E"/>
    <w:rsid w:val="0095197F"/>
    <w:rsid w:val="009519DC"/>
    <w:rsid w:val="00951AA2"/>
    <w:rsid w:val="00951DFA"/>
    <w:rsid w:val="00951EA5"/>
    <w:rsid w:val="00952160"/>
    <w:rsid w:val="00952176"/>
    <w:rsid w:val="00952339"/>
    <w:rsid w:val="00952632"/>
    <w:rsid w:val="009526AC"/>
    <w:rsid w:val="00952A49"/>
    <w:rsid w:val="00952B19"/>
    <w:rsid w:val="00952B1A"/>
    <w:rsid w:val="00952BB7"/>
    <w:rsid w:val="00952C14"/>
    <w:rsid w:val="00952C5E"/>
    <w:rsid w:val="0095307F"/>
    <w:rsid w:val="009530A3"/>
    <w:rsid w:val="0095312A"/>
    <w:rsid w:val="00953424"/>
    <w:rsid w:val="00953432"/>
    <w:rsid w:val="0095356A"/>
    <w:rsid w:val="0095371B"/>
    <w:rsid w:val="0095391A"/>
    <w:rsid w:val="00953B34"/>
    <w:rsid w:val="00953C98"/>
    <w:rsid w:val="00953D7F"/>
    <w:rsid w:val="00953DFD"/>
    <w:rsid w:val="00953E1F"/>
    <w:rsid w:val="009542CE"/>
    <w:rsid w:val="009542E3"/>
    <w:rsid w:val="00954512"/>
    <w:rsid w:val="009545A7"/>
    <w:rsid w:val="00954630"/>
    <w:rsid w:val="0095466A"/>
    <w:rsid w:val="00954821"/>
    <w:rsid w:val="009548FF"/>
    <w:rsid w:val="00954B40"/>
    <w:rsid w:val="00954BE3"/>
    <w:rsid w:val="00954E47"/>
    <w:rsid w:val="009550E8"/>
    <w:rsid w:val="0095526A"/>
    <w:rsid w:val="00955452"/>
    <w:rsid w:val="00955526"/>
    <w:rsid w:val="009557C9"/>
    <w:rsid w:val="0095581C"/>
    <w:rsid w:val="009558BA"/>
    <w:rsid w:val="009559B3"/>
    <w:rsid w:val="00955A3E"/>
    <w:rsid w:val="00955D4D"/>
    <w:rsid w:val="00955E5E"/>
    <w:rsid w:val="00955EF1"/>
    <w:rsid w:val="009560FB"/>
    <w:rsid w:val="00956189"/>
    <w:rsid w:val="0095647D"/>
    <w:rsid w:val="009565E7"/>
    <w:rsid w:val="0095661C"/>
    <w:rsid w:val="009569C4"/>
    <w:rsid w:val="00956A85"/>
    <w:rsid w:val="00956B58"/>
    <w:rsid w:val="00956B72"/>
    <w:rsid w:val="00956BB5"/>
    <w:rsid w:val="0095713F"/>
    <w:rsid w:val="00957274"/>
    <w:rsid w:val="009577B2"/>
    <w:rsid w:val="00957850"/>
    <w:rsid w:val="00957A49"/>
    <w:rsid w:val="00957ABA"/>
    <w:rsid w:val="00957C0B"/>
    <w:rsid w:val="00957E66"/>
    <w:rsid w:val="00957FD5"/>
    <w:rsid w:val="00960116"/>
    <w:rsid w:val="00960307"/>
    <w:rsid w:val="009603F0"/>
    <w:rsid w:val="00960552"/>
    <w:rsid w:val="009605B8"/>
    <w:rsid w:val="00960919"/>
    <w:rsid w:val="00960A5B"/>
    <w:rsid w:val="00960BF8"/>
    <w:rsid w:val="00960C09"/>
    <w:rsid w:val="00960C3C"/>
    <w:rsid w:val="00960F29"/>
    <w:rsid w:val="00960F73"/>
    <w:rsid w:val="00960FB2"/>
    <w:rsid w:val="0096115D"/>
    <w:rsid w:val="00961356"/>
    <w:rsid w:val="009613CA"/>
    <w:rsid w:val="00961414"/>
    <w:rsid w:val="009614CA"/>
    <w:rsid w:val="009619D0"/>
    <w:rsid w:val="009619FB"/>
    <w:rsid w:val="00961C8D"/>
    <w:rsid w:val="00962290"/>
    <w:rsid w:val="0096231B"/>
    <w:rsid w:val="009624F6"/>
    <w:rsid w:val="00962538"/>
    <w:rsid w:val="00962847"/>
    <w:rsid w:val="009628B4"/>
    <w:rsid w:val="009629E8"/>
    <w:rsid w:val="00962A0B"/>
    <w:rsid w:val="00962A68"/>
    <w:rsid w:val="00962CC6"/>
    <w:rsid w:val="00962EAA"/>
    <w:rsid w:val="00962FAD"/>
    <w:rsid w:val="00963021"/>
    <w:rsid w:val="00963082"/>
    <w:rsid w:val="00963157"/>
    <w:rsid w:val="009632A1"/>
    <w:rsid w:val="00963511"/>
    <w:rsid w:val="00963714"/>
    <w:rsid w:val="009637D6"/>
    <w:rsid w:val="0096387B"/>
    <w:rsid w:val="00963899"/>
    <w:rsid w:val="00963916"/>
    <w:rsid w:val="00963A9C"/>
    <w:rsid w:val="00963BB7"/>
    <w:rsid w:val="00963D11"/>
    <w:rsid w:val="00963D38"/>
    <w:rsid w:val="00963DAE"/>
    <w:rsid w:val="0096447C"/>
    <w:rsid w:val="00964544"/>
    <w:rsid w:val="0096469F"/>
    <w:rsid w:val="009647F6"/>
    <w:rsid w:val="00964935"/>
    <w:rsid w:val="00964C61"/>
    <w:rsid w:val="00964D2E"/>
    <w:rsid w:val="00964DCA"/>
    <w:rsid w:val="00964DCF"/>
    <w:rsid w:val="00964FB0"/>
    <w:rsid w:val="00965130"/>
    <w:rsid w:val="00965132"/>
    <w:rsid w:val="00965195"/>
    <w:rsid w:val="00965269"/>
    <w:rsid w:val="009655A3"/>
    <w:rsid w:val="00965910"/>
    <w:rsid w:val="00965911"/>
    <w:rsid w:val="0096591F"/>
    <w:rsid w:val="00965AD9"/>
    <w:rsid w:val="00965BAC"/>
    <w:rsid w:val="00965F79"/>
    <w:rsid w:val="00965F91"/>
    <w:rsid w:val="009661D7"/>
    <w:rsid w:val="009662E5"/>
    <w:rsid w:val="009662FC"/>
    <w:rsid w:val="0096667A"/>
    <w:rsid w:val="00966709"/>
    <w:rsid w:val="0096673D"/>
    <w:rsid w:val="00966936"/>
    <w:rsid w:val="00966B30"/>
    <w:rsid w:val="00966C09"/>
    <w:rsid w:val="009670E8"/>
    <w:rsid w:val="009671CC"/>
    <w:rsid w:val="009676E9"/>
    <w:rsid w:val="00967ABA"/>
    <w:rsid w:val="00967AC5"/>
    <w:rsid w:val="00967CE3"/>
    <w:rsid w:val="00967F28"/>
    <w:rsid w:val="00967F2A"/>
    <w:rsid w:val="00967FF4"/>
    <w:rsid w:val="00970001"/>
    <w:rsid w:val="009700B5"/>
    <w:rsid w:val="00970101"/>
    <w:rsid w:val="009702FE"/>
    <w:rsid w:val="0097030D"/>
    <w:rsid w:val="0097058A"/>
    <w:rsid w:val="00970847"/>
    <w:rsid w:val="00970924"/>
    <w:rsid w:val="009709B1"/>
    <w:rsid w:val="009709B6"/>
    <w:rsid w:val="00970B6D"/>
    <w:rsid w:val="00970D2E"/>
    <w:rsid w:val="00970EC7"/>
    <w:rsid w:val="00970EDA"/>
    <w:rsid w:val="009712FA"/>
    <w:rsid w:val="0097144E"/>
    <w:rsid w:val="00971821"/>
    <w:rsid w:val="009719AE"/>
    <w:rsid w:val="00971AAC"/>
    <w:rsid w:val="00971AF4"/>
    <w:rsid w:val="00971CE1"/>
    <w:rsid w:val="00971E31"/>
    <w:rsid w:val="009723D5"/>
    <w:rsid w:val="009724DC"/>
    <w:rsid w:val="00972737"/>
    <w:rsid w:val="009727D9"/>
    <w:rsid w:val="00972829"/>
    <w:rsid w:val="00972BC7"/>
    <w:rsid w:val="00972CC0"/>
    <w:rsid w:val="00972CCA"/>
    <w:rsid w:val="00972EE8"/>
    <w:rsid w:val="009730E4"/>
    <w:rsid w:val="009732E6"/>
    <w:rsid w:val="00973376"/>
    <w:rsid w:val="00973509"/>
    <w:rsid w:val="00973BCF"/>
    <w:rsid w:val="00973E9B"/>
    <w:rsid w:val="00973EF3"/>
    <w:rsid w:val="00974104"/>
    <w:rsid w:val="0097451B"/>
    <w:rsid w:val="00974830"/>
    <w:rsid w:val="00974866"/>
    <w:rsid w:val="00974ADF"/>
    <w:rsid w:val="00974B49"/>
    <w:rsid w:val="00974EC3"/>
    <w:rsid w:val="009755B4"/>
    <w:rsid w:val="009755F8"/>
    <w:rsid w:val="00975820"/>
    <w:rsid w:val="009759DB"/>
    <w:rsid w:val="009759EB"/>
    <w:rsid w:val="00975A73"/>
    <w:rsid w:val="00975BA4"/>
    <w:rsid w:val="00975C72"/>
    <w:rsid w:val="00975CD6"/>
    <w:rsid w:val="00975DBB"/>
    <w:rsid w:val="00975F24"/>
    <w:rsid w:val="00975F91"/>
    <w:rsid w:val="0097602A"/>
    <w:rsid w:val="00976209"/>
    <w:rsid w:val="00976276"/>
    <w:rsid w:val="009763A1"/>
    <w:rsid w:val="009765E5"/>
    <w:rsid w:val="0097670E"/>
    <w:rsid w:val="009769D6"/>
    <w:rsid w:val="00976A5D"/>
    <w:rsid w:val="00976EEC"/>
    <w:rsid w:val="00976F58"/>
    <w:rsid w:val="00976FCE"/>
    <w:rsid w:val="00976FEB"/>
    <w:rsid w:val="00977004"/>
    <w:rsid w:val="009771B7"/>
    <w:rsid w:val="009773B8"/>
    <w:rsid w:val="009777C7"/>
    <w:rsid w:val="00977A0F"/>
    <w:rsid w:val="00977A46"/>
    <w:rsid w:val="00977A73"/>
    <w:rsid w:val="00977A8B"/>
    <w:rsid w:val="00977C19"/>
    <w:rsid w:val="00977CB4"/>
    <w:rsid w:val="00977E1A"/>
    <w:rsid w:val="00977F0A"/>
    <w:rsid w:val="00977F44"/>
    <w:rsid w:val="0098038D"/>
    <w:rsid w:val="00980639"/>
    <w:rsid w:val="0098063C"/>
    <w:rsid w:val="0098063D"/>
    <w:rsid w:val="0098064B"/>
    <w:rsid w:val="0098069A"/>
    <w:rsid w:val="00980728"/>
    <w:rsid w:val="0098073B"/>
    <w:rsid w:val="00980768"/>
    <w:rsid w:val="00980831"/>
    <w:rsid w:val="00980940"/>
    <w:rsid w:val="0098096D"/>
    <w:rsid w:val="00980983"/>
    <w:rsid w:val="00980B20"/>
    <w:rsid w:val="00980BE0"/>
    <w:rsid w:val="00980BE9"/>
    <w:rsid w:val="00980CA9"/>
    <w:rsid w:val="00980D30"/>
    <w:rsid w:val="00980DA0"/>
    <w:rsid w:val="00980F29"/>
    <w:rsid w:val="00980F87"/>
    <w:rsid w:val="009810BB"/>
    <w:rsid w:val="0098119E"/>
    <w:rsid w:val="009813B0"/>
    <w:rsid w:val="00981427"/>
    <w:rsid w:val="00981447"/>
    <w:rsid w:val="00981467"/>
    <w:rsid w:val="00981549"/>
    <w:rsid w:val="00981571"/>
    <w:rsid w:val="00981928"/>
    <w:rsid w:val="009819BA"/>
    <w:rsid w:val="00981AAE"/>
    <w:rsid w:val="00981C63"/>
    <w:rsid w:val="00981C92"/>
    <w:rsid w:val="009820B1"/>
    <w:rsid w:val="009820D9"/>
    <w:rsid w:val="0098244D"/>
    <w:rsid w:val="0098246C"/>
    <w:rsid w:val="009825A2"/>
    <w:rsid w:val="009827FA"/>
    <w:rsid w:val="00982A2B"/>
    <w:rsid w:val="00982A92"/>
    <w:rsid w:val="00982BA5"/>
    <w:rsid w:val="00982BF7"/>
    <w:rsid w:val="00982D97"/>
    <w:rsid w:val="00982F22"/>
    <w:rsid w:val="00983777"/>
    <w:rsid w:val="00983899"/>
    <w:rsid w:val="009839DA"/>
    <w:rsid w:val="00983AF0"/>
    <w:rsid w:val="00983CB1"/>
    <w:rsid w:val="0098407D"/>
    <w:rsid w:val="009840C7"/>
    <w:rsid w:val="009841B8"/>
    <w:rsid w:val="00984292"/>
    <w:rsid w:val="009842FF"/>
    <w:rsid w:val="00984389"/>
    <w:rsid w:val="00984441"/>
    <w:rsid w:val="009844C1"/>
    <w:rsid w:val="009844CF"/>
    <w:rsid w:val="0098477C"/>
    <w:rsid w:val="0098481F"/>
    <w:rsid w:val="00984AEA"/>
    <w:rsid w:val="00984CFA"/>
    <w:rsid w:val="00984DD8"/>
    <w:rsid w:val="009850A1"/>
    <w:rsid w:val="00985306"/>
    <w:rsid w:val="00985643"/>
    <w:rsid w:val="00985700"/>
    <w:rsid w:val="00985937"/>
    <w:rsid w:val="00985996"/>
    <w:rsid w:val="00985CF4"/>
    <w:rsid w:val="00985D05"/>
    <w:rsid w:val="00985DC3"/>
    <w:rsid w:val="009860C5"/>
    <w:rsid w:val="009863B5"/>
    <w:rsid w:val="009863B8"/>
    <w:rsid w:val="00986644"/>
    <w:rsid w:val="009866AE"/>
    <w:rsid w:val="009866CA"/>
    <w:rsid w:val="0098690F"/>
    <w:rsid w:val="00986B3E"/>
    <w:rsid w:val="00986D5A"/>
    <w:rsid w:val="00986D84"/>
    <w:rsid w:val="0098703F"/>
    <w:rsid w:val="00987080"/>
    <w:rsid w:val="00987225"/>
    <w:rsid w:val="00987257"/>
    <w:rsid w:val="00987481"/>
    <w:rsid w:val="00987865"/>
    <w:rsid w:val="00987A3C"/>
    <w:rsid w:val="00987BF9"/>
    <w:rsid w:val="00987C16"/>
    <w:rsid w:val="00987D30"/>
    <w:rsid w:val="00987D3E"/>
    <w:rsid w:val="00987DC6"/>
    <w:rsid w:val="00987E45"/>
    <w:rsid w:val="00987ED5"/>
    <w:rsid w:val="009902AB"/>
    <w:rsid w:val="009903BE"/>
    <w:rsid w:val="0099085F"/>
    <w:rsid w:val="00990DFF"/>
    <w:rsid w:val="00990E78"/>
    <w:rsid w:val="00990E81"/>
    <w:rsid w:val="00990FDB"/>
    <w:rsid w:val="00991094"/>
    <w:rsid w:val="009910B3"/>
    <w:rsid w:val="009912B1"/>
    <w:rsid w:val="009916B2"/>
    <w:rsid w:val="009916C1"/>
    <w:rsid w:val="00991C4A"/>
    <w:rsid w:val="00991E0C"/>
    <w:rsid w:val="00991FEC"/>
    <w:rsid w:val="0099216C"/>
    <w:rsid w:val="009922B3"/>
    <w:rsid w:val="0099244A"/>
    <w:rsid w:val="00992518"/>
    <w:rsid w:val="009925DB"/>
    <w:rsid w:val="00992627"/>
    <w:rsid w:val="00992769"/>
    <w:rsid w:val="0099281A"/>
    <w:rsid w:val="00992A6C"/>
    <w:rsid w:val="00992B1F"/>
    <w:rsid w:val="00992C5D"/>
    <w:rsid w:val="00992FB8"/>
    <w:rsid w:val="00993114"/>
    <w:rsid w:val="00993134"/>
    <w:rsid w:val="00993210"/>
    <w:rsid w:val="009932FD"/>
    <w:rsid w:val="00993345"/>
    <w:rsid w:val="00993555"/>
    <w:rsid w:val="009937C3"/>
    <w:rsid w:val="00993823"/>
    <w:rsid w:val="00993B72"/>
    <w:rsid w:val="00993CC9"/>
    <w:rsid w:val="00993E91"/>
    <w:rsid w:val="00993FDA"/>
    <w:rsid w:val="009940A4"/>
    <w:rsid w:val="0099426D"/>
    <w:rsid w:val="009942C4"/>
    <w:rsid w:val="009943B5"/>
    <w:rsid w:val="0099448D"/>
    <w:rsid w:val="00994543"/>
    <w:rsid w:val="00994556"/>
    <w:rsid w:val="009945F9"/>
    <w:rsid w:val="009946CD"/>
    <w:rsid w:val="00994B68"/>
    <w:rsid w:val="00994DE3"/>
    <w:rsid w:val="00994E62"/>
    <w:rsid w:val="00994EA1"/>
    <w:rsid w:val="00994F07"/>
    <w:rsid w:val="00994FBC"/>
    <w:rsid w:val="009952CE"/>
    <w:rsid w:val="00995AD7"/>
    <w:rsid w:val="00995CAF"/>
    <w:rsid w:val="00995FB5"/>
    <w:rsid w:val="009960B7"/>
    <w:rsid w:val="00996142"/>
    <w:rsid w:val="00996530"/>
    <w:rsid w:val="009965CB"/>
    <w:rsid w:val="0099666D"/>
    <w:rsid w:val="009967E2"/>
    <w:rsid w:val="00996827"/>
    <w:rsid w:val="00996872"/>
    <w:rsid w:val="009969E6"/>
    <w:rsid w:val="00996DB9"/>
    <w:rsid w:val="00996DE5"/>
    <w:rsid w:val="00996F75"/>
    <w:rsid w:val="0099701A"/>
    <w:rsid w:val="00997134"/>
    <w:rsid w:val="00997261"/>
    <w:rsid w:val="009975BE"/>
    <w:rsid w:val="009976BB"/>
    <w:rsid w:val="009977D3"/>
    <w:rsid w:val="00997AC5"/>
    <w:rsid w:val="00997B3F"/>
    <w:rsid w:val="00997BBF"/>
    <w:rsid w:val="00997D6E"/>
    <w:rsid w:val="00997E66"/>
    <w:rsid w:val="009A0020"/>
    <w:rsid w:val="009A0032"/>
    <w:rsid w:val="009A006C"/>
    <w:rsid w:val="009A0104"/>
    <w:rsid w:val="009A0186"/>
    <w:rsid w:val="009A0411"/>
    <w:rsid w:val="009A061A"/>
    <w:rsid w:val="009A0711"/>
    <w:rsid w:val="009A0858"/>
    <w:rsid w:val="009A08A4"/>
    <w:rsid w:val="009A0972"/>
    <w:rsid w:val="009A0C68"/>
    <w:rsid w:val="009A0D27"/>
    <w:rsid w:val="009A0E85"/>
    <w:rsid w:val="009A1166"/>
    <w:rsid w:val="009A13AA"/>
    <w:rsid w:val="009A1740"/>
    <w:rsid w:val="009A1BDA"/>
    <w:rsid w:val="009A1DE0"/>
    <w:rsid w:val="009A1F0D"/>
    <w:rsid w:val="009A2132"/>
    <w:rsid w:val="009A2289"/>
    <w:rsid w:val="009A23EB"/>
    <w:rsid w:val="009A260E"/>
    <w:rsid w:val="009A27EF"/>
    <w:rsid w:val="009A2956"/>
    <w:rsid w:val="009A2C7E"/>
    <w:rsid w:val="009A2EEA"/>
    <w:rsid w:val="009A30D6"/>
    <w:rsid w:val="009A312D"/>
    <w:rsid w:val="009A3237"/>
    <w:rsid w:val="009A35BC"/>
    <w:rsid w:val="009A368D"/>
    <w:rsid w:val="009A3AAA"/>
    <w:rsid w:val="009A3C7F"/>
    <w:rsid w:val="009A3E7C"/>
    <w:rsid w:val="009A3E91"/>
    <w:rsid w:val="009A3F45"/>
    <w:rsid w:val="009A4305"/>
    <w:rsid w:val="009A4774"/>
    <w:rsid w:val="009A478A"/>
    <w:rsid w:val="009A4925"/>
    <w:rsid w:val="009A492F"/>
    <w:rsid w:val="009A4984"/>
    <w:rsid w:val="009A514E"/>
    <w:rsid w:val="009A529D"/>
    <w:rsid w:val="009A52CC"/>
    <w:rsid w:val="009A55F5"/>
    <w:rsid w:val="009A580E"/>
    <w:rsid w:val="009A5961"/>
    <w:rsid w:val="009A5979"/>
    <w:rsid w:val="009A5BEC"/>
    <w:rsid w:val="009A5D40"/>
    <w:rsid w:val="009A5EA2"/>
    <w:rsid w:val="009A5F3D"/>
    <w:rsid w:val="009A5FA0"/>
    <w:rsid w:val="009A5FBC"/>
    <w:rsid w:val="009A6660"/>
    <w:rsid w:val="009A678D"/>
    <w:rsid w:val="009A6881"/>
    <w:rsid w:val="009A68A7"/>
    <w:rsid w:val="009A68B2"/>
    <w:rsid w:val="009A692D"/>
    <w:rsid w:val="009A6961"/>
    <w:rsid w:val="009A69B3"/>
    <w:rsid w:val="009A6A30"/>
    <w:rsid w:val="009A6A4D"/>
    <w:rsid w:val="009A6BC9"/>
    <w:rsid w:val="009A6BD4"/>
    <w:rsid w:val="009A6C68"/>
    <w:rsid w:val="009A6CBA"/>
    <w:rsid w:val="009A6D13"/>
    <w:rsid w:val="009A6E6E"/>
    <w:rsid w:val="009A6EC4"/>
    <w:rsid w:val="009A6F70"/>
    <w:rsid w:val="009A6F74"/>
    <w:rsid w:val="009A70B9"/>
    <w:rsid w:val="009A7114"/>
    <w:rsid w:val="009A74C3"/>
    <w:rsid w:val="009A75BF"/>
    <w:rsid w:val="009A76F7"/>
    <w:rsid w:val="009A7825"/>
    <w:rsid w:val="009A7DF9"/>
    <w:rsid w:val="009A7E07"/>
    <w:rsid w:val="009A7EFF"/>
    <w:rsid w:val="009B0085"/>
    <w:rsid w:val="009B011E"/>
    <w:rsid w:val="009B035D"/>
    <w:rsid w:val="009B0485"/>
    <w:rsid w:val="009B052A"/>
    <w:rsid w:val="009B064D"/>
    <w:rsid w:val="009B0768"/>
    <w:rsid w:val="009B086C"/>
    <w:rsid w:val="009B096E"/>
    <w:rsid w:val="009B0B3D"/>
    <w:rsid w:val="009B0BD2"/>
    <w:rsid w:val="009B0CD5"/>
    <w:rsid w:val="009B0D62"/>
    <w:rsid w:val="009B0F25"/>
    <w:rsid w:val="009B0FB9"/>
    <w:rsid w:val="009B10FA"/>
    <w:rsid w:val="009B1152"/>
    <w:rsid w:val="009B1249"/>
    <w:rsid w:val="009B17AB"/>
    <w:rsid w:val="009B1955"/>
    <w:rsid w:val="009B1A79"/>
    <w:rsid w:val="009B1B2D"/>
    <w:rsid w:val="009B1C56"/>
    <w:rsid w:val="009B1E6E"/>
    <w:rsid w:val="009B1ECE"/>
    <w:rsid w:val="009B1FDA"/>
    <w:rsid w:val="009B2025"/>
    <w:rsid w:val="009B2138"/>
    <w:rsid w:val="009B25A6"/>
    <w:rsid w:val="009B2AB8"/>
    <w:rsid w:val="009B2E37"/>
    <w:rsid w:val="009B2EE7"/>
    <w:rsid w:val="009B315C"/>
    <w:rsid w:val="009B3179"/>
    <w:rsid w:val="009B336B"/>
    <w:rsid w:val="009B3435"/>
    <w:rsid w:val="009B34BD"/>
    <w:rsid w:val="009B35A0"/>
    <w:rsid w:val="009B3603"/>
    <w:rsid w:val="009B38A8"/>
    <w:rsid w:val="009B39BD"/>
    <w:rsid w:val="009B3A16"/>
    <w:rsid w:val="009B3A85"/>
    <w:rsid w:val="009B3B15"/>
    <w:rsid w:val="009B3C30"/>
    <w:rsid w:val="009B3DA8"/>
    <w:rsid w:val="009B3DC4"/>
    <w:rsid w:val="009B3EE6"/>
    <w:rsid w:val="009B42BC"/>
    <w:rsid w:val="009B453E"/>
    <w:rsid w:val="009B458E"/>
    <w:rsid w:val="009B48BA"/>
    <w:rsid w:val="009B4A0C"/>
    <w:rsid w:val="009B4A3A"/>
    <w:rsid w:val="009B4BF8"/>
    <w:rsid w:val="009B4E5E"/>
    <w:rsid w:val="009B4EAF"/>
    <w:rsid w:val="009B4F54"/>
    <w:rsid w:val="009B5040"/>
    <w:rsid w:val="009B5089"/>
    <w:rsid w:val="009B515C"/>
    <w:rsid w:val="009B51DE"/>
    <w:rsid w:val="009B51E4"/>
    <w:rsid w:val="009B524F"/>
    <w:rsid w:val="009B542E"/>
    <w:rsid w:val="009B54E7"/>
    <w:rsid w:val="009B5591"/>
    <w:rsid w:val="009B56F6"/>
    <w:rsid w:val="009B58D8"/>
    <w:rsid w:val="009B59ED"/>
    <w:rsid w:val="009B5AC4"/>
    <w:rsid w:val="009B5BDC"/>
    <w:rsid w:val="009B5D14"/>
    <w:rsid w:val="009B5FD1"/>
    <w:rsid w:val="009B62B2"/>
    <w:rsid w:val="009B62CD"/>
    <w:rsid w:val="009B665C"/>
    <w:rsid w:val="009B6695"/>
    <w:rsid w:val="009B671D"/>
    <w:rsid w:val="009B69B6"/>
    <w:rsid w:val="009B69D3"/>
    <w:rsid w:val="009B6AB8"/>
    <w:rsid w:val="009B70E7"/>
    <w:rsid w:val="009B71DF"/>
    <w:rsid w:val="009B71E2"/>
    <w:rsid w:val="009B72B2"/>
    <w:rsid w:val="009B7453"/>
    <w:rsid w:val="009B7547"/>
    <w:rsid w:val="009B76B2"/>
    <w:rsid w:val="009B771F"/>
    <w:rsid w:val="009B7785"/>
    <w:rsid w:val="009B7938"/>
    <w:rsid w:val="009B7B97"/>
    <w:rsid w:val="009C032A"/>
    <w:rsid w:val="009C03CB"/>
    <w:rsid w:val="009C042E"/>
    <w:rsid w:val="009C05CE"/>
    <w:rsid w:val="009C0672"/>
    <w:rsid w:val="009C0753"/>
    <w:rsid w:val="009C0CC4"/>
    <w:rsid w:val="009C0DB0"/>
    <w:rsid w:val="009C0E8D"/>
    <w:rsid w:val="009C0F03"/>
    <w:rsid w:val="009C1325"/>
    <w:rsid w:val="009C1577"/>
    <w:rsid w:val="009C165C"/>
    <w:rsid w:val="009C16B5"/>
    <w:rsid w:val="009C1830"/>
    <w:rsid w:val="009C198F"/>
    <w:rsid w:val="009C19BF"/>
    <w:rsid w:val="009C1CAF"/>
    <w:rsid w:val="009C2075"/>
    <w:rsid w:val="009C2383"/>
    <w:rsid w:val="009C2792"/>
    <w:rsid w:val="009C2800"/>
    <w:rsid w:val="009C293A"/>
    <w:rsid w:val="009C2AC1"/>
    <w:rsid w:val="009C2DED"/>
    <w:rsid w:val="009C2E92"/>
    <w:rsid w:val="009C303C"/>
    <w:rsid w:val="009C30D1"/>
    <w:rsid w:val="009C31C9"/>
    <w:rsid w:val="009C3548"/>
    <w:rsid w:val="009C38DF"/>
    <w:rsid w:val="009C3A4F"/>
    <w:rsid w:val="009C3CA5"/>
    <w:rsid w:val="009C3D1C"/>
    <w:rsid w:val="009C3E39"/>
    <w:rsid w:val="009C3E6B"/>
    <w:rsid w:val="009C3F0E"/>
    <w:rsid w:val="009C42E8"/>
    <w:rsid w:val="009C432D"/>
    <w:rsid w:val="009C4779"/>
    <w:rsid w:val="009C4817"/>
    <w:rsid w:val="009C4D08"/>
    <w:rsid w:val="009C4DAE"/>
    <w:rsid w:val="009C4DE8"/>
    <w:rsid w:val="009C4E63"/>
    <w:rsid w:val="009C4F22"/>
    <w:rsid w:val="009C506B"/>
    <w:rsid w:val="009C50F9"/>
    <w:rsid w:val="009C51AC"/>
    <w:rsid w:val="009C5347"/>
    <w:rsid w:val="009C54F5"/>
    <w:rsid w:val="009C5631"/>
    <w:rsid w:val="009C56E2"/>
    <w:rsid w:val="009C56F9"/>
    <w:rsid w:val="009C57BC"/>
    <w:rsid w:val="009C5CBF"/>
    <w:rsid w:val="009C5FC0"/>
    <w:rsid w:val="009C6404"/>
    <w:rsid w:val="009C6582"/>
    <w:rsid w:val="009C668D"/>
    <w:rsid w:val="009C67F0"/>
    <w:rsid w:val="009C68CC"/>
    <w:rsid w:val="009C6912"/>
    <w:rsid w:val="009C6BFD"/>
    <w:rsid w:val="009C6E3D"/>
    <w:rsid w:val="009C6EFB"/>
    <w:rsid w:val="009C6F84"/>
    <w:rsid w:val="009C6FFA"/>
    <w:rsid w:val="009C72DF"/>
    <w:rsid w:val="009C72F5"/>
    <w:rsid w:val="009C74A5"/>
    <w:rsid w:val="009C7552"/>
    <w:rsid w:val="009C7589"/>
    <w:rsid w:val="009C7690"/>
    <w:rsid w:val="009C7783"/>
    <w:rsid w:val="009C7784"/>
    <w:rsid w:val="009C7CF5"/>
    <w:rsid w:val="009C7D3F"/>
    <w:rsid w:val="009C7D72"/>
    <w:rsid w:val="009C7E64"/>
    <w:rsid w:val="009C7EA6"/>
    <w:rsid w:val="009C7F9F"/>
    <w:rsid w:val="009D019C"/>
    <w:rsid w:val="009D0220"/>
    <w:rsid w:val="009D0230"/>
    <w:rsid w:val="009D0272"/>
    <w:rsid w:val="009D0464"/>
    <w:rsid w:val="009D0673"/>
    <w:rsid w:val="009D09BB"/>
    <w:rsid w:val="009D0A54"/>
    <w:rsid w:val="009D0B12"/>
    <w:rsid w:val="009D0DC9"/>
    <w:rsid w:val="009D0FF2"/>
    <w:rsid w:val="009D1087"/>
    <w:rsid w:val="009D14B4"/>
    <w:rsid w:val="009D166F"/>
    <w:rsid w:val="009D171B"/>
    <w:rsid w:val="009D1906"/>
    <w:rsid w:val="009D195B"/>
    <w:rsid w:val="009D1A37"/>
    <w:rsid w:val="009D1AF6"/>
    <w:rsid w:val="009D1C55"/>
    <w:rsid w:val="009D1DD0"/>
    <w:rsid w:val="009D1DF2"/>
    <w:rsid w:val="009D1E39"/>
    <w:rsid w:val="009D203B"/>
    <w:rsid w:val="009D2071"/>
    <w:rsid w:val="009D2131"/>
    <w:rsid w:val="009D23F6"/>
    <w:rsid w:val="009D2770"/>
    <w:rsid w:val="009D29CC"/>
    <w:rsid w:val="009D29FB"/>
    <w:rsid w:val="009D2A0A"/>
    <w:rsid w:val="009D2AA6"/>
    <w:rsid w:val="009D2C35"/>
    <w:rsid w:val="009D2D5D"/>
    <w:rsid w:val="009D2DE1"/>
    <w:rsid w:val="009D2EA0"/>
    <w:rsid w:val="009D2F1C"/>
    <w:rsid w:val="009D2F1F"/>
    <w:rsid w:val="009D3170"/>
    <w:rsid w:val="009D3237"/>
    <w:rsid w:val="009D3340"/>
    <w:rsid w:val="009D3399"/>
    <w:rsid w:val="009D3533"/>
    <w:rsid w:val="009D35BA"/>
    <w:rsid w:val="009D360C"/>
    <w:rsid w:val="009D3628"/>
    <w:rsid w:val="009D3734"/>
    <w:rsid w:val="009D3852"/>
    <w:rsid w:val="009D3870"/>
    <w:rsid w:val="009D3874"/>
    <w:rsid w:val="009D3A11"/>
    <w:rsid w:val="009D3A57"/>
    <w:rsid w:val="009D3A83"/>
    <w:rsid w:val="009D3B4E"/>
    <w:rsid w:val="009D3C63"/>
    <w:rsid w:val="009D3CCC"/>
    <w:rsid w:val="009D3D83"/>
    <w:rsid w:val="009D3FB3"/>
    <w:rsid w:val="009D4170"/>
    <w:rsid w:val="009D437E"/>
    <w:rsid w:val="009D45A7"/>
    <w:rsid w:val="009D460C"/>
    <w:rsid w:val="009D468D"/>
    <w:rsid w:val="009D46A9"/>
    <w:rsid w:val="009D472D"/>
    <w:rsid w:val="009D4903"/>
    <w:rsid w:val="009D4943"/>
    <w:rsid w:val="009D4A63"/>
    <w:rsid w:val="009D4C2A"/>
    <w:rsid w:val="009D4C2C"/>
    <w:rsid w:val="009D4D77"/>
    <w:rsid w:val="009D4E81"/>
    <w:rsid w:val="009D505C"/>
    <w:rsid w:val="009D51FD"/>
    <w:rsid w:val="009D5323"/>
    <w:rsid w:val="009D548A"/>
    <w:rsid w:val="009D54CF"/>
    <w:rsid w:val="009D555C"/>
    <w:rsid w:val="009D5578"/>
    <w:rsid w:val="009D5631"/>
    <w:rsid w:val="009D566B"/>
    <w:rsid w:val="009D56AE"/>
    <w:rsid w:val="009D575F"/>
    <w:rsid w:val="009D595E"/>
    <w:rsid w:val="009D5B0E"/>
    <w:rsid w:val="009D5B8F"/>
    <w:rsid w:val="009D5C09"/>
    <w:rsid w:val="009D5C3D"/>
    <w:rsid w:val="009D5D65"/>
    <w:rsid w:val="009D5EAC"/>
    <w:rsid w:val="009D5FCF"/>
    <w:rsid w:val="009D607F"/>
    <w:rsid w:val="009D6391"/>
    <w:rsid w:val="009D63AF"/>
    <w:rsid w:val="009D63BD"/>
    <w:rsid w:val="009D6409"/>
    <w:rsid w:val="009D675A"/>
    <w:rsid w:val="009D6914"/>
    <w:rsid w:val="009D6A0C"/>
    <w:rsid w:val="009D6B64"/>
    <w:rsid w:val="009D6C6A"/>
    <w:rsid w:val="009D6D19"/>
    <w:rsid w:val="009D6D9F"/>
    <w:rsid w:val="009D70BA"/>
    <w:rsid w:val="009D7183"/>
    <w:rsid w:val="009D7197"/>
    <w:rsid w:val="009D74FA"/>
    <w:rsid w:val="009D7501"/>
    <w:rsid w:val="009D780A"/>
    <w:rsid w:val="009D782A"/>
    <w:rsid w:val="009D7BF0"/>
    <w:rsid w:val="009D7E52"/>
    <w:rsid w:val="009D7F10"/>
    <w:rsid w:val="009E020C"/>
    <w:rsid w:val="009E02BF"/>
    <w:rsid w:val="009E0449"/>
    <w:rsid w:val="009E0536"/>
    <w:rsid w:val="009E074F"/>
    <w:rsid w:val="009E0926"/>
    <w:rsid w:val="009E0A74"/>
    <w:rsid w:val="009E0C6C"/>
    <w:rsid w:val="009E0C7B"/>
    <w:rsid w:val="009E0F0D"/>
    <w:rsid w:val="009E113E"/>
    <w:rsid w:val="009E1170"/>
    <w:rsid w:val="009E13BE"/>
    <w:rsid w:val="009E154B"/>
    <w:rsid w:val="009E1715"/>
    <w:rsid w:val="009E1754"/>
    <w:rsid w:val="009E1836"/>
    <w:rsid w:val="009E188E"/>
    <w:rsid w:val="009E18A9"/>
    <w:rsid w:val="009E1A3C"/>
    <w:rsid w:val="009E1AC6"/>
    <w:rsid w:val="009E1B06"/>
    <w:rsid w:val="009E1C22"/>
    <w:rsid w:val="009E1EA3"/>
    <w:rsid w:val="009E1F73"/>
    <w:rsid w:val="009E2030"/>
    <w:rsid w:val="009E2239"/>
    <w:rsid w:val="009E2276"/>
    <w:rsid w:val="009E2481"/>
    <w:rsid w:val="009E2534"/>
    <w:rsid w:val="009E2542"/>
    <w:rsid w:val="009E2619"/>
    <w:rsid w:val="009E2636"/>
    <w:rsid w:val="009E267A"/>
    <w:rsid w:val="009E2819"/>
    <w:rsid w:val="009E299B"/>
    <w:rsid w:val="009E2A0C"/>
    <w:rsid w:val="009E2CEC"/>
    <w:rsid w:val="009E2EC0"/>
    <w:rsid w:val="009E2F8A"/>
    <w:rsid w:val="009E3169"/>
    <w:rsid w:val="009E3182"/>
    <w:rsid w:val="009E31C3"/>
    <w:rsid w:val="009E3423"/>
    <w:rsid w:val="009E34C7"/>
    <w:rsid w:val="009E362B"/>
    <w:rsid w:val="009E3654"/>
    <w:rsid w:val="009E37E4"/>
    <w:rsid w:val="009E37EF"/>
    <w:rsid w:val="009E3911"/>
    <w:rsid w:val="009E396D"/>
    <w:rsid w:val="009E39E7"/>
    <w:rsid w:val="009E3C1A"/>
    <w:rsid w:val="009E3C72"/>
    <w:rsid w:val="009E3C7E"/>
    <w:rsid w:val="009E3D17"/>
    <w:rsid w:val="009E3E52"/>
    <w:rsid w:val="009E3EC3"/>
    <w:rsid w:val="009E3F13"/>
    <w:rsid w:val="009E3F41"/>
    <w:rsid w:val="009E4049"/>
    <w:rsid w:val="009E419E"/>
    <w:rsid w:val="009E43E8"/>
    <w:rsid w:val="009E43FB"/>
    <w:rsid w:val="009E44BB"/>
    <w:rsid w:val="009E451C"/>
    <w:rsid w:val="009E45C4"/>
    <w:rsid w:val="009E4797"/>
    <w:rsid w:val="009E4886"/>
    <w:rsid w:val="009E4A8B"/>
    <w:rsid w:val="009E4C70"/>
    <w:rsid w:val="009E4E44"/>
    <w:rsid w:val="009E4F01"/>
    <w:rsid w:val="009E54C1"/>
    <w:rsid w:val="009E559D"/>
    <w:rsid w:val="009E585D"/>
    <w:rsid w:val="009E5970"/>
    <w:rsid w:val="009E5AE8"/>
    <w:rsid w:val="009E5EFC"/>
    <w:rsid w:val="009E6670"/>
    <w:rsid w:val="009E66EC"/>
    <w:rsid w:val="009E674F"/>
    <w:rsid w:val="009E67B1"/>
    <w:rsid w:val="009E67BF"/>
    <w:rsid w:val="009E67CC"/>
    <w:rsid w:val="009E6916"/>
    <w:rsid w:val="009E6BD0"/>
    <w:rsid w:val="009E6E04"/>
    <w:rsid w:val="009E6EFA"/>
    <w:rsid w:val="009E6EFB"/>
    <w:rsid w:val="009E6F2E"/>
    <w:rsid w:val="009E71AA"/>
    <w:rsid w:val="009E7238"/>
    <w:rsid w:val="009E725D"/>
    <w:rsid w:val="009E747B"/>
    <w:rsid w:val="009E75F9"/>
    <w:rsid w:val="009E7696"/>
    <w:rsid w:val="009E775B"/>
    <w:rsid w:val="009E7A04"/>
    <w:rsid w:val="009E7A2F"/>
    <w:rsid w:val="009E7A31"/>
    <w:rsid w:val="009E7C33"/>
    <w:rsid w:val="009E7D79"/>
    <w:rsid w:val="009E7DD5"/>
    <w:rsid w:val="009F00CE"/>
    <w:rsid w:val="009F0366"/>
    <w:rsid w:val="009F0381"/>
    <w:rsid w:val="009F03DA"/>
    <w:rsid w:val="009F052F"/>
    <w:rsid w:val="009F0758"/>
    <w:rsid w:val="009F09ED"/>
    <w:rsid w:val="009F0B18"/>
    <w:rsid w:val="009F0B5B"/>
    <w:rsid w:val="009F0BD1"/>
    <w:rsid w:val="009F0BF7"/>
    <w:rsid w:val="009F0DAF"/>
    <w:rsid w:val="009F1256"/>
    <w:rsid w:val="009F12D3"/>
    <w:rsid w:val="009F1330"/>
    <w:rsid w:val="009F13A0"/>
    <w:rsid w:val="009F1504"/>
    <w:rsid w:val="009F16A3"/>
    <w:rsid w:val="009F1763"/>
    <w:rsid w:val="009F183D"/>
    <w:rsid w:val="009F18EE"/>
    <w:rsid w:val="009F193A"/>
    <w:rsid w:val="009F1AD8"/>
    <w:rsid w:val="009F1BE9"/>
    <w:rsid w:val="009F2040"/>
    <w:rsid w:val="009F2141"/>
    <w:rsid w:val="009F2419"/>
    <w:rsid w:val="009F25BD"/>
    <w:rsid w:val="009F26D7"/>
    <w:rsid w:val="009F282D"/>
    <w:rsid w:val="009F28AC"/>
    <w:rsid w:val="009F2923"/>
    <w:rsid w:val="009F2B56"/>
    <w:rsid w:val="009F3030"/>
    <w:rsid w:val="009F3117"/>
    <w:rsid w:val="009F3434"/>
    <w:rsid w:val="009F3631"/>
    <w:rsid w:val="009F363C"/>
    <w:rsid w:val="009F3790"/>
    <w:rsid w:val="009F3A1E"/>
    <w:rsid w:val="009F3AB3"/>
    <w:rsid w:val="009F3E43"/>
    <w:rsid w:val="009F3EBD"/>
    <w:rsid w:val="009F4013"/>
    <w:rsid w:val="009F41E0"/>
    <w:rsid w:val="009F4200"/>
    <w:rsid w:val="009F4229"/>
    <w:rsid w:val="009F4302"/>
    <w:rsid w:val="009F4359"/>
    <w:rsid w:val="009F44F6"/>
    <w:rsid w:val="009F4530"/>
    <w:rsid w:val="009F456B"/>
    <w:rsid w:val="009F45CB"/>
    <w:rsid w:val="009F476C"/>
    <w:rsid w:val="009F480E"/>
    <w:rsid w:val="009F4AD7"/>
    <w:rsid w:val="009F4B82"/>
    <w:rsid w:val="009F4E64"/>
    <w:rsid w:val="009F4F09"/>
    <w:rsid w:val="009F4F3B"/>
    <w:rsid w:val="009F501A"/>
    <w:rsid w:val="009F51A8"/>
    <w:rsid w:val="009F52AC"/>
    <w:rsid w:val="009F56E0"/>
    <w:rsid w:val="009F575C"/>
    <w:rsid w:val="009F586C"/>
    <w:rsid w:val="009F58B7"/>
    <w:rsid w:val="009F5BE6"/>
    <w:rsid w:val="009F5C92"/>
    <w:rsid w:val="009F5D30"/>
    <w:rsid w:val="009F5D42"/>
    <w:rsid w:val="009F5E06"/>
    <w:rsid w:val="009F5E62"/>
    <w:rsid w:val="009F5FB6"/>
    <w:rsid w:val="009F6224"/>
    <w:rsid w:val="009F62DC"/>
    <w:rsid w:val="009F6B50"/>
    <w:rsid w:val="009F6B68"/>
    <w:rsid w:val="009F6E35"/>
    <w:rsid w:val="009F7054"/>
    <w:rsid w:val="009F7057"/>
    <w:rsid w:val="009F705D"/>
    <w:rsid w:val="009F7077"/>
    <w:rsid w:val="009F74A4"/>
    <w:rsid w:val="009F75D1"/>
    <w:rsid w:val="009F7605"/>
    <w:rsid w:val="009F7611"/>
    <w:rsid w:val="009F7868"/>
    <w:rsid w:val="009F7A90"/>
    <w:rsid w:val="009F7B83"/>
    <w:rsid w:val="009F7C64"/>
    <w:rsid w:val="009F7CE5"/>
    <w:rsid w:val="009F7CEB"/>
    <w:rsid w:val="009F7D5F"/>
    <w:rsid w:val="00A00102"/>
    <w:rsid w:val="00A00158"/>
    <w:rsid w:val="00A0018A"/>
    <w:rsid w:val="00A0051F"/>
    <w:rsid w:val="00A005BF"/>
    <w:rsid w:val="00A00626"/>
    <w:rsid w:val="00A008A4"/>
    <w:rsid w:val="00A009A5"/>
    <w:rsid w:val="00A00A21"/>
    <w:rsid w:val="00A00E02"/>
    <w:rsid w:val="00A00F2B"/>
    <w:rsid w:val="00A00FFC"/>
    <w:rsid w:val="00A0116E"/>
    <w:rsid w:val="00A012C6"/>
    <w:rsid w:val="00A01523"/>
    <w:rsid w:val="00A0152B"/>
    <w:rsid w:val="00A015FF"/>
    <w:rsid w:val="00A0198C"/>
    <w:rsid w:val="00A01AE9"/>
    <w:rsid w:val="00A01BB1"/>
    <w:rsid w:val="00A01BF1"/>
    <w:rsid w:val="00A01CC4"/>
    <w:rsid w:val="00A01D45"/>
    <w:rsid w:val="00A01DD9"/>
    <w:rsid w:val="00A01FCA"/>
    <w:rsid w:val="00A0231E"/>
    <w:rsid w:val="00A02815"/>
    <w:rsid w:val="00A02878"/>
    <w:rsid w:val="00A02C50"/>
    <w:rsid w:val="00A02CAC"/>
    <w:rsid w:val="00A02D21"/>
    <w:rsid w:val="00A02D24"/>
    <w:rsid w:val="00A02D80"/>
    <w:rsid w:val="00A03176"/>
    <w:rsid w:val="00A03216"/>
    <w:rsid w:val="00A0324C"/>
    <w:rsid w:val="00A03256"/>
    <w:rsid w:val="00A03258"/>
    <w:rsid w:val="00A03291"/>
    <w:rsid w:val="00A032B3"/>
    <w:rsid w:val="00A03410"/>
    <w:rsid w:val="00A03912"/>
    <w:rsid w:val="00A03955"/>
    <w:rsid w:val="00A03A35"/>
    <w:rsid w:val="00A03ADF"/>
    <w:rsid w:val="00A03AF6"/>
    <w:rsid w:val="00A03AFB"/>
    <w:rsid w:val="00A03BDB"/>
    <w:rsid w:val="00A03D04"/>
    <w:rsid w:val="00A04081"/>
    <w:rsid w:val="00A040FD"/>
    <w:rsid w:val="00A04151"/>
    <w:rsid w:val="00A0426A"/>
    <w:rsid w:val="00A046EA"/>
    <w:rsid w:val="00A04770"/>
    <w:rsid w:val="00A0482E"/>
    <w:rsid w:val="00A04AAB"/>
    <w:rsid w:val="00A04B74"/>
    <w:rsid w:val="00A04C0D"/>
    <w:rsid w:val="00A04DE1"/>
    <w:rsid w:val="00A04F14"/>
    <w:rsid w:val="00A04F32"/>
    <w:rsid w:val="00A05152"/>
    <w:rsid w:val="00A0520A"/>
    <w:rsid w:val="00A0533C"/>
    <w:rsid w:val="00A0550B"/>
    <w:rsid w:val="00A055C2"/>
    <w:rsid w:val="00A05660"/>
    <w:rsid w:val="00A05C29"/>
    <w:rsid w:val="00A05F23"/>
    <w:rsid w:val="00A061C9"/>
    <w:rsid w:val="00A061F4"/>
    <w:rsid w:val="00A06340"/>
    <w:rsid w:val="00A064C6"/>
    <w:rsid w:val="00A06668"/>
    <w:rsid w:val="00A067AA"/>
    <w:rsid w:val="00A067B1"/>
    <w:rsid w:val="00A06A27"/>
    <w:rsid w:val="00A06AEE"/>
    <w:rsid w:val="00A06B50"/>
    <w:rsid w:val="00A07327"/>
    <w:rsid w:val="00A07396"/>
    <w:rsid w:val="00A0742E"/>
    <w:rsid w:val="00A07655"/>
    <w:rsid w:val="00A07656"/>
    <w:rsid w:val="00A07743"/>
    <w:rsid w:val="00A07923"/>
    <w:rsid w:val="00A0795C"/>
    <w:rsid w:val="00A07E86"/>
    <w:rsid w:val="00A07F6F"/>
    <w:rsid w:val="00A07F83"/>
    <w:rsid w:val="00A100B0"/>
    <w:rsid w:val="00A104AD"/>
    <w:rsid w:val="00A10619"/>
    <w:rsid w:val="00A106B5"/>
    <w:rsid w:val="00A106D4"/>
    <w:rsid w:val="00A109BA"/>
    <w:rsid w:val="00A10E6F"/>
    <w:rsid w:val="00A10E8B"/>
    <w:rsid w:val="00A10F89"/>
    <w:rsid w:val="00A10FBF"/>
    <w:rsid w:val="00A1101B"/>
    <w:rsid w:val="00A1109F"/>
    <w:rsid w:val="00A11126"/>
    <w:rsid w:val="00A11181"/>
    <w:rsid w:val="00A11288"/>
    <w:rsid w:val="00A11412"/>
    <w:rsid w:val="00A11491"/>
    <w:rsid w:val="00A115C5"/>
    <w:rsid w:val="00A116F0"/>
    <w:rsid w:val="00A1193D"/>
    <w:rsid w:val="00A11A57"/>
    <w:rsid w:val="00A11B01"/>
    <w:rsid w:val="00A11C86"/>
    <w:rsid w:val="00A11E4A"/>
    <w:rsid w:val="00A11F1C"/>
    <w:rsid w:val="00A12362"/>
    <w:rsid w:val="00A1257D"/>
    <w:rsid w:val="00A12694"/>
    <w:rsid w:val="00A1281D"/>
    <w:rsid w:val="00A1290C"/>
    <w:rsid w:val="00A12A44"/>
    <w:rsid w:val="00A12A58"/>
    <w:rsid w:val="00A12CAD"/>
    <w:rsid w:val="00A12D76"/>
    <w:rsid w:val="00A12DB9"/>
    <w:rsid w:val="00A1314B"/>
    <w:rsid w:val="00A131D3"/>
    <w:rsid w:val="00A13217"/>
    <w:rsid w:val="00A13232"/>
    <w:rsid w:val="00A13478"/>
    <w:rsid w:val="00A136C7"/>
    <w:rsid w:val="00A1378C"/>
    <w:rsid w:val="00A13797"/>
    <w:rsid w:val="00A137F9"/>
    <w:rsid w:val="00A138AE"/>
    <w:rsid w:val="00A13948"/>
    <w:rsid w:val="00A13B03"/>
    <w:rsid w:val="00A13CD5"/>
    <w:rsid w:val="00A13D2D"/>
    <w:rsid w:val="00A13EC7"/>
    <w:rsid w:val="00A140F6"/>
    <w:rsid w:val="00A14188"/>
    <w:rsid w:val="00A143B8"/>
    <w:rsid w:val="00A144A2"/>
    <w:rsid w:val="00A1476F"/>
    <w:rsid w:val="00A14AAB"/>
    <w:rsid w:val="00A14B10"/>
    <w:rsid w:val="00A14D2C"/>
    <w:rsid w:val="00A14FF1"/>
    <w:rsid w:val="00A15148"/>
    <w:rsid w:val="00A1532E"/>
    <w:rsid w:val="00A154B8"/>
    <w:rsid w:val="00A15599"/>
    <w:rsid w:val="00A1568D"/>
    <w:rsid w:val="00A159D2"/>
    <w:rsid w:val="00A159E9"/>
    <w:rsid w:val="00A15E21"/>
    <w:rsid w:val="00A1602D"/>
    <w:rsid w:val="00A16341"/>
    <w:rsid w:val="00A1646B"/>
    <w:rsid w:val="00A165B6"/>
    <w:rsid w:val="00A16638"/>
    <w:rsid w:val="00A1685C"/>
    <w:rsid w:val="00A16A25"/>
    <w:rsid w:val="00A16A3C"/>
    <w:rsid w:val="00A16C2C"/>
    <w:rsid w:val="00A16CD0"/>
    <w:rsid w:val="00A16D46"/>
    <w:rsid w:val="00A16D6F"/>
    <w:rsid w:val="00A17228"/>
    <w:rsid w:val="00A172A8"/>
    <w:rsid w:val="00A17425"/>
    <w:rsid w:val="00A17490"/>
    <w:rsid w:val="00A17695"/>
    <w:rsid w:val="00A1799A"/>
    <w:rsid w:val="00A179C8"/>
    <w:rsid w:val="00A179CF"/>
    <w:rsid w:val="00A17A41"/>
    <w:rsid w:val="00A17B69"/>
    <w:rsid w:val="00A17EB5"/>
    <w:rsid w:val="00A17FED"/>
    <w:rsid w:val="00A201B9"/>
    <w:rsid w:val="00A201D2"/>
    <w:rsid w:val="00A2027A"/>
    <w:rsid w:val="00A20B1A"/>
    <w:rsid w:val="00A20D63"/>
    <w:rsid w:val="00A20E77"/>
    <w:rsid w:val="00A210DA"/>
    <w:rsid w:val="00A21168"/>
    <w:rsid w:val="00A2148D"/>
    <w:rsid w:val="00A21493"/>
    <w:rsid w:val="00A2165E"/>
    <w:rsid w:val="00A216F9"/>
    <w:rsid w:val="00A217BA"/>
    <w:rsid w:val="00A21867"/>
    <w:rsid w:val="00A21B10"/>
    <w:rsid w:val="00A21B75"/>
    <w:rsid w:val="00A21BD5"/>
    <w:rsid w:val="00A21C21"/>
    <w:rsid w:val="00A21C88"/>
    <w:rsid w:val="00A21E43"/>
    <w:rsid w:val="00A2204F"/>
    <w:rsid w:val="00A22167"/>
    <w:rsid w:val="00A221B4"/>
    <w:rsid w:val="00A222F9"/>
    <w:rsid w:val="00A227BA"/>
    <w:rsid w:val="00A22A39"/>
    <w:rsid w:val="00A22EC9"/>
    <w:rsid w:val="00A2315A"/>
    <w:rsid w:val="00A233FD"/>
    <w:rsid w:val="00A2362C"/>
    <w:rsid w:val="00A23737"/>
    <w:rsid w:val="00A23762"/>
    <w:rsid w:val="00A23AC8"/>
    <w:rsid w:val="00A23B36"/>
    <w:rsid w:val="00A23C4F"/>
    <w:rsid w:val="00A23E14"/>
    <w:rsid w:val="00A23EE5"/>
    <w:rsid w:val="00A23F68"/>
    <w:rsid w:val="00A245B6"/>
    <w:rsid w:val="00A24620"/>
    <w:rsid w:val="00A2485F"/>
    <w:rsid w:val="00A249DA"/>
    <w:rsid w:val="00A24A0B"/>
    <w:rsid w:val="00A24A13"/>
    <w:rsid w:val="00A24AB8"/>
    <w:rsid w:val="00A24E3D"/>
    <w:rsid w:val="00A25106"/>
    <w:rsid w:val="00A25278"/>
    <w:rsid w:val="00A25408"/>
    <w:rsid w:val="00A255F5"/>
    <w:rsid w:val="00A2562B"/>
    <w:rsid w:val="00A2572B"/>
    <w:rsid w:val="00A25B4E"/>
    <w:rsid w:val="00A25F50"/>
    <w:rsid w:val="00A2646D"/>
    <w:rsid w:val="00A2661F"/>
    <w:rsid w:val="00A2672F"/>
    <w:rsid w:val="00A2676B"/>
    <w:rsid w:val="00A2699B"/>
    <w:rsid w:val="00A26BC0"/>
    <w:rsid w:val="00A26D1F"/>
    <w:rsid w:val="00A26D3F"/>
    <w:rsid w:val="00A26E4A"/>
    <w:rsid w:val="00A26F33"/>
    <w:rsid w:val="00A270DB"/>
    <w:rsid w:val="00A2719D"/>
    <w:rsid w:val="00A2738E"/>
    <w:rsid w:val="00A273C6"/>
    <w:rsid w:val="00A275CF"/>
    <w:rsid w:val="00A276B0"/>
    <w:rsid w:val="00A27705"/>
    <w:rsid w:val="00A27812"/>
    <w:rsid w:val="00A27913"/>
    <w:rsid w:val="00A279A3"/>
    <w:rsid w:val="00A27AA7"/>
    <w:rsid w:val="00A27AD3"/>
    <w:rsid w:val="00A27DFD"/>
    <w:rsid w:val="00A300AB"/>
    <w:rsid w:val="00A300B2"/>
    <w:rsid w:val="00A302B9"/>
    <w:rsid w:val="00A303DB"/>
    <w:rsid w:val="00A30A01"/>
    <w:rsid w:val="00A30B48"/>
    <w:rsid w:val="00A310C1"/>
    <w:rsid w:val="00A310F1"/>
    <w:rsid w:val="00A31669"/>
    <w:rsid w:val="00A3198F"/>
    <w:rsid w:val="00A31ABC"/>
    <w:rsid w:val="00A31EEA"/>
    <w:rsid w:val="00A32046"/>
    <w:rsid w:val="00A321BD"/>
    <w:rsid w:val="00A32240"/>
    <w:rsid w:val="00A3229B"/>
    <w:rsid w:val="00A3266F"/>
    <w:rsid w:val="00A32925"/>
    <w:rsid w:val="00A32EE1"/>
    <w:rsid w:val="00A3300A"/>
    <w:rsid w:val="00A33434"/>
    <w:rsid w:val="00A334EF"/>
    <w:rsid w:val="00A334FA"/>
    <w:rsid w:val="00A33577"/>
    <w:rsid w:val="00A3377F"/>
    <w:rsid w:val="00A33982"/>
    <w:rsid w:val="00A33BB4"/>
    <w:rsid w:val="00A33CF9"/>
    <w:rsid w:val="00A34148"/>
    <w:rsid w:val="00A34222"/>
    <w:rsid w:val="00A34282"/>
    <w:rsid w:val="00A34436"/>
    <w:rsid w:val="00A34572"/>
    <w:rsid w:val="00A34639"/>
    <w:rsid w:val="00A347BD"/>
    <w:rsid w:val="00A34832"/>
    <w:rsid w:val="00A34868"/>
    <w:rsid w:val="00A34989"/>
    <w:rsid w:val="00A34A2F"/>
    <w:rsid w:val="00A34F15"/>
    <w:rsid w:val="00A34FB5"/>
    <w:rsid w:val="00A350FE"/>
    <w:rsid w:val="00A3565D"/>
    <w:rsid w:val="00A3588A"/>
    <w:rsid w:val="00A35A36"/>
    <w:rsid w:val="00A35AFC"/>
    <w:rsid w:val="00A35CD2"/>
    <w:rsid w:val="00A35F32"/>
    <w:rsid w:val="00A35FA6"/>
    <w:rsid w:val="00A36190"/>
    <w:rsid w:val="00A36334"/>
    <w:rsid w:val="00A36353"/>
    <w:rsid w:val="00A3657F"/>
    <w:rsid w:val="00A367DB"/>
    <w:rsid w:val="00A36BC3"/>
    <w:rsid w:val="00A36C24"/>
    <w:rsid w:val="00A36D87"/>
    <w:rsid w:val="00A36E74"/>
    <w:rsid w:val="00A36EDB"/>
    <w:rsid w:val="00A36F39"/>
    <w:rsid w:val="00A36FAE"/>
    <w:rsid w:val="00A370F3"/>
    <w:rsid w:val="00A371BA"/>
    <w:rsid w:val="00A37202"/>
    <w:rsid w:val="00A37444"/>
    <w:rsid w:val="00A3752E"/>
    <w:rsid w:val="00A375DD"/>
    <w:rsid w:val="00A37644"/>
    <w:rsid w:val="00A37680"/>
    <w:rsid w:val="00A3770A"/>
    <w:rsid w:val="00A37942"/>
    <w:rsid w:val="00A37A68"/>
    <w:rsid w:val="00A37DAF"/>
    <w:rsid w:val="00A40037"/>
    <w:rsid w:val="00A402E3"/>
    <w:rsid w:val="00A404CC"/>
    <w:rsid w:val="00A40599"/>
    <w:rsid w:val="00A4072F"/>
    <w:rsid w:val="00A40852"/>
    <w:rsid w:val="00A4088D"/>
    <w:rsid w:val="00A4096C"/>
    <w:rsid w:val="00A40AF5"/>
    <w:rsid w:val="00A40FF4"/>
    <w:rsid w:val="00A41087"/>
    <w:rsid w:val="00A41529"/>
    <w:rsid w:val="00A41730"/>
    <w:rsid w:val="00A4178D"/>
    <w:rsid w:val="00A418CD"/>
    <w:rsid w:val="00A41912"/>
    <w:rsid w:val="00A41D13"/>
    <w:rsid w:val="00A41D3A"/>
    <w:rsid w:val="00A41D9E"/>
    <w:rsid w:val="00A41DF0"/>
    <w:rsid w:val="00A41E03"/>
    <w:rsid w:val="00A41E5D"/>
    <w:rsid w:val="00A41EBF"/>
    <w:rsid w:val="00A41FC0"/>
    <w:rsid w:val="00A42024"/>
    <w:rsid w:val="00A4233F"/>
    <w:rsid w:val="00A4236B"/>
    <w:rsid w:val="00A42564"/>
    <w:rsid w:val="00A425E1"/>
    <w:rsid w:val="00A42641"/>
    <w:rsid w:val="00A42864"/>
    <w:rsid w:val="00A42C38"/>
    <w:rsid w:val="00A42CEE"/>
    <w:rsid w:val="00A43084"/>
    <w:rsid w:val="00A4310F"/>
    <w:rsid w:val="00A43292"/>
    <w:rsid w:val="00A434C7"/>
    <w:rsid w:val="00A43518"/>
    <w:rsid w:val="00A437A5"/>
    <w:rsid w:val="00A43AED"/>
    <w:rsid w:val="00A43B81"/>
    <w:rsid w:val="00A43C64"/>
    <w:rsid w:val="00A43CC7"/>
    <w:rsid w:val="00A43D4C"/>
    <w:rsid w:val="00A43E3D"/>
    <w:rsid w:val="00A43F20"/>
    <w:rsid w:val="00A440ED"/>
    <w:rsid w:val="00A44129"/>
    <w:rsid w:val="00A44221"/>
    <w:rsid w:val="00A4437D"/>
    <w:rsid w:val="00A446D3"/>
    <w:rsid w:val="00A447A3"/>
    <w:rsid w:val="00A44802"/>
    <w:rsid w:val="00A448BC"/>
    <w:rsid w:val="00A44940"/>
    <w:rsid w:val="00A44AC3"/>
    <w:rsid w:val="00A44AF7"/>
    <w:rsid w:val="00A44B61"/>
    <w:rsid w:val="00A44B87"/>
    <w:rsid w:val="00A44BC2"/>
    <w:rsid w:val="00A44BE1"/>
    <w:rsid w:val="00A44C05"/>
    <w:rsid w:val="00A44D03"/>
    <w:rsid w:val="00A44DAF"/>
    <w:rsid w:val="00A45024"/>
    <w:rsid w:val="00A45069"/>
    <w:rsid w:val="00A45200"/>
    <w:rsid w:val="00A4523A"/>
    <w:rsid w:val="00A45378"/>
    <w:rsid w:val="00A45409"/>
    <w:rsid w:val="00A459C1"/>
    <w:rsid w:val="00A45A75"/>
    <w:rsid w:val="00A45BB3"/>
    <w:rsid w:val="00A45C5F"/>
    <w:rsid w:val="00A45CF4"/>
    <w:rsid w:val="00A45F46"/>
    <w:rsid w:val="00A45FE3"/>
    <w:rsid w:val="00A462C4"/>
    <w:rsid w:val="00A4642A"/>
    <w:rsid w:val="00A464ED"/>
    <w:rsid w:val="00A46995"/>
    <w:rsid w:val="00A469AB"/>
    <w:rsid w:val="00A46A04"/>
    <w:rsid w:val="00A46B10"/>
    <w:rsid w:val="00A4707E"/>
    <w:rsid w:val="00A472E2"/>
    <w:rsid w:val="00A4760B"/>
    <w:rsid w:val="00A47749"/>
    <w:rsid w:val="00A47824"/>
    <w:rsid w:val="00A4794A"/>
    <w:rsid w:val="00A47961"/>
    <w:rsid w:val="00A47A28"/>
    <w:rsid w:val="00A47E83"/>
    <w:rsid w:val="00A47EED"/>
    <w:rsid w:val="00A5017D"/>
    <w:rsid w:val="00A5022C"/>
    <w:rsid w:val="00A503A4"/>
    <w:rsid w:val="00A503CF"/>
    <w:rsid w:val="00A50421"/>
    <w:rsid w:val="00A5043A"/>
    <w:rsid w:val="00A5043E"/>
    <w:rsid w:val="00A50C83"/>
    <w:rsid w:val="00A50CFA"/>
    <w:rsid w:val="00A50DBF"/>
    <w:rsid w:val="00A50E9B"/>
    <w:rsid w:val="00A50E9F"/>
    <w:rsid w:val="00A51035"/>
    <w:rsid w:val="00A51059"/>
    <w:rsid w:val="00A51094"/>
    <w:rsid w:val="00A510A3"/>
    <w:rsid w:val="00A51294"/>
    <w:rsid w:val="00A513C2"/>
    <w:rsid w:val="00A51450"/>
    <w:rsid w:val="00A515D1"/>
    <w:rsid w:val="00A516F8"/>
    <w:rsid w:val="00A519A8"/>
    <w:rsid w:val="00A51CA0"/>
    <w:rsid w:val="00A51DAA"/>
    <w:rsid w:val="00A51DB2"/>
    <w:rsid w:val="00A51E28"/>
    <w:rsid w:val="00A521C3"/>
    <w:rsid w:val="00A52287"/>
    <w:rsid w:val="00A524C0"/>
    <w:rsid w:val="00A525E4"/>
    <w:rsid w:val="00A525F2"/>
    <w:rsid w:val="00A52695"/>
    <w:rsid w:val="00A5272B"/>
    <w:rsid w:val="00A5292B"/>
    <w:rsid w:val="00A52B76"/>
    <w:rsid w:val="00A52D4C"/>
    <w:rsid w:val="00A52DB4"/>
    <w:rsid w:val="00A52E24"/>
    <w:rsid w:val="00A52E52"/>
    <w:rsid w:val="00A52E8F"/>
    <w:rsid w:val="00A52FB5"/>
    <w:rsid w:val="00A53316"/>
    <w:rsid w:val="00A533AF"/>
    <w:rsid w:val="00A535FB"/>
    <w:rsid w:val="00A53924"/>
    <w:rsid w:val="00A53CA1"/>
    <w:rsid w:val="00A53E1B"/>
    <w:rsid w:val="00A53F0F"/>
    <w:rsid w:val="00A53FA8"/>
    <w:rsid w:val="00A5403E"/>
    <w:rsid w:val="00A542EC"/>
    <w:rsid w:val="00A54372"/>
    <w:rsid w:val="00A543EF"/>
    <w:rsid w:val="00A5453C"/>
    <w:rsid w:val="00A54643"/>
    <w:rsid w:val="00A5473B"/>
    <w:rsid w:val="00A548C2"/>
    <w:rsid w:val="00A5498C"/>
    <w:rsid w:val="00A54CAC"/>
    <w:rsid w:val="00A54D23"/>
    <w:rsid w:val="00A54D29"/>
    <w:rsid w:val="00A54D97"/>
    <w:rsid w:val="00A550AE"/>
    <w:rsid w:val="00A550BA"/>
    <w:rsid w:val="00A550D0"/>
    <w:rsid w:val="00A552E9"/>
    <w:rsid w:val="00A55535"/>
    <w:rsid w:val="00A55581"/>
    <w:rsid w:val="00A555FC"/>
    <w:rsid w:val="00A557C6"/>
    <w:rsid w:val="00A557DD"/>
    <w:rsid w:val="00A5586F"/>
    <w:rsid w:val="00A55924"/>
    <w:rsid w:val="00A55A51"/>
    <w:rsid w:val="00A55C60"/>
    <w:rsid w:val="00A55CD2"/>
    <w:rsid w:val="00A56175"/>
    <w:rsid w:val="00A56384"/>
    <w:rsid w:val="00A5642F"/>
    <w:rsid w:val="00A56512"/>
    <w:rsid w:val="00A56667"/>
    <w:rsid w:val="00A5669B"/>
    <w:rsid w:val="00A56871"/>
    <w:rsid w:val="00A56925"/>
    <w:rsid w:val="00A5693A"/>
    <w:rsid w:val="00A56AD9"/>
    <w:rsid w:val="00A56B2A"/>
    <w:rsid w:val="00A56BC2"/>
    <w:rsid w:val="00A56BE1"/>
    <w:rsid w:val="00A56CBB"/>
    <w:rsid w:val="00A56D60"/>
    <w:rsid w:val="00A56D66"/>
    <w:rsid w:val="00A56DCE"/>
    <w:rsid w:val="00A56E18"/>
    <w:rsid w:val="00A56E9D"/>
    <w:rsid w:val="00A56F36"/>
    <w:rsid w:val="00A57017"/>
    <w:rsid w:val="00A570E7"/>
    <w:rsid w:val="00A5722A"/>
    <w:rsid w:val="00A572AE"/>
    <w:rsid w:val="00A572D5"/>
    <w:rsid w:val="00A57A98"/>
    <w:rsid w:val="00A6009C"/>
    <w:rsid w:val="00A60392"/>
    <w:rsid w:val="00A60759"/>
    <w:rsid w:val="00A609E6"/>
    <w:rsid w:val="00A60AE9"/>
    <w:rsid w:val="00A60DBE"/>
    <w:rsid w:val="00A60F0F"/>
    <w:rsid w:val="00A610D0"/>
    <w:rsid w:val="00A6115C"/>
    <w:rsid w:val="00A611FB"/>
    <w:rsid w:val="00A616C6"/>
    <w:rsid w:val="00A61844"/>
    <w:rsid w:val="00A61B06"/>
    <w:rsid w:val="00A61C95"/>
    <w:rsid w:val="00A61EF1"/>
    <w:rsid w:val="00A61FC1"/>
    <w:rsid w:val="00A62549"/>
    <w:rsid w:val="00A62942"/>
    <w:rsid w:val="00A62BFC"/>
    <w:rsid w:val="00A62E60"/>
    <w:rsid w:val="00A62EC7"/>
    <w:rsid w:val="00A62EF7"/>
    <w:rsid w:val="00A630D0"/>
    <w:rsid w:val="00A631E3"/>
    <w:rsid w:val="00A632CD"/>
    <w:rsid w:val="00A6347B"/>
    <w:rsid w:val="00A63630"/>
    <w:rsid w:val="00A63690"/>
    <w:rsid w:val="00A6374D"/>
    <w:rsid w:val="00A638B8"/>
    <w:rsid w:val="00A63AE4"/>
    <w:rsid w:val="00A63DB6"/>
    <w:rsid w:val="00A64476"/>
    <w:rsid w:val="00A64775"/>
    <w:rsid w:val="00A647ED"/>
    <w:rsid w:val="00A64902"/>
    <w:rsid w:val="00A649BB"/>
    <w:rsid w:val="00A649DC"/>
    <w:rsid w:val="00A64AF5"/>
    <w:rsid w:val="00A64EB2"/>
    <w:rsid w:val="00A650D0"/>
    <w:rsid w:val="00A6515E"/>
    <w:rsid w:val="00A6517D"/>
    <w:rsid w:val="00A65211"/>
    <w:rsid w:val="00A654CB"/>
    <w:rsid w:val="00A65511"/>
    <w:rsid w:val="00A656DE"/>
    <w:rsid w:val="00A657E1"/>
    <w:rsid w:val="00A657EF"/>
    <w:rsid w:val="00A65BF9"/>
    <w:rsid w:val="00A65C1F"/>
    <w:rsid w:val="00A65C24"/>
    <w:rsid w:val="00A65E4D"/>
    <w:rsid w:val="00A66092"/>
    <w:rsid w:val="00A660F5"/>
    <w:rsid w:val="00A66126"/>
    <w:rsid w:val="00A6625A"/>
    <w:rsid w:val="00A66274"/>
    <w:rsid w:val="00A6628B"/>
    <w:rsid w:val="00A662B3"/>
    <w:rsid w:val="00A66463"/>
    <w:rsid w:val="00A66541"/>
    <w:rsid w:val="00A666ED"/>
    <w:rsid w:val="00A666F6"/>
    <w:rsid w:val="00A667F8"/>
    <w:rsid w:val="00A66885"/>
    <w:rsid w:val="00A66BB7"/>
    <w:rsid w:val="00A66C93"/>
    <w:rsid w:val="00A66F70"/>
    <w:rsid w:val="00A673B8"/>
    <w:rsid w:val="00A673C6"/>
    <w:rsid w:val="00A6761B"/>
    <w:rsid w:val="00A677D7"/>
    <w:rsid w:val="00A67876"/>
    <w:rsid w:val="00A67AAC"/>
    <w:rsid w:val="00A67B5F"/>
    <w:rsid w:val="00A67D06"/>
    <w:rsid w:val="00A67DE1"/>
    <w:rsid w:val="00A67E4D"/>
    <w:rsid w:val="00A67F27"/>
    <w:rsid w:val="00A70346"/>
    <w:rsid w:val="00A703F7"/>
    <w:rsid w:val="00A70697"/>
    <w:rsid w:val="00A706B9"/>
    <w:rsid w:val="00A707C9"/>
    <w:rsid w:val="00A708DB"/>
    <w:rsid w:val="00A70A75"/>
    <w:rsid w:val="00A70ABF"/>
    <w:rsid w:val="00A70E36"/>
    <w:rsid w:val="00A70FC2"/>
    <w:rsid w:val="00A711D2"/>
    <w:rsid w:val="00A7148B"/>
    <w:rsid w:val="00A716A9"/>
    <w:rsid w:val="00A717B3"/>
    <w:rsid w:val="00A719E2"/>
    <w:rsid w:val="00A71A0C"/>
    <w:rsid w:val="00A71AD0"/>
    <w:rsid w:val="00A71C1A"/>
    <w:rsid w:val="00A71D6C"/>
    <w:rsid w:val="00A71F68"/>
    <w:rsid w:val="00A7230D"/>
    <w:rsid w:val="00A723E6"/>
    <w:rsid w:val="00A72636"/>
    <w:rsid w:val="00A72784"/>
    <w:rsid w:val="00A728F5"/>
    <w:rsid w:val="00A729C3"/>
    <w:rsid w:val="00A72A10"/>
    <w:rsid w:val="00A72AE4"/>
    <w:rsid w:val="00A72B4B"/>
    <w:rsid w:val="00A72BAD"/>
    <w:rsid w:val="00A72BD8"/>
    <w:rsid w:val="00A731AA"/>
    <w:rsid w:val="00A7348A"/>
    <w:rsid w:val="00A736B9"/>
    <w:rsid w:val="00A736FA"/>
    <w:rsid w:val="00A7371B"/>
    <w:rsid w:val="00A73A9C"/>
    <w:rsid w:val="00A73B7B"/>
    <w:rsid w:val="00A73FC6"/>
    <w:rsid w:val="00A74271"/>
    <w:rsid w:val="00A74404"/>
    <w:rsid w:val="00A74648"/>
    <w:rsid w:val="00A746D3"/>
    <w:rsid w:val="00A74886"/>
    <w:rsid w:val="00A74C6C"/>
    <w:rsid w:val="00A74D14"/>
    <w:rsid w:val="00A75086"/>
    <w:rsid w:val="00A75112"/>
    <w:rsid w:val="00A7533E"/>
    <w:rsid w:val="00A754F1"/>
    <w:rsid w:val="00A75707"/>
    <w:rsid w:val="00A75871"/>
    <w:rsid w:val="00A759A7"/>
    <w:rsid w:val="00A75A2C"/>
    <w:rsid w:val="00A75C0D"/>
    <w:rsid w:val="00A75DA1"/>
    <w:rsid w:val="00A75DD6"/>
    <w:rsid w:val="00A7600F"/>
    <w:rsid w:val="00A76125"/>
    <w:rsid w:val="00A761B7"/>
    <w:rsid w:val="00A761FF"/>
    <w:rsid w:val="00A763E3"/>
    <w:rsid w:val="00A764CB"/>
    <w:rsid w:val="00A76567"/>
    <w:rsid w:val="00A765CF"/>
    <w:rsid w:val="00A768AC"/>
    <w:rsid w:val="00A76BA4"/>
    <w:rsid w:val="00A76BC0"/>
    <w:rsid w:val="00A76D46"/>
    <w:rsid w:val="00A76EA4"/>
    <w:rsid w:val="00A76EE5"/>
    <w:rsid w:val="00A76F2A"/>
    <w:rsid w:val="00A7719C"/>
    <w:rsid w:val="00A774B7"/>
    <w:rsid w:val="00A77618"/>
    <w:rsid w:val="00A77626"/>
    <w:rsid w:val="00A776F7"/>
    <w:rsid w:val="00A7795E"/>
    <w:rsid w:val="00A77BDE"/>
    <w:rsid w:val="00A77C0A"/>
    <w:rsid w:val="00A77CBB"/>
    <w:rsid w:val="00A77D3A"/>
    <w:rsid w:val="00A77F64"/>
    <w:rsid w:val="00A77FF8"/>
    <w:rsid w:val="00A804EB"/>
    <w:rsid w:val="00A80525"/>
    <w:rsid w:val="00A806BB"/>
    <w:rsid w:val="00A8083E"/>
    <w:rsid w:val="00A808BB"/>
    <w:rsid w:val="00A80931"/>
    <w:rsid w:val="00A80D10"/>
    <w:rsid w:val="00A80E82"/>
    <w:rsid w:val="00A810B9"/>
    <w:rsid w:val="00A811FD"/>
    <w:rsid w:val="00A8145C"/>
    <w:rsid w:val="00A814D6"/>
    <w:rsid w:val="00A81562"/>
    <w:rsid w:val="00A81633"/>
    <w:rsid w:val="00A819FA"/>
    <w:rsid w:val="00A81B8F"/>
    <w:rsid w:val="00A81BE5"/>
    <w:rsid w:val="00A81D81"/>
    <w:rsid w:val="00A81DA3"/>
    <w:rsid w:val="00A81F82"/>
    <w:rsid w:val="00A81F95"/>
    <w:rsid w:val="00A82209"/>
    <w:rsid w:val="00A8240B"/>
    <w:rsid w:val="00A82437"/>
    <w:rsid w:val="00A8246C"/>
    <w:rsid w:val="00A826A4"/>
    <w:rsid w:val="00A82897"/>
    <w:rsid w:val="00A829DE"/>
    <w:rsid w:val="00A82A9D"/>
    <w:rsid w:val="00A82CE8"/>
    <w:rsid w:val="00A82E51"/>
    <w:rsid w:val="00A82F07"/>
    <w:rsid w:val="00A82FD6"/>
    <w:rsid w:val="00A8319D"/>
    <w:rsid w:val="00A83322"/>
    <w:rsid w:val="00A83783"/>
    <w:rsid w:val="00A83986"/>
    <w:rsid w:val="00A83995"/>
    <w:rsid w:val="00A83B00"/>
    <w:rsid w:val="00A83C07"/>
    <w:rsid w:val="00A83DEF"/>
    <w:rsid w:val="00A8401C"/>
    <w:rsid w:val="00A84038"/>
    <w:rsid w:val="00A840CF"/>
    <w:rsid w:val="00A841B0"/>
    <w:rsid w:val="00A842AC"/>
    <w:rsid w:val="00A842C5"/>
    <w:rsid w:val="00A842D9"/>
    <w:rsid w:val="00A84426"/>
    <w:rsid w:val="00A84A2F"/>
    <w:rsid w:val="00A84CA9"/>
    <w:rsid w:val="00A84E76"/>
    <w:rsid w:val="00A84E86"/>
    <w:rsid w:val="00A84EAA"/>
    <w:rsid w:val="00A84EE5"/>
    <w:rsid w:val="00A85025"/>
    <w:rsid w:val="00A850D0"/>
    <w:rsid w:val="00A851D8"/>
    <w:rsid w:val="00A85348"/>
    <w:rsid w:val="00A8560A"/>
    <w:rsid w:val="00A85636"/>
    <w:rsid w:val="00A8565E"/>
    <w:rsid w:val="00A85676"/>
    <w:rsid w:val="00A8567C"/>
    <w:rsid w:val="00A8567F"/>
    <w:rsid w:val="00A85A2B"/>
    <w:rsid w:val="00A85B11"/>
    <w:rsid w:val="00A85BC5"/>
    <w:rsid w:val="00A85DEC"/>
    <w:rsid w:val="00A85E0F"/>
    <w:rsid w:val="00A85E8A"/>
    <w:rsid w:val="00A85F0F"/>
    <w:rsid w:val="00A85FFB"/>
    <w:rsid w:val="00A86148"/>
    <w:rsid w:val="00A86157"/>
    <w:rsid w:val="00A862D0"/>
    <w:rsid w:val="00A8630E"/>
    <w:rsid w:val="00A8632E"/>
    <w:rsid w:val="00A864F7"/>
    <w:rsid w:val="00A8655D"/>
    <w:rsid w:val="00A86565"/>
    <w:rsid w:val="00A86ACC"/>
    <w:rsid w:val="00A86D14"/>
    <w:rsid w:val="00A86E5D"/>
    <w:rsid w:val="00A86E9C"/>
    <w:rsid w:val="00A86EB6"/>
    <w:rsid w:val="00A87064"/>
    <w:rsid w:val="00A8707D"/>
    <w:rsid w:val="00A877F8"/>
    <w:rsid w:val="00A87877"/>
    <w:rsid w:val="00A878B5"/>
    <w:rsid w:val="00A878D6"/>
    <w:rsid w:val="00A87937"/>
    <w:rsid w:val="00A87B84"/>
    <w:rsid w:val="00A87CE4"/>
    <w:rsid w:val="00A87D99"/>
    <w:rsid w:val="00A90014"/>
    <w:rsid w:val="00A90207"/>
    <w:rsid w:val="00A9073F"/>
    <w:rsid w:val="00A90790"/>
    <w:rsid w:val="00A908B0"/>
    <w:rsid w:val="00A90A4F"/>
    <w:rsid w:val="00A90AC8"/>
    <w:rsid w:val="00A90CAA"/>
    <w:rsid w:val="00A90E05"/>
    <w:rsid w:val="00A90F19"/>
    <w:rsid w:val="00A9109D"/>
    <w:rsid w:val="00A910CA"/>
    <w:rsid w:val="00A91416"/>
    <w:rsid w:val="00A9167D"/>
    <w:rsid w:val="00A91AF1"/>
    <w:rsid w:val="00A91AFA"/>
    <w:rsid w:val="00A91C15"/>
    <w:rsid w:val="00A91CF2"/>
    <w:rsid w:val="00A91EF2"/>
    <w:rsid w:val="00A9217F"/>
    <w:rsid w:val="00A92448"/>
    <w:rsid w:val="00A92452"/>
    <w:rsid w:val="00A924C6"/>
    <w:rsid w:val="00A92536"/>
    <w:rsid w:val="00A92557"/>
    <w:rsid w:val="00A9255D"/>
    <w:rsid w:val="00A92B13"/>
    <w:rsid w:val="00A92CF0"/>
    <w:rsid w:val="00A92D0D"/>
    <w:rsid w:val="00A92DBF"/>
    <w:rsid w:val="00A92DE3"/>
    <w:rsid w:val="00A92E01"/>
    <w:rsid w:val="00A931FF"/>
    <w:rsid w:val="00A932E8"/>
    <w:rsid w:val="00A933C2"/>
    <w:rsid w:val="00A934B4"/>
    <w:rsid w:val="00A93543"/>
    <w:rsid w:val="00A9355B"/>
    <w:rsid w:val="00A9356C"/>
    <w:rsid w:val="00A93573"/>
    <w:rsid w:val="00A9383F"/>
    <w:rsid w:val="00A93854"/>
    <w:rsid w:val="00A938F0"/>
    <w:rsid w:val="00A93AFF"/>
    <w:rsid w:val="00A93C1F"/>
    <w:rsid w:val="00A93C53"/>
    <w:rsid w:val="00A93DE7"/>
    <w:rsid w:val="00A93F16"/>
    <w:rsid w:val="00A93F6B"/>
    <w:rsid w:val="00A93FB9"/>
    <w:rsid w:val="00A9402D"/>
    <w:rsid w:val="00A94175"/>
    <w:rsid w:val="00A94201"/>
    <w:rsid w:val="00A94278"/>
    <w:rsid w:val="00A942BF"/>
    <w:rsid w:val="00A94629"/>
    <w:rsid w:val="00A94740"/>
    <w:rsid w:val="00A9485C"/>
    <w:rsid w:val="00A948AF"/>
    <w:rsid w:val="00A94A13"/>
    <w:rsid w:val="00A94A80"/>
    <w:rsid w:val="00A94CDD"/>
    <w:rsid w:val="00A94D8B"/>
    <w:rsid w:val="00A94E67"/>
    <w:rsid w:val="00A94EC9"/>
    <w:rsid w:val="00A94EFC"/>
    <w:rsid w:val="00A94F38"/>
    <w:rsid w:val="00A950C9"/>
    <w:rsid w:val="00A95171"/>
    <w:rsid w:val="00A956C4"/>
    <w:rsid w:val="00A95789"/>
    <w:rsid w:val="00A9580A"/>
    <w:rsid w:val="00A9584C"/>
    <w:rsid w:val="00A9584D"/>
    <w:rsid w:val="00A95A08"/>
    <w:rsid w:val="00A95A8F"/>
    <w:rsid w:val="00A95B79"/>
    <w:rsid w:val="00A95BC6"/>
    <w:rsid w:val="00A95CC8"/>
    <w:rsid w:val="00A95EFC"/>
    <w:rsid w:val="00A95FD5"/>
    <w:rsid w:val="00A96061"/>
    <w:rsid w:val="00A960AB"/>
    <w:rsid w:val="00A96139"/>
    <w:rsid w:val="00A96206"/>
    <w:rsid w:val="00A962BB"/>
    <w:rsid w:val="00A963DD"/>
    <w:rsid w:val="00A9644D"/>
    <w:rsid w:val="00A96458"/>
    <w:rsid w:val="00A96719"/>
    <w:rsid w:val="00A9682D"/>
    <w:rsid w:val="00A96DF1"/>
    <w:rsid w:val="00A96E98"/>
    <w:rsid w:val="00A96EA6"/>
    <w:rsid w:val="00A96EE6"/>
    <w:rsid w:val="00A973B2"/>
    <w:rsid w:val="00A976DA"/>
    <w:rsid w:val="00A97711"/>
    <w:rsid w:val="00A977AA"/>
    <w:rsid w:val="00A977C9"/>
    <w:rsid w:val="00A9791F"/>
    <w:rsid w:val="00A97A12"/>
    <w:rsid w:val="00A97ABE"/>
    <w:rsid w:val="00A97B5F"/>
    <w:rsid w:val="00A97CBB"/>
    <w:rsid w:val="00A97E8C"/>
    <w:rsid w:val="00AA00BE"/>
    <w:rsid w:val="00AA0353"/>
    <w:rsid w:val="00AA040C"/>
    <w:rsid w:val="00AA04AA"/>
    <w:rsid w:val="00AA07A0"/>
    <w:rsid w:val="00AA07C1"/>
    <w:rsid w:val="00AA0972"/>
    <w:rsid w:val="00AA0D5D"/>
    <w:rsid w:val="00AA0D99"/>
    <w:rsid w:val="00AA0E3F"/>
    <w:rsid w:val="00AA0F9C"/>
    <w:rsid w:val="00AA1018"/>
    <w:rsid w:val="00AA1044"/>
    <w:rsid w:val="00AA10A8"/>
    <w:rsid w:val="00AA153C"/>
    <w:rsid w:val="00AA1681"/>
    <w:rsid w:val="00AA1A2A"/>
    <w:rsid w:val="00AA1A3B"/>
    <w:rsid w:val="00AA1C50"/>
    <w:rsid w:val="00AA1CEE"/>
    <w:rsid w:val="00AA1DC5"/>
    <w:rsid w:val="00AA1DF2"/>
    <w:rsid w:val="00AA1E10"/>
    <w:rsid w:val="00AA1E32"/>
    <w:rsid w:val="00AA1E41"/>
    <w:rsid w:val="00AA1E9F"/>
    <w:rsid w:val="00AA1FDE"/>
    <w:rsid w:val="00AA20F4"/>
    <w:rsid w:val="00AA2B6F"/>
    <w:rsid w:val="00AA2DDF"/>
    <w:rsid w:val="00AA2F85"/>
    <w:rsid w:val="00AA2FA1"/>
    <w:rsid w:val="00AA3017"/>
    <w:rsid w:val="00AA3146"/>
    <w:rsid w:val="00AA331E"/>
    <w:rsid w:val="00AA3582"/>
    <w:rsid w:val="00AA35AE"/>
    <w:rsid w:val="00AA35FE"/>
    <w:rsid w:val="00AA36A0"/>
    <w:rsid w:val="00AA378B"/>
    <w:rsid w:val="00AA3901"/>
    <w:rsid w:val="00AA3A15"/>
    <w:rsid w:val="00AA3A54"/>
    <w:rsid w:val="00AA3C48"/>
    <w:rsid w:val="00AA3C6C"/>
    <w:rsid w:val="00AA3E8C"/>
    <w:rsid w:val="00AA3EF7"/>
    <w:rsid w:val="00AA3EFE"/>
    <w:rsid w:val="00AA4369"/>
    <w:rsid w:val="00AA43E1"/>
    <w:rsid w:val="00AA48C2"/>
    <w:rsid w:val="00AA4A7B"/>
    <w:rsid w:val="00AA4C0B"/>
    <w:rsid w:val="00AA512D"/>
    <w:rsid w:val="00AA5163"/>
    <w:rsid w:val="00AA51AA"/>
    <w:rsid w:val="00AA51C1"/>
    <w:rsid w:val="00AA51F1"/>
    <w:rsid w:val="00AA528D"/>
    <w:rsid w:val="00AA52EA"/>
    <w:rsid w:val="00AA549A"/>
    <w:rsid w:val="00AA59FD"/>
    <w:rsid w:val="00AA5B05"/>
    <w:rsid w:val="00AA5C45"/>
    <w:rsid w:val="00AA5D67"/>
    <w:rsid w:val="00AA5E1B"/>
    <w:rsid w:val="00AA5F2B"/>
    <w:rsid w:val="00AA5F59"/>
    <w:rsid w:val="00AA5F80"/>
    <w:rsid w:val="00AA5FFE"/>
    <w:rsid w:val="00AA6156"/>
    <w:rsid w:val="00AA61CC"/>
    <w:rsid w:val="00AA62E7"/>
    <w:rsid w:val="00AA63F3"/>
    <w:rsid w:val="00AA6473"/>
    <w:rsid w:val="00AA652E"/>
    <w:rsid w:val="00AA6695"/>
    <w:rsid w:val="00AA6861"/>
    <w:rsid w:val="00AA69DE"/>
    <w:rsid w:val="00AA6CE6"/>
    <w:rsid w:val="00AA6EA8"/>
    <w:rsid w:val="00AA711C"/>
    <w:rsid w:val="00AA728E"/>
    <w:rsid w:val="00AA72F6"/>
    <w:rsid w:val="00AA73AC"/>
    <w:rsid w:val="00AA73C7"/>
    <w:rsid w:val="00AA73D8"/>
    <w:rsid w:val="00AA748D"/>
    <w:rsid w:val="00AA7793"/>
    <w:rsid w:val="00AA7938"/>
    <w:rsid w:val="00AA79A3"/>
    <w:rsid w:val="00AA79D5"/>
    <w:rsid w:val="00AA7B4C"/>
    <w:rsid w:val="00AA7B77"/>
    <w:rsid w:val="00AA7D2F"/>
    <w:rsid w:val="00AB0391"/>
    <w:rsid w:val="00AB046F"/>
    <w:rsid w:val="00AB05FD"/>
    <w:rsid w:val="00AB069E"/>
    <w:rsid w:val="00AB074C"/>
    <w:rsid w:val="00AB07D3"/>
    <w:rsid w:val="00AB089D"/>
    <w:rsid w:val="00AB0911"/>
    <w:rsid w:val="00AB0983"/>
    <w:rsid w:val="00AB0A19"/>
    <w:rsid w:val="00AB0BD8"/>
    <w:rsid w:val="00AB0EA1"/>
    <w:rsid w:val="00AB128E"/>
    <w:rsid w:val="00AB1534"/>
    <w:rsid w:val="00AB1788"/>
    <w:rsid w:val="00AB1828"/>
    <w:rsid w:val="00AB1837"/>
    <w:rsid w:val="00AB1838"/>
    <w:rsid w:val="00AB187A"/>
    <w:rsid w:val="00AB1893"/>
    <w:rsid w:val="00AB1947"/>
    <w:rsid w:val="00AB1DAF"/>
    <w:rsid w:val="00AB1E49"/>
    <w:rsid w:val="00AB1E57"/>
    <w:rsid w:val="00AB22C9"/>
    <w:rsid w:val="00AB25AE"/>
    <w:rsid w:val="00AB2771"/>
    <w:rsid w:val="00AB2960"/>
    <w:rsid w:val="00AB2A23"/>
    <w:rsid w:val="00AB2DC8"/>
    <w:rsid w:val="00AB2E21"/>
    <w:rsid w:val="00AB2E89"/>
    <w:rsid w:val="00AB2F77"/>
    <w:rsid w:val="00AB2FD2"/>
    <w:rsid w:val="00AB2FDB"/>
    <w:rsid w:val="00AB304D"/>
    <w:rsid w:val="00AB3317"/>
    <w:rsid w:val="00AB34CA"/>
    <w:rsid w:val="00AB366A"/>
    <w:rsid w:val="00AB3685"/>
    <w:rsid w:val="00AB38A4"/>
    <w:rsid w:val="00AB3951"/>
    <w:rsid w:val="00AB3A07"/>
    <w:rsid w:val="00AB3A20"/>
    <w:rsid w:val="00AB3A6B"/>
    <w:rsid w:val="00AB3B43"/>
    <w:rsid w:val="00AB3B6A"/>
    <w:rsid w:val="00AB3CE7"/>
    <w:rsid w:val="00AB3F89"/>
    <w:rsid w:val="00AB442A"/>
    <w:rsid w:val="00AB4435"/>
    <w:rsid w:val="00AB4483"/>
    <w:rsid w:val="00AB467F"/>
    <w:rsid w:val="00AB4686"/>
    <w:rsid w:val="00AB480A"/>
    <w:rsid w:val="00AB4820"/>
    <w:rsid w:val="00AB4B86"/>
    <w:rsid w:val="00AB4F26"/>
    <w:rsid w:val="00AB4F92"/>
    <w:rsid w:val="00AB4FED"/>
    <w:rsid w:val="00AB514A"/>
    <w:rsid w:val="00AB5274"/>
    <w:rsid w:val="00AB52AD"/>
    <w:rsid w:val="00AB535B"/>
    <w:rsid w:val="00AB551F"/>
    <w:rsid w:val="00AB5D03"/>
    <w:rsid w:val="00AB5F11"/>
    <w:rsid w:val="00AB60D5"/>
    <w:rsid w:val="00AB619C"/>
    <w:rsid w:val="00AB6278"/>
    <w:rsid w:val="00AB62F6"/>
    <w:rsid w:val="00AB6700"/>
    <w:rsid w:val="00AB67BD"/>
    <w:rsid w:val="00AB68DE"/>
    <w:rsid w:val="00AB6B3B"/>
    <w:rsid w:val="00AB6BAD"/>
    <w:rsid w:val="00AB6EEF"/>
    <w:rsid w:val="00AB6F2F"/>
    <w:rsid w:val="00AB6F83"/>
    <w:rsid w:val="00AB6F87"/>
    <w:rsid w:val="00AB7138"/>
    <w:rsid w:val="00AB72CE"/>
    <w:rsid w:val="00AB736D"/>
    <w:rsid w:val="00AB74B2"/>
    <w:rsid w:val="00AB7512"/>
    <w:rsid w:val="00AB769B"/>
    <w:rsid w:val="00AB77AB"/>
    <w:rsid w:val="00AB79C9"/>
    <w:rsid w:val="00AB7F25"/>
    <w:rsid w:val="00AB7FCC"/>
    <w:rsid w:val="00AB7FD1"/>
    <w:rsid w:val="00AB7FF1"/>
    <w:rsid w:val="00AC013B"/>
    <w:rsid w:val="00AC04EC"/>
    <w:rsid w:val="00AC0689"/>
    <w:rsid w:val="00AC069F"/>
    <w:rsid w:val="00AC0AB0"/>
    <w:rsid w:val="00AC0AF2"/>
    <w:rsid w:val="00AC0B37"/>
    <w:rsid w:val="00AC0D85"/>
    <w:rsid w:val="00AC0DD6"/>
    <w:rsid w:val="00AC0F96"/>
    <w:rsid w:val="00AC1138"/>
    <w:rsid w:val="00AC1203"/>
    <w:rsid w:val="00AC140E"/>
    <w:rsid w:val="00AC15E2"/>
    <w:rsid w:val="00AC1724"/>
    <w:rsid w:val="00AC18C5"/>
    <w:rsid w:val="00AC1A31"/>
    <w:rsid w:val="00AC1C80"/>
    <w:rsid w:val="00AC1D39"/>
    <w:rsid w:val="00AC1E12"/>
    <w:rsid w:val="00AC1E86"/>
    <w:rsid w:val="00AC1EB0"/>
    <w:rsid w:val="00AC2119"/>
    <w:rsid w:val="00AC2408"/>
    <w:rsid w:val="00AC2439"/>
    <w:rsid w:val="00AC24D4"/>
    <w:rsid w:val="00AC256A"/>
    <w:rsid w:val="00AC2681"/>
    <w:rsid w:val="00AC2979"/>
    <w:rsid w:val="00AC2A17"/>
    <w:rsid w:val="00AC2B7F"/>
    <w:rsid w:val="00AC2BCC"/>
    <w:rsid w:val="00AC2C2F"/>
    <w:rsid w:val="00AC2D2E"/>
    <w:rsid w:val="00AC2EC8"/>
    <w:rsid w:val="00AC359E"/>
    <w:rsid w:val="00AC399E"/>
    <w:rsid w:val="00AC3D80"/>
    <w:rsid w:val="00AC3E70"/>
    <w:rsid w:val="00AC43A2"/>
    <w:rsid w:val="00AC43E9"/>
    <w:rsid w:val="00AC456D"/>
    <w:rsid w:val="00AC460C"/>
    <w:rsid w:val="00AC5012"/>
    <w:rsid w:val="00AC50E3"/>
    <w:rsid w:val="00AC512D"/>
    <w:rsid w:val="00AC514A"/>
    <w:rsid w:val="00AC51ED"/>
    <w:rsid w:val="00AC532E"/>
    <w:rsid w:val="00AC53BA"/>
    <w:rsid w:val="00AC563B"/>
    <w:rsid w:val="00AC585E"/>
    <w:rsid w:val="00AC59CF"/>
    <w:rsid w:val="00AC59D9"/>
    <w:rsid w:val="00AC5B04"/>
    <w:rsid w:val="00AC5B8B"/>
    <w:rsid w:val="00AC5CCF"/>
    <w:rsid w:val="00AC5DB0"/>
    <w:rsid w:val="00AC5E83"/>
    <w:rsid w:val="00AC5EBC"/>
    <w:rsid w:val="00AC5F56"/>
    <w:rsid w:val="00AC60EA"/>
    <w:rsid w:val="00AC6202"/>
    <w:rsid w:val="00AC6294"/>
    <w:rsid w:val="00AC62A1"/>
    <w:rsid w:val="00AC64B5"/>
    <w:rsid w:val="00AC6753"/>
    <w:rsid w:val="00AC68B3"/>
    <w:rsid w:val="00AC6B31"/>
    <w:rsid w:val="00AC6CA0"/>
    <w:rsid w:val="00AC6D9E"/>
    <w:rsid w:val="00AC6E3B"/>
    <w:rsid w:val="00AC6F19"/>
    <w:rsid w:val="00AC6FB8"/>
    <w:rsid w:val="00AC7042"/>
    <w:rsid w:val="00AC7048"/>
    <w:rsid w:val="00AC7084"/>
    <w:rsid w:val="00AC71B7"/>
    <w:rsid w:val="00AC7316"/>
    <w:rsid w:val="00AC7407"/>
    <w:rsid w:val="00AC75FE"/>
    <w:rsid w:val="00AC770E"/>
    <w:rsid w:val="00AC776F"/>
    <w:rsid w:val="00AC7B6E"/>
    <w:rsid w:val="00AC7CAC"/>
    <w:rsid w:val="00AC7DF4"/>
    <w:rsid w:val="00AC7E7E"/>
    <w:rsid w:val="00AC7F4A"/>
    <w:rsid w:val="00AD002A"/>
    <w:rsid w:val="00AD0066"/>
    <w:rsid w:val="00AD01D0"/>
    <w:rsid w:val="00AD023A"/>
    <w:rsid w:val="00AD044F"/>
    <w:rsid w:val="00AD046B"/>
    <w:rsid w:val="00AD04A1"/>
    <w:rsid w:val="00AD09A7"/>
    <w:rsid w:val="00AD0BE9"/>
    <w:rsid w:val="00AD0C17"/>
    <w:rsid w:val="00AD0D52"/>
    <w:rsid w:val="00AD0DF2"/>
    <w:rsid w:val="00AD0EBA"/>
    <w:rsid w:val="00AD11D6"/>
    <w:rsid w:val="00AD1373"/>
    <w:rsid w:val="00AD1392"/>
    <w:rsid w:val="00AD1518"/>
    <w:rsid w:val="00AD158D"/>
    <w:rsid w:val="00AD1882"/>
    <w:rsid w:val="00AD19E2"/>
    <w:rsid w:val="00AD1C66"/>
    <w:rsid w:val="00AD1E7C"/>
    <w:rsid w:val="00AD2084"/>
    <w:rsid w:val="00AD208F"/>
    <w:rsid w:val="00AD20B0"/>
    <w:rsid w:val="00AD23BE"/>
    <w:rsid w:val="00AD27EE"/>
    <w:rsid w:val="00AD2B87"/>
    <w:rsid w:val="00AD2D6A"/>
    <w:rsid w:val="00AD300F"/>
    <w:rsid w:val="00AD30AA"/>
    <w:rsid w:val="00AD323F"/>
    <w:rsid w:val="00AD325D"/>
    <w:rsid w:val="00AD35B1"/>
    <w:rsid w:val="00AD35BC"/>
    <w:rsid w:val="00AD35CD"/>
    <w:rsid w:val="00AD3612"/>
    <w:rsid w:val="00AD3DC2"/>
    <w:rsid w:val="00AD4052"/>
    <w:rsid w:val="00AD405E"/>
    <w:rsid w:val="00AD40B0"/>
    <w:rsid w:val="00AD4139"/>
    <w:rsid w:val="00AD43B3"/>
    <w:rsid w:val="00AD45B6"/>
    <w:rsid w:val="00AD4613"/>
    <w:rsid w:val="00AD46A3"/>
    <w:rsid w:val="00AD46BE"/>
    <w:rsid w:val="00AD47D6"/>
    <w:rsid w:val="00AD4AFE"/>
    <w:rsid w:val="00AD4B1A"/>
    <w:rsid w:val="00AD4B31"/>
    <w:rsid w:val="00AD4B47"/>
    <w:rsid w:val="00AD4CE4"/>
    <w:rsid w:val="00AD4E15"/>
    <w:rsid w:val="00AD4F3B"/>
    <w:rsid w:val="00AD512D"/>
    <w:rsid w:val="00AD51C9"/>
    <w:rsid w:val="00AD542F"/>
    <w:rsid w:val="00AD54A0"/>
    <w:rsid w:val="00AD557C"/>
    <w:rsid w:val="00AD5635"/>
    <w:rsid w:val="00AD5662"/>
    <w:rsid w:val="00AD5C1D"/>
    <w:rsid w:val="00AD5F2A"/>
    <w:rsid w:val="00AD5F65"/>
    <w:rsid w:val="00AD6056"/>
    <w:rsid w:val="00AD6416"/>
    <w:rsid w:val="00AD64CD"/>
    <w:rsid w:val="00AD64D4"/>
    <w:rsid w:val="00AD64F6"/>
    <w:rsid w:val="00AD665F"/>
    <w:rsid w:val="00AD6758"/>
    <w:rsid w:val="00AD67FB"/>
    <w:rsid w:val="00AD695A"/>
    <w:rsid w:val="00AD6DA0"/>
    <w:rsid w:val="00AD6DA5"/>
    <w:rsid w:val="00AD6E4B"/>
    <w:rsid w:val="00AD6EE5"/>
    <w:rsid w:val="00AD7081"/>
    <w:rsid w:val="00AD7097"/>
    <w:rsid w:val="00AD7163"/>
    <w:rsid w:val="00AD74BE"/>
    <w:rsid w:val="00AD74C5"/>
    <w:rsid w:val="00AD74EF"/>
    <w:rsid w:val="00AD7656"/>
    <w:rsid w:val="00AD7717"/>
    <w:rsid w:val="00AD7972"/>
    <w:rsid w:val="00AD7B49"/>
    <w:rsid w:val="00AD7E6C"/>
    <w:rsid w:val="00AD7F2F"/>
    <w:rsid w:val="00AD7F87"/>
    <w:rsid w:val="00AD7FFD"/>
    <w:rsid w:val="00AE01DD"/>
    <w:rsid w:val="00AE024A"/>
    <w:rsid w:val="00AE02A0"/>
    <w:rsid w:val="00AE0603"/>
    <w:rsid w:val="00AE06A7"/>
    <w:rsid w:val="00AE073A"/>
    <w:rsid w:val="00AE07AA"/>
    <w:rsid w:val="00AE0D51"/>
    <w:rsid w:val="00AE0D6C"/>
    <w:rsid w:val="00AE0F4B"/>
    <w:rsid w:val="00AE0FAE"/>
    <w:rsid w:val="00AE11DA"/>
    <w:rsid w:val="00AE12A1"/>
    <w:rsid w:val="00AE143A"/>
    <w:rsid w:val="00AE1617"/>
    <w:rsid w:val="00AE16E4"/>
    <w:rsid w:val="00AE1993"/>
    <w:rsid w:val="00AE1BE1"/>
    <w:rsid w:val="00AE1EAB"/>
    <w:rsid w:val="00AE1EE2"/>
    <w:rsid w:val="00AE215F"/>
    <w:rsid w:val="00AE23AD"/>
    <w:rsid w:val="00AE23E8"/>
    <w:rsid w:val="00AE2435"/>
    <w:rsid w:val="00AE2610"/>
    <w:rsid w:val="00AE2631"/>
    <w:rsid w:val="00AE2681"/>
    <w:rsid w:val="00AE2A68"/>
    <w:rsid w:val="00AE2A71"/>
    <w:rsid w:val="00AE3281"/>
    <w:rsid w:val="00AE32DD"/>
    <w:rsid w:val="00AE35AE"/>
    <w:rsid w:val="00AE36AC"/>
    <w:rsid w:val="00AE3778"/>
    <w:rsid w:val="00AE3891"/>
    <w:rsid w:val="00AE3A5A"/>
    <w:rsid w:val="00AE3C74"/>
    <w:rsid w:val="00AE3CE5"/>
    <w:rsid w:val="00AE3D8C"/>
    <w:rsid w:val="00AE3F7A"/>
    <w:rsid w:val="00AE3FBA"/>
    <w:rsid w:val="00AE400E"/>
    <w:rsid w:val="00AE4105"/>
    <w:rsid w:val="00AE414C"/>
    <w:rsid w:val="00AE46AC"/>
    <w:rsid w:val="00AE4735"/>
    <w:rsid w:val="00AE48EA"/>
    <w:rsid w:val="00AE493F"/>
    <w:rsid w:val="00AE4AB4"/>
    <w:rsid w:val="00AE4B55"/>
    <w:rsid w:val="00AE4B8D"/>
    <w:rsid w:val="00AE4CFB"/>
    <w:rsid w:val="00AE4D4B"/>
    <w:rsid w:val="00AE4E36"/>
    <w:rsid w:val="00AE4F0C"/>
    <w:rsid w:val="00AE4F32"/>
    <w:rsid w:val="00AE5161"/>
    <w:rsid w:val="00AE5295"/>
    <w:rsid w:val="00AE53F5"/>
    <w:rsid w:val="00AE55F1"/>
    <w:rsid w:val="00AE56CB"/>
    <w:rsid w:val="00AE5827"/>
    <w:rsid w:val="00AE585D"/>
    <w:rsid w:val="00AE596A"/>
    <w:rsid w:val="00AE5A5B"/>
    <w:rsid w:val="00AE5EAA"/>
    <w:rsid w:val="00AE5FF1"/>
    <w:rsid w:val="00AE60AE"/>
    <w:rsid w:val="00AE6336"/>
    <w:rsid w:val="00AE638A"/>
    <w:rsid w:val="00AE67EF"/>
    <w:rsid w:val="00AE6ACB"/>
    <w:rsid w:val="00AE6C2E"/>
    <w:rsid w:val="00AE6CB0"/>
    <w:rsid w:val="00AE6DA2"/>
    <w:rsid w:val="00AE6F15"/>
    <w:rsid w:val="00AE7249"/>
    <w:rsid w:val="00AE7262"/>
    <w:rsid w:val="00AE7360"/>
    <w:rsid w:val="00AE7683"/>
    <w:rsid w:val="00AE772D"/>
    <w:rsid w:val="00AE778C"/>
    <w:rsid w:val="00AE7793"/>
    <w:rsid w:val="00AE779E"/>
    <w:rsid w:val="00AE7884"/>
    <w:rsid w:val="00AE78F1"/>
    <w:rsid w:val="00AE7957"/>
    <w:rsid w:val="00AE7B56"/>
    <w:rsid w:val="00AE7E02"/>
    <w:rsid w:val="00AF0223"/>
    <w:rsid w:val="00AF04E2"/>
    <w:rsid w:val="00AF09D9"/>
    <w:rsid w:val="00AF0C2A"/>
    <w:rsid w:val="00AF0D44"/>
    <w:rsid w:val="00AF0D6D"/>
    <w:rsid w:val="00AF0DF9"/>
    <w:rsid w:val="00AF0E28"/>
    <w:rsid w:val="00AF0E71"/>
    <w:rsid w:val="00AF0F0E"/>
    <w:rsid w:val="00AF1202"/>
    <w:rsid w:val="00AF1275"/>
    <w:rsid w:val="00AF13F6"/>
    <w:rsid w:val="00AF14CA"/>
    <w:rsid w:val="00AF150E"/>
    <w:rsid w:val="00AF16CD"/>
    <w:rsid w:val="00AF185F"/>
    <w:rsid w:val="00AF197F"/>
    <w:rsid w:val="00AF1A19"/>
    <w:rsid w:val="00AF1A62"/>
    <w:rsid w:val="00AF1A88"/>
    <w:rsid w:val="00AF1B82"/>
    <w:rsid w:val="00AF1CFF"/>
    <w:rsid w:val="00AF1DE5"/>
    <w:rsid w:val="00AF1DF5"/>
    <w:rsid w:val="00AF1F2F"/>
    <w:rsid w:val="00AF1F79"/>
    <w:rsid w:val="00AF2173"/>
    <w:rsid w:val="00AF2233"/>
    <w:rsid w:val="00AF2318"/>
    <w:rsid w:val="00AF241C"/>
    <w:rsid w:val="00AF24ED"/>
    <w:rsid w:val="00AF24F5"/>
    <w:rsid w:val="00AF2527"/>
    <w:rsid w:val="00AF27F9"/>
    <w:rsid w:val="00AF2B82"/>
    <w:rsid w:val="00AF2CC2"/>
    <w:rsid w:val="00AF2FB5"/>
    <w:rsid w:val="00AF314C"/>
    <w:rsid w:val="00AF3470"/>
    <w:rsid w:val="00AF349E"/>
    <w:rsid w:val="00AF35C8"/>
    <w:rsid w:val="00AF37BF"/>
    <w:rsid w:val="00AF382C"/>
    <w:rsid w:val="00AF389E"/>
    <w:rsid w:val="00AF3907"/>
    <w:rsid w:val="00AF3A23"/>
    <w:rsid w:val="00AF3A47"/>
    <w:rsid w:val="00AF3C39"/>
    <w:rsid w:val="00AF40AC"/>
    <w:rsid w:val="00AF42CB"/>
    <w:rsid w:val="00AF44AF"/>
    <w:rsid w:val="00AF44E5"/>
    <w:rsid w:val="00AF4661"/>
    <w:rsid w:val="00AF4756"/>
    <w:rsid w:val="00AF478A"/>
    <w:rsid w:val="00AF4814"/>
    <w:rsid w:val="00AF4854"/>
    <w:rsid w:val="00AF4862"/>
    <w:rsid w:val="00AF48AC"/>
    <w:rsid w:val="00AF49B1"/>
    <w:rsid w:val="00AF4A6C"/>
    <w:rsid w:val="00AF4AC8"/>
    <w:rsid w:val="00AF4BE4"/>
    <w:rsid w:val="00AF4C16"/>
    <w:rsid w:val="00AF4CC8"/>
    <w:rsid w:val="00AF4CDB"/>
    <w:rsid w:val="00AF4DD9"/>
    <w:rsid w:val="00AF4E8C"/>
    <w:rsid w:val="00AF4ECF"/>
    <w:rsid w:val="00AF4F1B"/>
    <w:rsid w:val="00AF5237"/>
    <w:rsid w:val="00AF55E4"/>
    <w:rsid w:val="00AF56BF"/>
    <w:rsid w:val="00AF6158"/>
    <w:rsid w:val="00AF6162"/>
    <w:rsid w:val="00AF61E3"/>
    <w:rsid w:val="00AF6282"/>
    <w:rsid w:val="00AF6334"/>
    <w:rsid w:val="00AF6455"/>
    <w:rsid w:val="00AF6498"/>
    <w:rsid w:val="00AF64CB"/>
    <w:rsid w:val="00AF66E5"/>
    <w:rsid w:val="00AF6CAD"/>
    <w:rsid w:val="00AF6D9E"/>
    <w:rsid w:val="00AF7178"/>
    <w:rsid w:val="00AF71F9"/>
    <w:rsid w:val="00AF7386"/>
    <w:rsid w:val="00AF7467"/>
    <w:rsid w:val="00AF7506"/>
    <w:rsid w:val="00AF7606"/>
    <w:rsid w:val="00AF77D8"/>
    <w:rsid w:val="00AF786E"/>
    <w:rsid w:val="00AF78AD"/>
    <w:rsid w:val="00AF79EF"/>
    <w:rsid w:val="00AF7E92"/>
    <w:rsid w:val="00AF7F03"/>
    <w:rsid w:val="00B000EE"/>
    <w:rsid w:val="00B00100"/>
    <w:rsid w:val="00B00238"/>
    <w:rsid w:val="00B0027E"/>
    <w:rsid w:val="00B0039F"/>
    <w:rsid w:val="00B00792"/>
    <w:rsid w:val="00B00811"/>
    <w:rsid w:val="00B00A9C"/>
    <w:rsid w:val="00B00B03"/>
    <w:rsid w:val="00B00DC9"/>
    <w:rsid w:val="00B00E12"/>
    <w:rsid w:val="00B012E0"/>
    <w:rsid w:val="00B0149C"/>
    <w:rsid w:val="00B01643"/>
    <w:rsid w:val="00B0175A"/>
    <w:rsid w:val="00B019D4"/>
    <w:rsid w:val="00B01BBE"/>
    <w:rsid w:val="00B01C4C"/>
    <w:rsid w:val="00B01C50"/>
    <w:rsid w:val="00B01D25"/>
    <w:rsid w:val="00B01DF2"/>
    <w:rsid w:val="00B02008"/>
    <w:rsid w:val="00B020D8"/>
    <w:rsid w:val="00B0230D"/>
    <w:rsid w:val="00B0252E"/>
    <w:rsid w:val="00B025E9"/>
    <w:rsid w:val="00B02904"/>
    <w:rsid w:val="00B02A2E"/>
    <w:rsid w:val="00B02A44"/>
    <w:rsid w:val="00B02AAD"/>
    <w:rsid w:val="00B02C47"/>
    <w:rsid w:val="00B02C88"/>
    <w:rsid w:val="00B02CFE"/>
    <w:rsid w:val="00B02DCD"/>
    <w:rsid w:val="00B02DD0"/>
    <w:rsid w:val="00B02E0D"/>
    <w:rsid w:val="00B02E1F"/>
    <w:rsid w:val="00B02F7B"/>
    <w:rsid w:val="00B031E6"/>
    <w:rsid w:val="00B032B6"/>
    <w:rsid w:val="00B03499"/>
    <w:rsid w:val="00B034DD"/>
    <w:rsid w:val="00B034E1"/>
    <w:rsid w:val="00B035B5"/>
    <w:rsid w:val="00B036D5"/>
    <w:rsid w:val="00B03910"/>
    <w:rsid w:val="00B03F20"/>
    <w:rsid w:val="00B0427D"/>
    <w:rsid w:val="00B043E2"/>
    <w:rsid w:val="00B045D2"/>
    <w:rsid w:val="00B0487D"/>
    <w:rsid w:val="00B048EA"/>
    <w:rsid w:val="00B04BB8"/>
    <w:rsid w:val="00B04D41"/>
    <w:rsid w:val="00B04D4E"/>
    <w:rsid w:val="00B04D70"/>
    <w:rsid w:val="00B0510E"/>
    <w:rsid w:val="00B0520B"/>
    <w:rsid w:val="00B0529B"/>
    <w:rsid w:val="00B058C8"/>
    <w:rsid w:val="00B05A6C"/>
    <w:rsid w:val="00B05BAC"/>
    <w:rsid w:val="00B05C8C"/>
    <w:rsid w:val="00B05C96"/>
    <w:rsid w:val="00B05CD6"/>
    <w:rsid w:val="00B05D22"/>
    <w:rsid w:val="00B05E21"/>
    <w:rsid w:val="00B05EBD"/>
    <w:rsid w:val="00B05FD4"/>
    <w:rsid w:val="00B06021"/>
    <w:rsid w:val="00B0603B"/>
    <w:rsid w:val="00B06421"/>
    <w:rsid w:val="00B06557"/>
    <w:rsid w:val="00B06752"/>
    <w:rsid w:val="00B06781"/>
    <w:rsid w:val="00B068DF"/>
    <w:rsid w:val="00B069C4"/>
    <w:rsid w:val="00B06A3A"/>
    <w:rsid w:val="00B06A60"/>
    <w:rsid w:val="00B06C21"/>
    <w:rsid w:val="00B06D20"/>
    <w:rsid w:val="00B06DCE"/>
    <w:rsid w:val="00B07147"/>
    <w:rsid w:val="00B07553"/>
    <w:rsid w:val="00B0759A"/>
    <w:rsid w:val="00B0778E"/>
    <w:rsid w:val="00B077F5"/>
    <w:rsid w:val="00B07805"/>
    <w:rsid w:val="00B07859"/>
    <w:rsid w:val="00B07986"/>
    <w:rsid w:val="00B07C97"/>
    <w:rsid w:val="00B07F3B"/>
    <w:rsid w:val="00B1013E"/>
    <w:rsid w:val="00B10316"/>
    <w:rsid w:val="00B1035B"/>
    <w:rsid w:val="00B103F5"/>
    <w:rsid w:val="00B108C6"/>
    <w:rsid w:val="00B10C6F"/>
    <w:rsid w:val="00B10D16"/>
    <w:rsid w:val="00B10E13"/>
    <w:rsid w:val="00B10E59"/>
    <w:rsid w:val="00B10F0F"/>
    <w:rsid w:val="00B10FEE"/>
    <w:rsid w:val="00B1150D"/>
    <w:rsid w:val="00B1186C"/>
    <w:rsid w:val="00B11B63"/>
    <w:rsid w:val="00B11E71"/>
    <w:rsid w:val="00B11EA0"/>
    <w:rsid w:val="00B11EF3"/>
    <w:rsid w:val="00B11F61"/>
    <w:rsid w:val="00B12284"/>
    <w:rsid w:val="00B1233B"/>
    <w:rsid w:val="00B12465"/>
    <w:rsid w:val="00B12616"/>
    <w:rsid w:val="00B1272F"/>
    <w:rsid w:val="00B1277A"/>
    <w:rsid w:val="00B1289E"/>
    <w:rsid w:val="00B129AC"/>
    <w:rsid w:val="00B12A39"/>
    <w:rsid w:val="00B12A4B"/>
    <w:rsid w:val="00B12BED"/>
    <w:rsid w:val="00B13185"/>
    <w:rsid w:val="00B13338"/>
    <w:rsid w:val="00B13878"/>
    <w:rsid w:val="00B13952"/>
    <w:rsid w:val="00B13993"/>
    <w:rsid w:val="00B13AA2"/>
    <w:rsid w:val="00B13AF7"/>
    <w:rsid w:val="00B13BA7"/>
    <w:rsid w:val="00B13D2B"/>
    <w:rsid w:val="00B14270"/>
    <w:rsid w:val="00B14353"/>
    <w:rsid w:val="00B143EF"/>
    <w:rsid w:val="00B1446C"/>
    <w:rsid w:val="00B147DD"/>
    <w:rsid w:val="00B1486A"/>
    <w:rsid w:val="00B1487B"/>
    <w:rsid w:val="00B148E5"/>
    <w:rsid w:val="00B149C1"/>
    <w:rsid w:val="00B14ADF"/>
    <w:rsid w:val="00B14B59"/>
    <w:rsid w:val="00B14BF9"/>
    <w:rsid w:val="00B14CC1"/>
    <w:rsid w:val="00B14EC0"/>
    <w:rsid w:val="00B14F61"/>
    <w:rsid w:val="00B15249"/>
    <w:rsid w:val="00B15263"/>
    <w:rsid w:val="00B1542E"/>
    <w:rsid w:val="00B15B11"/>
    <w:rsid w:val="00B15BF0"/>
    <w:rsid w:val="00B15C79"/>
    <w:rsid w:val="00B15F71"/>
    <w:rsid w:val="00B1601A"/>
    <w:rsid w:val="00B16046"/>
    <w:rsid w:val="00B1615E"/>
    <w:rsid w:val="00B16321"/>
    <w:rsid w:val="00B163F3"/>
    <w:rsid w:val="00B1644A"/>
    <w:rsid w:val="00B1644B"/>
    <w:rsid w:val="00B167BE"/>
    <w:rsid w:val="00B168B9"/>
    <w:rsid w:val="00B16958"/>
    <w:rsid w:val="00B169FD"/>
    <w:rsid w:val="00B16CFD"/>
    <w:rsid w:val="00B16E45"/>
    <w:rsid w:val="00B16E50"/>
    <w:rsid w:val="00B16F2E"/>
    <w:rsid w:val="00B170A9"/>
    <w:rsid w:val="00B17377"/>
    <w:rsid w:val="00B1786E"/>
    <w:rsid w:val="00B17A98"/>
    <w:rsid w:val="00B17FDB"/>
    <w:rsid w:val="00B20151"/>
    <w:rsid w:val="00B20205"/>
    <w:rsid w:val="00B2027A"/>
    <w:rsid w:val="00B20496"/>
    <w:rsid w:val="00B20823"/>
    <w:rsid w:val="00B209BC"/>
    <w:rsid w:val="00B20A95"/>
    <w:rsid w:val="00B20AA3"/>
    <w:rsid w:val="00B20B23"/>
    <w:rsid w:val="00B20CB0"/>
    <w:rsid w:val="00B20CB9"/>
    <w:rsid w:val="00B20D4F"/>
    <w:rsid w:val="00B20DA7"/>
    <w:rsid w:val="00B20F2E"/>
    <w:rsid w:val="00B21121"/>
    <w:rsid w:val="00B21191"/>
    <w:rsid w:val="00B2134C"/>
    <w:rsid w:val="00B2138A"/>
    <w:rsid w:val="00B21550"/>
    <w:rsid w:val="00B215D5"/>
    <w:rsid w:val="00B21698"/>
    <w:rsid w:val="00B21767"/>
    <w:rsid w:val="00B21A07"/>
    <w:rsid w:val="00B21AB0"/>
    <w:rsid w:val="00B21B3B"/>
    <w:rsid w:val="00B21BA4"/>
    <w:rsid w:val="00B21BB1"/>
    <w:rsid w:val="00B21BF2"/>
    <w:rsid w:val="00B21CD2"/>
    <w:rsid w:val="00B21EF5"/>
    <w:rsid w:val="00B21F8F"/>
    <w:rsid w:val="00B22083"/>
    <w:rsid w:val="00B220EE"/>
    <w:rsid w:val="00B2213C"/>
    <w:rsid w:val="00B2229A"/>
    <w:rsid w:val="00B223ED"/>
    <w:rsid w:val="00B225D0"/>
    <w:rsid w:val="00B2275A"/>
    <w:rsid w:val="00B22A50"/>
    <w:rsid w:val="00B22B1D"/>
    <w:rsid w:val="00B22C66"/>
    <w:rsid w:val="00B22E89"/>
    <w:rsid w:val="00B22FE8"/>
    <w:rsid w:val="00B23175"/>
    <w:rsid w:val="00B23331"/>
    <w:rsid w:val="00B23540"/>
    <w:rsid w:val="00B23547"/>
    <w:rsid w:val="00B235C9"/>
    <w:rsid w:val="00B23AF6"/>
    <w:rsid w:val="00B23DD0"/>
    <w:rsid w:val="00B2420D"/>
    <w:rsid w:val="00B245BA"/>
    <w:rsid w:val="00B245E5"/>
    <w:rsid w:val="00B248BF"/>
    <w:rsid w:val="00B24A4D"/>
    <w:rsid w:val="00B24C6D"/>
    <w:rsid w:val="00B24D34"/>
    <w:rsid w:val="00B24E5F"/>
    <w:rsid w:val="00B24FAD"/>
    <w:rsid w:val="00B25316"/>
    <w:rsid w:val="00B255CC"/>
    <w:rsid w:val="00B25612"/>
    <w:rsid w:val="00B2561F"/>
    <w:rsid w:val="00B257C5"/>
    <w:rsid w:val="00B259DF"/>
    <w:rsid w:val="00B25A0D"/>
    <w:rsid w:val="00B25A16"/>
    <w:rsid w:val="00B25A61"/>
    <w:rsid w:val="00B25B12"/>
    <w:rsid w:val="00B25C4A"/>
    <w:rsid w:val="00B25C9C"/>
    <w:rsid w:val="00B25D2F"/>
    <w:rsid w:val="00B25D68"/>
    <w:rsid w:val="00B263B9"/>
    <w:rsid w:val="00B263E1"/>
    <w:rsid w:val="00B2654D"/>
    <w:rsid w:val="00B26723"/>
    <w:rsid w:val="00B268D3"/>
    <w:rsid w:val="00B26922"/>
    <w:rsid w:val="00B26B43"/>
    <w:rsid w:val="00B26D65"/>
    <w:rsid w:val="00B26E89"/>
    <w:rsid w:val="00B26F83"/>
    <w:rsid w:val="00B270E3"/>
    <w:rsid w:val="00B2717D"/>
    <w:rsid w:val="00B2741B"/>
    <w:rsid w:val="00B276B4"/>
    <w:rsid w:val="00B2777B"/>
    <w:rsid w:val="00B2788D"/>
    <w:rsid w:val="00B27941"/>
    <w:rsid w:val="00B27A17"/>
    <w:rsid w:val="00B27BF0"/>
    <w:rsid w:val="00B27E03"/>
    <w:rsid w:val="00B30120"/>
    <w:rsid w:val="00B30183"/>
    <w:rsid w:val="00B30249"/>
    <w:rsid w:val="00B3034E"/>
    <w:rsid w:val="00B3038C"/>
    <w:rsid w:val="00B303D2"/>
    <w:rsid w:val="00B30927"/>
    <w:rsid w:val="00B30BA6"/>
    <w:rsid w:val="00B30D49"/>
    <w:rsid w:val="00B30D73"/>
    <w:rsid w:val="00B31036"/>
    <w:rsid w:val="00B3119F"/>
    <w:rsid w:val="00B31263"/>
    <w:rsid w:val="00B31280"/>
    <w:rsid w:val="00B3167A"/>
    <w:rsid w:val="00B319A5"/>
    <w:rsid w:val="00B31AA9"/>
    <w:rsid w:val="00B31B36"/>
    <w:rsid w:val="00B31F08"/>
    <w:rsid w:val="00B3209B"/>
    <w:rsid w:val="00B3220B"/>
    <w:rsid w:val="00B322F8"/>
    <w:rsid w:val="00B3251D"/>
    <w:rsid w:val="00B32537"/>
    <w:rsid w:val="00B3268B"/>
    <w:rsid w:val="00B32737"/>
    <w:rsid w:val="00B3279B"/>
    <w:rsid w:val="00B327BA"/>
    <w:rsid w:val="00B32AA9"/>
    <w:rsid w:val="00B32BDE"/>
    <w:rsid w:val="00B32C3D"/>
    <w:rsid w:val="00B32C91"/>
    <w:rsid w:val="00B32E0E"/>
    <w:rsid w:val="00B32E6F"/>
    <w:rsid w:val="00B3309D"/>
    <w:rsid w:val="00B330A4"/>
    <w:rsid w:val="00B332E5"/>
    <w:rsid w:val="00B33376"/>
    <w:rsid w:val="00B33914"/>
    <w:rsid w:val="00B3394A"/>
    <w:rsid w:val="00B33A6D"/>
    <w:rsid w:val="00B33B95"/>
    <w:rsid w:val="00B33C1A"/>
    <w:rsid w:val="00B34581"/>
    <w:rsid w:val="00B34B20"/>
    <w:rsid w:val="00B34D97"/>
    <w:rsid w:val="00B34F02"/>
    <w:rsid w:val="00B350EA"/>
    <w:rsid w:val="00B35392"/>
    <w:rsid w:val="00B3540B"/>
    <w:rsid w:val="00B35580"/>
    <w:rsid w:val="00B358A3"/>
    <w:rsid w:val="00B358D0"/>
    <w:rsid w:val="00B35BC0"/>
    <w:rsid w:val="00B35BE4"/>
    <w:rsid w:val="00B35BF1"/>
    <w:rsid w:val="00B35DA6"/>
    <w:rsid w:val="00B35DBC"/>
    <w:rsid w:val="00B35E6C"/>
    <w:rsid w:val="00B3616A"/>
    <w:rsid w:val="00B3629E"/>
    <w:rsid w:val="00B36578"/>
    <w:rsid w:val="00B36685"/>
    <w:rsid w:val="00B3672F"/>
    <w:rsid w:val="00B36758"/>
    <w:rsid w:val="00B367E2"/>
    <w:rsid w:val="00B3694D"/>
    <w:rsid w:val="00B3696B"/>
    <w:rsid w:val="00B36AC7"/>
    <w:rsid w:val="00B36C11"/>
    <w:rsid w:val="00B36EA0"/>
    <w:rsid w:val="00B3707E"/>
    <w:rsid w:val="00B37210"/>
    <w:rsid w:val="00B375BF"/>
    <w:rsid w:val="00B376C6"/>
    <w:rsid w:val="00B3799E"/>
    <w:rsid w:val="00B37A32"/>
    <w:rsid w:val="00B37A62"/>
    <w:rsid w:val="00B37C20"/>
    <w:rsid w:val="00B37CAB"/>
    <w:rsid w:val="00B40095"/>
    <w:rsid w:val="00B40207"/>
    <w:rsid w:val="00B40235"/>
    <w:rsid w:val="00B40271"/>
    <w:rsid w:val="00B405A1"/>
    <w:rsid w:val="00B405F2"/>
    <w:rsid w:val="00B40755"/>
    <w:rsid w:val="00B40883"/>
    <w:rsid w:val="00B408C5"/>
    <w:rsid w:val="00B40A27"/>
    <w:rsid w:val="00B40B9B"/>
    <w:rsid w:val="00B40C52"/>
    <w:rsid w:val="00B40CE8"/>
    <w:rsid w:val="00B40D8D"/>
    <w:rsid w:val="00B40F43"/>
    <w:rsid w:val="00B41454"/>
    <w:rsid w:val="00B41788"/>
    <w:rsid w:val="00B41828"/>
    <w:rsid w:val="00B418B7"/>
    <w:rsid w:val="00B420A7"/>
    <w:rsid w:val="00B421CA"/>
    <w:rsid w:val="00B4220C"/>
    <w:rsid w:val="00B42266"/>
    <w:rsid w:val="00B425EE"/>
    <w:rsid w:val="00B4268E"/>
    <w:rsid w:val="00B426B4"/>
    <w:rsid w:val="00B42789"/>
    <w:rsid w:val="00B4288C"/>
    <w:rsid w:val="00B429AA"/>
    <w:rsid w:val="00B429AB"/>
    <w:rsid w:val="00B42A17"/>
    <w:rsid w:val="00B42D75"/>
    <w:rsid w:val="00B43671"/>
    <w:rsid w:val="00B4374E"/>
    <w:rsid w:val="00B439F8"/>
    <w:rsid w:val="00B43A3B"/>
    <w:rsid w:val="00B43A84"/>
    <w:rsid w:val="00B43AB5"/>
    <w:rsid w:val="00B43B5F"/>
    <w:rsid w:val="00B43C0E"/>
    <w:rsid w:val="00B43FBB"/>
    <w:rsid w:val="00B441DE"/>
    <w:rsid w:val="00B44284"/>
    <w:rsid w:val="00B44598"/>
    <w:rsid w:val="00B445BD"/>
    <w:rsid w:val="00B445D2"/>
    <w:rsid w:val="00B446C2"/>
    <w:rsid w:val="00B44727"/>
    <w:rsid w:val="00B447FD"/>
    <w:rsid w:val="00B44996"/>
    <w:rsid w:val="00B449A3"/>
    <w:rsid w:val="00B44B1D"/>
    <w:rsid w:val="00B44EB5"/>
    <w:rsid w:val="00B44F5A"/>
    <w:rsid w:val="00B44FBE"/>
    <w:rsid w:val="00B45145"/>
    <w:rsid w:val="00B452A3"/>
    <w:rsid w:val="00B4540B"/>
    <w:rsid w:val="00B454EA"/>
    <w:rsid w:val="00B45758"/>
    <w:rsid w:val="00B45788"/>
    <w:rsid w:val="00B457F6"/>
    <w:rsid w:val="00B45838"/>
    <w:rsid w:val="00B458FA"/>
    <w:rsid w:val="00B45C04"/>
    <w:rsid w:val="00B45C5B"/>
    <w:rsid w:val="00B45C87"/>
    <w:rsid w:val="00B45F6F"/>
    <w:rsid w:val="00B461B8"/>
    <w:rsid w:val="00B46316"/>
    <w:rsid w:val="00B46516"/>
    <w:rsid w:val="00B4656A"/>
    <w:rsid w:val="00B46600"/>
    <w:rsid w:val="00B4675D"/>
    <w:rsid w:val="00B46FCC"/>
    <w:rsid w:val="00B470ED"/>
    <w:rsid w:val="00B47587"/>
    <w:rsid w:val="00B47732"/>
    <w:rsid w:val="00B479C3"/>
    <w:rsid w:val="00B47AF7"/>
    <w:rsid w:val="00B47B00"/>
    <w:rsid w:val="00B47DB7"/>
    <w:rsid w:val="00B47DE0"/>
    <w:rsid w:val="00B47EE6"/>
    <w:rsid w:val="00B47F3B"/>
    <w:rsid w:val="00B502A3"/>
    <w:rsid w:val="00B50320"/>
    <w:rsid w:val="00B503C2"/>
    <w:rsid w:val="00B50517"/>
    <w:rsid w:val="00B508FD"/>
    <w:rsid w:val="00B50AFE"/>
    <w:rsid w:val="00B50CEB"/>
    <w:rsid w:val="00B50D95"/>
    <w:rsid w:val="00B50E31"/>
    <w:rsid w:val="00B50E3C"/>
    <w:rsid w:val="00B50E6E"/>
    <w:rsid w:val="00B50E8B"/>
    <w:rsid w:val="00B50E8E"/>
    <w:rsid w:val="00B50EF7"/>
    <w:rsid w:val="00B50FF9"/>
    <w:rsid w:val="00B51014"/>
    <w:rsid w:val="00B514AE"/>
    <w:rsid w:val="00B51685"/>
    <w:rsid w:val="00B51764"/>
    <w:rsid w:val="00B519A0"/>
    <w:rsid w:val="00B51B24"/>
    <w:rsid w:val="00B51C82"/>
    <w:rsid w:val="00B51CE2"/>
    <w:rsid w:val="00B51D21"/>
    <w:rsid w:val="00B51E2F"/>
    <w:rsid w:val="00B51F8F"/>
    <w:rsid w:val="00B5221A"/>
    <w:rsid w:val="00B526A4"/>
    <w:rsid w:val="00B52702"/>
    <w:rsid w:val="00B527A5"/>
    <w:rsid w:val="00B52C3E"/>
    <w:rsid w:val="00B52E05"/>
    <w:rsid w:val="00B535EB"/>
    <w:rsid w:val="00B53723"/>
    <w:rsid w:val="00B5390D"/>
    <w:rsid w:val="00B53B57"/>
    <w:rsid w:val="00B53CA5"/>
    <w:rsid w:val="00B53E38"/>
    <w:rsid w:val="00B53F5A"/>
    <w:rsid w:val="00B54202"/>
    <w:rsid w:val="00B54347"/>
    <w:rsid w:val="00B5443F"/>
    <w:rsid w:val="00B544F0"/>
    <w:rsid w:val="00B547C6"/>
    <w:rsid w:val="00B54842"/>
    <w:rsid w:val="00B54D48"/>
    <w:rsid w:val="00B54DAD"/>
    <w:rsid w:val="00B54E9B"/>
    <w:rsid w:val="00B55008"/>
    <w:rsid w:val="00B5539D"/>
    <w:rsid w:val="00B553D7"/>
    <w:rsid w:val="00B5553D"/>
    <w:rsid w:val="00B555CC"/>
    <w:rsid w:val="00B55655"/>
    <w:rsid w:val="00B55BC3"/>
    <w:rsid w:val="00B55CAC"/>
    <w:rsid w:val="00B55CCC"/>
    <w:rsid w:val="00B55CD6"/>
    <w:rsid w:val="00B55EE3"/>
    <w:rsid w:val="00B55F4E"/>
    <w:rsid w:val="00B5603B"/>
    <w:rsid w:val="00B56128"/>
    <w:rsid w:val="00B56195"/>
    <w:rsid w:val="00B56387"/>
    <w:rsid w:val="00B5639F"/>
    <w:rsid w:val="00B563D1"/>
    <w:rsid w:val="00B564A2"/>
    <w:rsid w:val="00B5676F"/>
    <w:rsid w:val="00B56A19"/>
    <w:rsid w:val="00B56A5E"/>
    <w:rsid w:val="00B56B04"/>
    <w:rsid w:val="00B56B6F"/>
    <w:rsid w:val="00B56C1A"/>
    <w:rsid w:val="00B56C3A"/>
    <w:rsid w:val="00B56D5B"/>
    <w:rsid w:val="00B56D6A"/>
    <w:rsid w:val="00B57549"/>
    <w:rsid w:val="00B5775B"/>
    <w:rsid w:val="00B577A4"/>
    <w:rsid w:val="00B578DF"/>
    <w:rsid w:val="00B579B0"/>
    <w:rsid w:val="00B579D6"/>
    <w:rsid w:val="00B579DB"/>
    <w:rsid w:val="00B57A2F"/>
    <w:rsid w:val="00B57DFB"/>
    <w:rsid w:val="00B57F41"/>
    <w:rsid w:val="00B57FBB"/>
    <w:rsid w:val="00B57FE7"/>
    <w:rsid w:val="00B6016F"/>
    <w:rsid w:val="00B601A1"/>
    <w:rsid w:val="00B60479"/>
    <w:rsid w:val="00B60494"/>
    <w:rsid w:val="00B606EF"/>
    <w:rsid w:val="00B6079D"/>
    <w:rsid w:val="00B607F5"/>
    <w:rsid w:val="00B608FF"/>
    <w:rsid w:val="00B6094A"/>
    <w:rsid w:val="00B609DB"/>
    <w:rsid w:val="00B60DAB"/>
    <w:rsid w:val="00B60DE8"/>
    <w:rsid w:val="00B617AB"/>
    <w:rsid w:val="00B61850"/>
    <w:rsid w:val="00B61C99"/>
    <w:rsid w:val="00B61CF4"/>
    <w:rsid w:val="00B61E2E"/>
    <w:rsid w:val="00B61F9E"/>
    <w:rsid w:val="00B61FF6"/>
    <w:rsid w:val="00B62175"/>
    <w:rsid w:val="00B6243F"/>
    <w:rsid w:val="00B6272F"/>
    <w:rsid w:val="00B629B7"/>
    <w:rsid w:val="00B62B37"/>
    <w:rsid w:val="00B62C19"/>
    <w:rsid w:val="00B62C30"/>
    <w:rsid w:val="00B62CF5"/>
    <w:rsid w:val="00B62D2D"/>
    <w:rsid w:val="00B62E84"/>
    <w:rsid w:val="00B62EBA"/>
    <w:rsid w:val="00B62EBF"/>
    <w:rsid w:val="00B631F3"/>
    <w:rsid w:val="00B632C6"/>
    <w:rsid w:val="00B633DF"/>
    <w:rsid w:val="00B63460"/>
    <w:rsid w:val="00B635B3"/>
    <w:rsid w:val="00B63671"/>
    <w:rsid w:val="00B63995"/>
    <w:rsid w:val="00B63AC7"/>
    <w:rsid w:val="00B63C85"/>
    <w:rsid w:val="00B63DC6"/>
    <w:rsid w:val="00B63E5E"/>
    <w:rsid w:val="00B64062"/>
    <w:rsid w:val="00B640B9"/>
    <w:rsid w:val="00B647B8"/>
    <w:rsid w:val="00B64B88"/>
    <w:rsid w:val="00B64C38"/>
    <w:rsid w:val="00B64C59"/>
    <w:rsid w:val="00B64D01"/>
    <w:rsid w:val="00B64FBA"/>
    <w:rsid w:val="00B65178"/>
    <w:rsid w:val="00B6525F"/>
    <w:rsid w:val="00B653C1"/>
    <w:rsid w:val="00B653D6"/>
    <w:rsid w:val="00B6558F"/>
    <w:rsid w:val="00B65882"/>
    <w:rsid w:val="00B658D6"/>
    <w:rsid w:val="00B659D7"/>
    <w:rsid w:val="00B659E6"/>
    <w:rsid w:val="00B65A2E"/>
    <w:rsid w:val="00B65A2F"/>
    <w:rsid w:val="00B65AE4"/>
    <w:rsid w:val="00B65BA6"/>
    <w:rsid w:val="00B65D0F"/>
    <w:rsid w:val="00B65F1B"/>
    <w:rsid w:val="00B66027"/>
    <w:rsid w:val="00B6612B"/>
    <w:rsid w:val="00B6618E"/>
    <w:rsid w:val="00B6626D"/>
    <w:rsid w:val="00B665F2"/>
    <w:rsid w:val="00B666E5"/>
    <w:rsid w:val="00B6676C"/>
    <w:rsid w:val="00B66953"/>
    <w:rsid w:val="00B669B5"/>
    <w:rsid w:val="00B66A0D"/>
    <w:rsid w:val="00B66C04"/>
    <w:rsid w:val="00B66C37"/>
    <w:rsid w:val="00B66C5E"/>
    <w:rsid w:val="00B67119"/>
    <w:rsid w:val="00B6714B"/>
    <w:rsid w:val="00B674BE"/>
    <w:rsid w:val="00B676FE"/>
    <w:rsid w:val="00B67ADE"/>
    <w:rsid w:val="00B67B0A"/>
    <w:rsid w:val="00B67FA3"/>
    <w:rsid w:val="00B67FAC"/>
    <w:rsid w:val="00B67FD2"/>
    <w:rsid w:val="00B70297"/>
    <w:rsid w:val="00B70522"/>
    <w:rsid w:val="00B705E8"/>
    <w:rsid w:val="00B70899"/>
    <w:rsid w:val="00B70C06"/>
    <w:rsid w:val="00B70C8C"/>
    <w:rsid w:val="00B70CAC"/>
    <w:rsid w:val="00B70F1B"/>
    <w:rsid w:val="00B70F9F"/>
    <w:rsid w:val="00B7122D"/>
    <w:rsid w:val="00B71575"/>
    <w:rsid w:val="00B71636"/>
    <w:rsid w:val="00B71675"/>
    <w:rsid w:val="00B7183A"/>
    <w:rsid w:val="00B719B6"/>
    <w:rsid w:val="00B71AC2"/>
    <w:rsid w:val="00B71B62"/>
    <w:rsid w:val="00B71C2A"/>
    <w:rsid w:val="00B71CE0"/>
    <w:rsid w:val="00B71FAC"/>
    <w:rsid w:val="00B721CA"/>
    <w:rsid w:val="00B7232A"/>
    <w:rsid w:val="00B72348"/>
    <w:rsid w:val="00B72583"/>
    <w:rsid w:val="00B7286C"/>
    <w:rsid w:val="00B7290F"/>
    <w:rsid w:val="00B72CE4"/>
    <w:rsid w:val="00B72D98"/>
    <w:rsid w:val="00B72F29"/>
    <w:rsid w:val="00B73160"/>
    <w:rsid w:val="00B73194"/>
    <w:rsid w:val="00B732A2"/>
    <w:rsid w:val="00B73327"/>
    <w:rsid w:val="00B7360D"/>
    <w:rsid w:val="00B73646"/>
    <w:rsid w:val="00B73694"/>
    <w:rsid w:val="00B738FD"/>
    <w:rsid w:val="00B73B42"/>
    <w:rsid w:val="00B73D58"/>
    <w:rsid w:val="00B74238"/>
    <w:rsid w:val="00B74278"/>
    <w:rsid w:val="00B7442E"/>
    <w:rsid w:val="00B744D7"/>
    <w:rsid w:val="00B74AC9"/>
    <w:rsid w:val="00B74BBB"/>
    <w:rsid w:val="00B74E2B"/>
    <w:rsid w:val="00B74EA2"/>
    <w:rsid w:val="00B74EC6"/>
    <w:rsid w:val="00B74F65"/>
    <w:rsid w:val="00B75110"/>
    <w:rsid w:val="00B75114"/>
    <w:rsid w:val="00B7525F"/>
    <w:rsid w:val="00B75261"/>
    <w:rsid w:val="00B758DE"/>
    <w:rsid w:val="00B75A21"/>
    <w:rsid w:val="00B75A3F"/>
    <w:rsid w:val="00B75BC0"/>
    <w:rsid w:val="00B75BF3"/>
    <w:rsid w:val="00B75F71"/>
    <w:rsid w:val="00B760EE"/>
    <w:rsid w:val="00B7636B"/>
    <w:rsid w:val="00B76492"/>
    <w:rsid w:val="00B76696"/>
    <w:rsid w:val="00B766C3"/>
    <w:rsid w:val="00B7693E"/>
    <w:rsid w:val="00B7694A"/>
    <w:rsid w:val="00B769A2"/>
    <w:rsid w:val="00B76D40"/>
    <w:rsid w:val="00B76DBD"/>
    <w:rsid w:val="00B76F31"/>
    <w:rsid w:val="00B76F36"/>
    <w:rsid w:val="00B770CD"/>
    <w:rsid w:val="00B7724B"/>
    <w:rsid w:val="00B772A2"/>
    <w:rsid w:val="00B77307"/>
    <w:rsid w:val="00B7738B"/>
    <w:rsid w:val="00B77529"/>
    <w:rsid w:val="00B7755C"/>
    <w:rsid w:val="00B77578"/>
    <w:rsid w:val="00B77678"/>
    <w:rsid w:val="00B77907"/>
    <w:rsid w:val="00B77937"/>
    <w:rsid w:val="00B7796D"/>
    <w:rsid w:val="00B77A90"/>
    <w:rsid w:val="00B77C0F"/>
    <w:rsid w:val="00B77DA4"/>
    <w:rsid w:val="00B77F11"/>
    <w:rsid w:val="00B77F24"/>
    <w:rsid w:val="00B77F27"/>
    <w:rsid w:val="00B8015C"/>
    <w:rsid w:val="00B80266"/>
    <w:rsid w:val="00B80364"/>
    <w:rsid w:val="00B80488"/>
    <w:rsid w:val="00B80583"/>
    <w:rsid w:val="00B8067C"/>
    <w:rsid w:val="00B806D2"/>
    <w:rsid w:val="00B80A00"/>
    <w:rsid w:val="00B80A34"/>
    <w:rsid w:val="00B80AA3"/>
    <w:rsid w:val="00B80B83"/>
    <w:rsid w:val="00B80C1C"/>
    <w:rsid w:val="00B8119A"/>
    <w:rsid w:val="00B8120E"/>
    <w:rsid w:val="00B81485"/>
    <w:rsid w:val="00B8181E"/>
    <w:rsid w:val="00B818A8"/>
    <w:rsid w:val="00B819CA"/>
    <w:rsid w:val="00B81A2C"/>
    <w:rsid w:val="00B81B53"/>
    <w:rsid w:val="00B81BB1"/>
    <w:rsid w:val="00B82097"/>
    <w:rsid w:val="00B82171"/>
    <w:rsid w:val="00B82256"/>
    <w:rsid w:val="00B82337"/>
    <w:rsid w:val="00B8248B"/>
    <w:rsid w:val="00B824AF"/>
    <w:rsid w:val="00B8254D"/>
    <w:rsid w:val="00B82792"/>
    <w:rsid w:val="00B82C9E"/>
    <w:rsid w:val="00B82CB2"/>
    <w:rsid w:val="00B82CFE"/>
    <w:rsid w:val="00B82D57"/>
    <w:rsid w:val="00B82EDE"/>
    <w:rsid w:val="00B82F27"/>
    <w:rsid w:val="00B8314E"/>
    <w:rsid w:val="00B83233"/>
    <w:rsid w:val="00B83300"/>
    <w:rsid w:val="00B836DE"/>
    <w:rsid w:val="00B8394E"/>
    <w:rsid w:val="00B83B2F"/>
    <w:rsid w:val="00B83C03"/>
    <w:rsid w:val="00B83D17"/>
    <w:rsid w:val="00B840A3"/>
    <w:rsid w:val="00B840BD"/>
    <w:rsid w:val="00B84126"/>
    <w:rsid w:val="00B841EE"/>
    <w:rsid w:val="00B84296"/>
    <w:rsid w:val="00B842A3"/>
    <w:rsid w:val="00B84480"/>
    <w:rsid w:val="00B84559"/>
    <w:rsid w:val="00B84A31"/>
    <w:rsid w:val="00B84B11"/>
    <w:rsid w:val="00B84B40"/>
    <w:rsid w:val="00B84C0B"/>
    <w:rsid w:val="00B84C50"/>
    <w:rsid w:val="00B84DDD"/>
    <w:rsid w:val="00B84F77"/>
    <w:rsid w:val="00B85012"/>
    <w:rsid w:val="00B8506C"/>
    <w:rsid w:val="00B851D9"/>
    <w:rsid w:val="00B852D9"/>
    <w:rsid w:val="00B8538C"/>
    <w:rsid w:val="00B853AE"/>
    <w:rsid w:val="00B8560C"/>
    <w:rsid w:val="00B856A9"/>
    <w:rsid w:val="00B856E0"/>
    <w:rsid w:val="00B85700"/>
    <w:rsid w:val="00B85CA5"/>
    <w:rsid w:val="00B85DDD"/>
    <w:rsid w:val="00B85EA1"/>
    <w:rsid w:val="00B85F9A"/>
    <w:rsid w:val="00B8619B"/>
    <w:rsid w:val="00B862CF"/>
    <w:rsid w:val="00B863A0"/>
    <w:rsid w:val="00B863CB"/>
    <w:rsid w:val="00B86586"/>
    <w:rsid w:val="00B8692B"/>
    <w:rsid w:val="00B869EC"/>
    <w:rsid w:val="00B86A0D"/>
    <w:rsid w:val="00B86BBD"/>
    <w:rsid w:val="00B86BDB"/>
    <w:rsid w:val="00B86E66"/>
    <w:rsid w:val="00B86FA6"/>
    <w:rsid w:val="00B87239"/>
    <w:rsid w:val="00B87574"/>
    <w:rsid w:val="00B87806"/>
    <w:rsid w:val="00B8797F"/>
    <w:rsid w:val="00B87AD5"/>
    <w:rsid w:val="00B87B64"/>
    <w:rsid w:val="00B90249"/>
    <w:rsid w:val="00B90600"/>
    <w:rsid w:val="00B90828"/>
    <w:rsid w:val="00B90907"/>
    <w:rsid w:val="00B90C46"/>
    <w:rsid w:val="00B90D1A"/>
    <w:rsid w:val="00B90E06"/>
    <w:rsid w:val="00B91003"/>
    <w:rsid w:val="00B9105E"/>
    <w:rsid w:val="00B910B6"/>
    <w:rsid w:val="00B9118A"/>
    <w:rsid w:val="00B91228"/>
    <w:rsid w:val="00B91269"/>
    <w:rsid w:val="00B912FE"/>
    <w:rsid w:val="00B91985"/>
    <w:rsid w:val="00B91A31"/>
    <w:rsid w:val="00B91D03"/>
    <w:rsid w:val="00B91D84"/>
    <w:rsid w:val="00B92267"/>
    <w:rsid w:val="00B9269C"/>
    <w:rsid w:val="00B926A1"/>
    <w:rsid w:val="00B927EF"/>
    <w:rsid w:val="00B92808"/>
    <w:rsid w:val="00B928A5"/>
    <w:rsid w:val="00B92B6A"/>
    <w:rsid w:val="00B92C86"/>
    <w:rsid w:val="00B92D88"/>
    <w:rsid w:val="00B92F1D"/>
    <w:rsid w:val="00B93143"/>
    <w:rsid w:val="00B9329D"/>
    <w:rsid w:val="00B93433"/>
    <w:rsid w:val="00B9352D"/>
    <w:rsid w:val="00B938CA"/>
    <w:rsid w:val="00B938F7"/>
    <w:rsid w:val="00B93AEF"/>
    <w:rsid w:val="00B93BC4"/>
    <w:rsid w:val="00B93C0F"/>
    <w:rsid w:val="00B93CCD"/>
    <w:rsid w:val="00B93D9A"/>
    <w:rsid w:val="00B93DBE"/>
    <w:rsid w:val="00B93F88"/>
    <w:rsid w:val="00B94067"/>
    <w:rsid w:val="00B941C9"/>
    <w:rsid w:val="00B9427B"/>
    <w:rsid w:val="00B94695"/>
    <w:rsid w:val="00B94720"/>
    <w:rsid w:val="00B9472E"/>
    <w:rsid w:val="00B948BC"/>
    <w:rsid w:val="00B949FB"/>
    <w:rsid w:val="00B94A5F"/>
    <w:rsid w:val="00B94A74"/>
    <w:rsid w:val="00B952B9"/>
    <w:rsid w:val="00B95371"/>
    <w:rsid w:val="00B9558F"/>
    <w:rsid w:val="00B955E2"/>
    <w:rsid w:val="00B9580E"/>
    <w:rsid w:val="00B9589A"/>
    <w:rsid w:val="00B9590E"/>
    <w:rsid w:val="00B95BF4"/>
    <w:rsid w:val="00B95CEC"/>
    <w:rsid w:val="00B95D4A"/>
    <w:rsid w:val="00B95D70"/>
    <w:rsid w:val="00B95D8A"/>
    <w:rsid w:val="00B95E67"/>
    <w:rsid w:val="00B95F78"/>
    <w:rsid w:val="00B96011"/>
    <w:rsid w:val="00B9613F"/>
    <w:rsid w:val="00B96282"/>
    <w:rsid w:val="00B964D0"/>
    <w:rsid w:val="00B9652E"/>
    <w:rsid w:val="00B968FB"/>
    <w:rsid w:val="00B96B64"/>
    <w:rsid w:val="00B96C24"/>
    <w:rsid w:val="00B96D71"/>
    <w:rsid w:val="00B96E76"/>
    <w:rsid w:val="00B97179"/>
    <w:rsid w:val="00B971F8"/>
    <w:rsid w:val="00B9749B"/>
    <w:rsid w:val="00B97931"/>
    <w:rsid w:val="00B979B5"/>
    <w:rsid w:val="00B97B5C"/>
    <w:rsid w:val="00B97B88"/>
    <w:rsid w:val="00B97C19"/>
    <w:rsid w:val="00B97C4E"/>
    <w:rsid w:val="00B97CE3"/>
    <w:rsid w:val="00B97D2C"/>
    <w:rsid w:val="00B97FB9"/>
    <w:rsid w:val="00BA00E2"/>
    <w:rsid w:val="00BA00FC"/>
    <w:rsid w:val="00BA0182"/>
    <w:rsid w:val="00BA01AB"/>
    <w:rsid w:val="00BA01B0"/>
    <w:rsid w:val="00BA0225"/>
    <w:rsid w:val="00BA02A6"/>
    <w:rsid w:val="00BA02EC"/>
    <w:rsid w:val="00BA04C5"/>
    <w:rsid w:val="00BA07CD"/>
    <w:rsid w:val="00BA0A10"/>
    <w:rsid w:val="00BA0BFF"/>
    <w:rsid w:val="00BA0CB2"/>
    <w:rsid w:val="00BA0CDE"/>
    <w:rsid w:val="00BA0E42"/>
    <w:rsid w:val="00BA0F7A"/>
    <w:rsid w:val="00BA10F9"/>
    <w:rsid w:val="00BA120C"/>
    <w:rsid w:val="00BA12CD"/>
    <w:rsid w:val="00BA16E0"/>
    <w:rsid w:val="00BA185E"/>
    <w:rsid w:val="00BA199D"/>
    <w:rsid w:val="00BA1A51"/>
    <w:rsid w:val="00BA1A81"/>
    <w:rsid w:val="00BA1B31"/>
    <w:rsid w:val="00BA1B3B"/>
    <w:rsid w:val="00BA1C76"/>
    <w:rsid w:val="00BA1E6C"/>
    <w:rsid w:val="00BA20F8"/>
    <w:rsid w:val="00BA26B8"/>
    <w:rsid w:val="00BA26FA"/>
    <w:rsid w:val="00BA2787"/>
    <w:rsid w:val="00BA2A51"/>
    <w:rsid w:val="00BA2C52"/>
    <w:rsid w:val="00BA2CE9"/>
    <w:rsid w:val="00BA2FC7"/>
    <w:rsid w:val="00BA3232"/>
    <w:rsid w:val="00BA3234"/>
    <w:rsid w:val="00BA3306"/>
    <w:rsid w:val="00BA3354"/>
    <w:rsid w:val="00BA3371"/>
    <w:rsid w:val="00BA33F4"/>
    <w:rsid w:val="00BA346F"/>
    <w:rsid w:val="00BA34FD"/>
    <w:rsid w:val="00BA376E"/>
    <w:rsid w:val="00BA37A5"/>
    <w:rsid w:val="00BA39DA"/>
    <w:rsid w:val="00BA39EB"/>
    <w:rsid w:val="00BA3D70"/>
    <w:rsid w:val="00BA42A4"/>
    <w:rsid w:val="00BA4498"/>
    <w:rsid w:val="00BA4583"/>
    <w:rsid w:val="00BA4836"/>
    <w:rsid w:val="00BA4872"/>
    <w:rsid w:val="00BA4AEF"/>
    <w:rsid w:val="00BA4BB1"/>
    <w:rsid w:val="00BA4E42"/>
    <w:rsid w:val="00BA5082"/>
    <w:rsid w:val="00BA5221"/>
    <w:rsid w:val="00BA54FD"/>
    <w:rsid w:val="00BA55CC"/>
    <w:rsid w:val="00BA564C"/>
    <w:rsid w:val="00BA5724"/>
    <w:rsid w:val="00BA575C"/>
    <w:rsid w:val="00BA5784"/>
    <w:rsid w:val="00BA579A"/>
    <w:rsid w:val="00BA588E"/>
    <w:rsid w:val="00BA58AE"/>
    <w:rsid w:val="00BA5955"/>
    <w:rsid w:val="00BA5B24"/>
    <w:rsid w:val="00BA5F76"/>
    <w:rsid w:val="00BA6148"/>
    <w:rsid w:val="00BA6176"/>
    <w:rsid w:val="00BA61F5"/>
    <w:rsid w:val="00BA6392"/>
    <w:rsid w:val="00BA63AF"/>
    <w:rsid w:val="00BA648A"/>
    <w:rsid w:val="00BA64CC"/>
    <w:rsid w:val="00BA66A6"/>
    <w:rsid w:val="00BA676F"/>
    <w:rsid w:val="00BA6953"/>
    <w:rsid w:val="00BA6BC1"/>
    <w:rsid w:val="00BA6C86"/>
    <w:rsid w:val="00BA6FD7"/>
    <w:rsid w:val="00BA700A"/>
    <w:rsid w:val="00BA72DB"/>
    <w:rsid w:val="00BA73EE"/>
    <w:rsid w:val="00BA7A14"/>
    <w:rsid w:val="00BA7A6A"/>
    <w:rsid w:val="00BA7A7C"/>
    <w:rsid w:val="00BA7D0A"/>
    <w:rsid w:val="00BA7DA3"/>
    <w:rsid w:val="00BA7EAE"/>
    <w:rsid w:val="00BA7FC7"/>
    <w:rsid w:val="00BB0116"/>
    <w:rsid w:val="00BB0333"/>
    <w:rsid w:val="00BB0535"/>
    <w:rsid w:val="00BB0590"/>
    <w:rsid w:val="00BB0815"/>
    <w:rsid w:val="00BB0B5F"/>
    <w:rsid w:val="00BB0D82"/>
    <w:rsid w:val="00BB0DE6"/>
    <w:rsid w:val="00BB0DFE"/>
    <w:rsid w:val="00BB0E85"/>
    <w:rsid w:val="00BB0F2D"/>
    <w:rsid w:val="00BB0FC2"/>
    <w:rsid w:val="00BB0FEE"/>
    <w:rsid w:val="00BB1001"/>
    <w:rsid w:val="00BB1163"/>
    <w:rsid w:val="00BB11FC"/>
    <w:rsid w:val="00BB1278"/>
    <w:rsid w:val="00BB168D"/>
    <w:rsid w:val="00BB1804"/>
    <w:rsid w:val="00BB18B5"/>
    <w:rsid w:val="00BB18C0"/>
    <w:rsid w:val="00BB1B60"/>
    <w:rsid w:val="00BB1BE7"/>
    <w:rsid w:val="00BB1C55"/>
    <w:rsid w:val="00BB1D36"/>
    <w:rsid w:val="00BB1D72"/>
    <w:rsid w:val="00BB1E31"/>
    <w:rsid w:val="00BB2034"/>
    <w:rsid w:val="00BB20D3"/>
    <w:rsid w:val="00BB220D"/>
    <w:rsid w:val="00BB2329"/>
    <w:rsid w:val="00BB245C"/>
    <w:rsid w:val="00BB2613"/>
    <w:rsid w:val="00BB28A1"/>
    <w:rsid w:val="00BB2926"/>
    <w:rsid w:val="00BB2A42"/>
    <w:rsid w:val="00BB2BB5"/>
    <w:rsid w:val="00BB3110"/>
    <w:rsid w:val="00BB326D"/>
    <w:rsid w:val="00BB34F8"/>
    <w:rsid w:val="00BB361F"/>
    <w:rsid w:val="00BB3834"/>
    <w:rsid w:val="00BB38C7"/>
    <w:rsid w:val="00BB390E"/>
    <w:rsid w:val="00BB3A59"/>
    <w:rsid w:val="00BB3AAF"/>
    <w:rsid w:val="00BB3BAE"/>
    <w:rsid w:val="00BB3EF0"/>
    <w:rsid w:val="00BB3F09"/>
    <w:rsid w:val="00BB40BE"/>
    <w:rsid w:val="00BB41F0"/>
    <w:rsid w:val="00BB4220"/>
    <w:rsid w:val="00BB4368"/>
    <w:rsid w:val="00BB436B"/>
    <w:rsid w:val="00BB43A9"/>
    <w:rsid w:val="00BB45B5"/>
    <w:rsid w:val="00BB4B40"/>
    <w:rsid w:val="00BB4C2B"/>
    <w:rsid w:val="00BB4F28"/>
    <w:rsid w:val="00BB54A6"/>
    <w:rsid w:val="00BB54B9"/>
    <w:rsid w:val="00BB5846"/>
    <w:rsid w:val="00BB584D"/>
    <w:rsid w:val="00BB5995"/>
    <w:rsid w:val="00BB5CEF"/>
    <w:rsid w:val="00BB5F7B"/>
    <w:rsid w:val="00BB5FF9"/>
    <w:rsid w:val="00BB6247"/>
    <w:rsid w:val="00BB630A"/>
    <w:rsid w:val="00BB655A"/>
    <w:rsid w:val="00BB67AE"/>
    <w:rsid w:val="00BB67E2"/>
    <w:rsid w:val="00BB6875"/>
    <w:rsid w:val="00BB6C10"/>
    <w:rsid w:val="00BB6CFE"/>
    <w:rsid w:val="00BB6E1A"/>
    <w:rsid w:val="00BB6F20"/>
    <w:rsid w:val="00BB7000"/>
    <w:rsid w:val="00BB70FB"/>
    <w:rsid w:val="00BB720A"/>
    <w:rsid w:val="00BB7261"/>
    <w:rsid w:val="00BB73CF"/>
    <w:rsid w:val="00BB75D4"/>
    <w:rsid w:val="00BB7754"/>
    <w:rsid w:val="00BB77D9"/>
    <w:rsid w:val="00BB784A"/>
    <w:rsid w:val="00BB786B"/>
    <w:rsid w:val="00BB7D38"/>
    <w:rsid w:val="00BB7DF2"/>
    <w:rsid w:val="00BB7E7B"/>
    <w:rsid w:val="00BC01CA"/>
    <w:rsid w:val="00BC01FD"/>
    <w:rsid w:val="00BC03F5"/>
    <w:rsid w:val="00BC0718"/>
    <w:rsid w:val="00BC07D4"/>
    <w:rsid w:val="00BC07D6"/>
    <w:rsid w:val="00BC098A"/>
    <w:rsid w:val="00BC0E0F"/>
    <w:rsid w:val="00BC108E"/>
    <w:rsid w:val="00BC139D"/>
    <w:rsid w:val="00BC16B4"/>
    <w:rsid w:val="00BC16F5"/>
    <w:rsid w:val="00BC19B1"/>
    <w:rsid w:val="00BC1A4D"/>
    <w:rsid w:val="00BC1BFF"/>
    <w:rsid w:val="00BC1CAF"/>
    <w:rsid w:val="00BC1E5F"/>
    <w:rsid w:val="00BC1ECD"/>
    <w:rsid w:val="00BC21CF"/>
    <w:rsid w:val="00BC2227"/>
    <w:rsid w:val="00BC22DC"/>
    <w:rsid w:val="00BC23CB"/>
    <w:rsid w:val="00BC2508"/>
    <w:rsid w:val="00BC2518"/>
    <w:rsid w:val="00BC25F8"/>
    <w:rsid w:val="00BC295B"/>
    <w:rsid w:val="00BC2A8D"/>
    <w:rsid w:val="00BC2B20"/>
    <w:rsid w:val="00BC2C12"/>
    <w:rsid w:val="00BC2CCA"/>
    <w:rsid w:val="00BC2D35"/>
    <w:rsid w:val="00BC2DE5"/>
    <w:rsid w:val="00BC2E16"/>
    <w:rsid w:val="00BC32A5"/>
    <w:rsid w:val="00BC3361"/>
    <w:rsid w:val="00BC33F4"/>
    <w:rsid w:val="00BC3558"/>
    <w:rsid w:val="00BC377E"/>
    <w:rsid w:val="00BC3791"/>
    <w:rsid w:val="00BC37F6"/>
    <w:rsid w:val="00BC3960"/>
    <w:rsid w:val="00BC3B22"/>
    <w:rsid w:val="00BC3B9B"/>
    <w:rsid w:val="00BC3EDE"/>
    <w:rsid w:val="00BC3FBE"/>
    <w:rsid w:val="00BC4123"/>
    <w:rsid w:val="00BC41BA"/>
    <w:rsid w:val="00BC427E"/>
    <w:rsid w:val="00BC44FB"/>
    <w:rsid w:val="00BC4572"/>
    <w:rsid w:val="00BC47D9"/>
    <w:rsid w:val="00BC4A6C"/>
    <w:rsid w:val="00BC4B66"/>
    <w:rsid w:val="00BC4BCD"/>
    <w:rsid w:val="00BC4D75"/>
    <w:rsid w:val="00BC4F03"/>
    <w:rsid w:val="00BC4FBF"/>
    <w:rsid w:val="00BC4FCC"/>
    <w:rsid w:val="00BC5050"/>
    <w:rsid w:val="00BC521A"/>
    <w:rsid w:val="00BC5330"/>
    <w:rsid w:val="00BC535D"/>
    <w:rsid w:val="00BC5472"/>
    <w:rsid w:val="00BC5560"/>
    <w:rsid w:val="00BC584B"/>
    <w:rsid w:val="00BC5965"/>
    <w:rsid w:val="00BC59A5"/>
    <w:rsid w:val="00BC5A1E"/>
    <w:rsid w:val="00BC5CCA"/>
    <w:rsid w:val="00BC5D83"/>
    <w:rsid w:val="00BC5E13"/>
    <w:rsid w:val="00BC600E"/>
    <w:rsid w:val="00BC60FB"/>
    <w:rsid w:val="00BC66D5"/>
    <w:rsid w:val="00BC66DE"/>
    <w:rsid w:val="00BC6743"/>
    <w:rsid w:val="00BC6765"/>
    <w:rsid w:val="00BC6A90"/>
    <w:rsid w:val="00BC6B15"/>
    <w:rsid w:val="00BC6DA5"/>
    <w:rsid w:val="00BC6EED"/>
    <w:rsid w:val="00BC70F4"/>
    <w:rsid w:val="00BC74C1"/>
    <w:rsid w:val="00BC75C5"/>
    <w:rsid w:val="00BC7635"/>
    <w:rsid w:val="00BC7937"/>
    <w:rsid w:val="00BC7CB4"/>
    <w:rsid w:val="00BD015E"/>
    <w:rsid w:val="00BD031F"/>
    <w:rsid w:val="00BD03EC"/>
    <w:rsid w:val="00BD043E"/>
    <w:rsid w:val="00BD09ED"/>
    <w:rsid w:val="00BD0A0D"/>
    <w:rsid w:val="00BD0C21"/>
    <w:rsid w:val="00BD0DA9"/>
    <w:rsid w:val="00BD0F11"/>
    <w:rsid w:val="00BD0F3E"/>
    <w:rsid w:val="00BD0F72"/>
    <w:rsid w:val="00BD116D"/>
    <w:rsid w:val="00BD12C3"/>
    <w:rsid w:val="00BD1394"/>
    <w:rsid w:val="00BD1540"/>
    <w:rsid w:val="00BD15F1"/>
    <w:rsid w:val="00BD18E8"/>
    <w:rsid w:val="00BD1B9B"/>
    <w:rsid w:val="00BD1D59"/>
    <w:rsid w:val="00BD1DBE"/>
    <w:rsid w:val="00BD1F7B"/>
    <w:rsid w:val="00BD21A4"/>
    <w:rsid w:val="00BD233A"/>
    <w:rsid w:val="00BD236C"/>
    <w:rsid w:val="00BD2488"/>
    <w:rsid w:val="00BD267A"/>
    <w:rsid w:val="00BD275D"/>
    <w:rsid w:val="00BD27C1"/>
    <w:rsid w:val="00BD29C2"/>
    <w:rsid w:val="00BD2B0F"/>
    <w:rsid w:val="00BD2C17"/>
    <w:rsid w:val="00BD2CF0"/>
    <w:rsid w:val="00BD2E37"/>
    <w:rsid w:val="00BD2E59"/>
    <w:rsid w:val="00BD2E5C"/>
    <w:rsid w:val="00BD3132"/>
    <w:rsid w:val="00BD32D0"/>
    <w:rsid w:val="00BD32F1"/>
    <w:rsid w:val="00BD3526"/>
    <w:rsid w:val="00BD35B4"/>
    <w:rsid w:val="00BD3612"/>
    <w:rsid w:val="00BD3A77"/>
    <w:rsid w:val="00BD3C1B"/>
    <w:rsid w:val="00BD3C28"/>
    <w:rsid w:val="00BD3CF4"/>
    <w:rsid w:val="00BD3E5F"/>
    <w:rsid w:val="00BD3F15"/>
    <w:rsid w:val="00BD400E"/>
    <w:rsid w:val="00BD4311"/>
    <w:rsid w:val="00BD4370"/>
    <w:rsid w:val="00BD448C"/>
    <w:rsid w:val="00BD45F3"/>
    <w:rsid w:val="00BD465B"/>
    <w:rsid w:val="00BD478B"/>
    <w:rsid w:val="00BD47D8"/>
    <w:rsid w:val="00BD482F"/>
    <w:rsid w:val="00BD48A4"/>
    <w:rsid w:val="00BD48EE"/>
    <w:rsid w:val="00BD4B78"/>
    <w:rsid w:val="00BD4CC0"/>
    <w:rsid w:val="00BD4E4A"/>
    <w:rsid w:val="00BD52AE"/>
    <w:rsid w:val="00BD5378"/>
    <w:rsid w:val="00BD5680"/>
    <w:rsid w:val="00BD56A3"/>
    <w:rsid w:val="00BD56ED"/>
    <w:rsid w:val="00BD5873"/>
    <w:rsid w:val="00BD590A"/>
    <w:rsid w:val="00BD59D8"/>
    <w:rsid w:val="00BD5AC1"/>
    <w:rsid w:val="00BD5BF9"/>
    <w:rsid w:val="00BD5CB3"/>
    <w:rsid w:val="00BD5CB6"/>
    <w:rsid w:val="00BD5FAD"/>
    <w:rsid w:val="00BD6267"/>
    <w:rsid w:val="00BD62A3"/>
    <w:rsid w:val="00BD6338"/>
    <w:rsid w:val="00BD63EB"/>
    <w:rsid w:val="00BD6513"/>
    <w:rsid w:val="00BD6576"/>
    <w:rsid w:val="00BD686D"/>
    <w:rsid w:val="00BD68F9"/>
    <w:rsid w:val="00BD6BF1"/>
    <w:rsid w:val="00BD6F2F"/>
    <w:rsid w:val="00BD6F6A"/>
    <w:rsid w:val="00BD7164"/>
    <w:rsid w:val="00BD72E5"/>
    <w:rsid w:val="00BD75BD"/>
    <w:rsid w:val="00BD775E"/>
    <w:rsid w:val="00BD77DD"/>
    <w:rsid w:val="00BD7809"/>
    <w:rsid w:val="00BD79AD"/>
    <w:rsid w:val="00BD7A75"/>
    <w:rsid w:val="00BD7BFE"/>
    <w:rsid w:val="00BD7C29"/>
    <w:rsid w:val="00BD7CCC"/>
    <w:rsid w:val="00BD7D64"/>
    <w:rsid w:val="00BD7D8D"/>
    <w:rsid w:val="00BE0200"/>
    <w:rsid w:val="00BE03D7"/>
    <w:rsid w:val="00BE07C5"/>
    <w:rsid w:val="00BE0A40"/>
    <w:rsid w:val="00BE0AA8"/>
    <w:rsid w:val="00BE0B07"/>
    <w:rsid w:val="00BE0C32"/>
    <w:rsid w:val="00BE0C57"/>
    <w:rsid w:val="00BE0D24"/>
    <w:rsid w:val="00BE10DE"/>
    <w:rsid w:val="00BE10E7"/>
    <w:rsid w:val="00BE1183"/>
    <w:rsid w:val="00BE1308"/>
    <w:rsid w:val="00BE1A54"/>
    <w:rsid w:val="00BE1CA0"/>
    <w:rsid w:val="00BE1CE7"/>
    <w:rsid w:val="00BE2181"/>
    <w:rsid w:val="00BE21D8"/>
    <w:rsid w:val="00BE2765"/>
    <w:rsid w:val="00BE289B"/>
    <w:rsid w:val="00BE2C36"/>
    <w:rsid w:val="00BE302C"/>
    <w:rsid w:val="00BE3399"/>
    <w:rsid w:val="00BE33FD"/>
    <w:rsid w:val="00BE34F7"/>
    <w:rsid w:val="00BE3714"/>
    <w:rsid w:val="00BE37E9"/>
    <w:rsid w:val="00BE3885"/>
    <w:rsid w:val="00BE3B34"/>
    <w:rsid w:val="00BE3C2E"/>
    <w:rsid w:val="00BE3CA5"/>
    <w:rsid w:val="00BE3CAA"/>
    <w:rsid w:val="00BE3CFD"/>
    <w:rsid w:val="00BE3D38"/>
    <w:rsid w:val="00BE3D49"/>
    <w:rsid w:val="00BE3E00"/>
    <w:rsid w:val="00BE3E5F"/>
    <w:rsid w:val="00BE3F0B"/>
    <w:rsid w:val="00BE40F8"/>
    <w:rsid w:val="00BE416B"/>
    <w:rsid w:val="00BE4322"/>
    <w:rsid w:val="00BE4488"/>
    <w:rsid w:val="00BE44A4"/>
    <w:rsid w:val="00BE4668"/>
    <w:rsid w:val="00BE476F"/>
    <w:rsid w:val="00BE48AF"/>
    <w:rsid w:val="00BE4961"/>
    <w:rsid w:val="00BE4B47"/>
    <w:rsid w:val="00BE4BCB"/>
    <w:rsid w:val="00BE4BF5"/>
    <w:rsid w:val="00BE4D36"/>
    <w:rsid w:val="00BE4D81"/>
    <w:rsid w:val="00BE4D8D"/>
    <w:rsid w:val="00BE4EFD"/>
    <w:rsid w:val="00BE50E1"/>
    <w:rsid w:val="00BE52CA"/>
    <w:rsid w:val="00BE532A"/>
    <w:rsid w:val="00BE56B0"/>
    <w:rsid w:val="00BE57BA"/>
    <w:rsid w:val="00BE583A"/>
    <w:rsid w:val="00BE5857"/>
    <w:rsid w:val="00BE58B9"/>
    <w:rsid w:val="00BE597A"/>
    <w:rsid w:val="00BE5B61"/>
    <w:rsid w:val="00BE5D50"/>
    <w:rsid w:val="00BE5DB1"/>
    <w:rsid w:val="00BE60AA"/>
    <w:rsid w:val="00BE62B2"/>
    <w:rsid w:val="00BE6406"/>
    <w:rsid w:val="00BE64F4"/>
    <w:rsid w:val="00BE657C"/>
    <w:rsid w:val="00BE66B3"/>
    <w:rsid w:val="00BE66D0"/>
    <w:rsid w:val="00BE68E1"/>
    <w:rsid w:val="00BE6919"/>
    <w:rsid w:val="00BE6A30"/>
    <w:rsid w:val="00BE6BEE"/>
    <w:rsid w:val="00BE6C38"/>
    <w:rsid w:val="00BE7072"/>
    <w:rsid w:val="00BE7081"/>
    <w:rsid w:val="00BE72BD"/>
    <w:rsid w:val="00BE73BA"/>
    <w:rsid w:val="00BE7428"/>
    <w:rsid w:val="00BE74FC"/>
    <w:rsid w:val="00BE7A6D"/>
    <w:rsid w:val="00BE7AE9"/>
    <w:rsid w:val="00BE7B35"/>
    <w:rsid w:val="00BE7B65"/>
    <w:rsid w:val="00BE7D08"/>
    <w:rsid w:val="00BE7D1D"/>
    <w:rsid w:val="00BE7D96"/>
    <w:rsid w:val="00BF0158"/>
    <w:rsid w:val="00BF026D"/>
    <w:rsid w:val="00BF03DC"/>
    <w:rsid w:val="00BF0588"/>
    <w:rsid w:val="00BF0706"/>
    <w:rsid w:val="00BF0882"/>
    <w:rsid w:val="00BF0AB3"/>
    <w:rsid w:val="00BF0B8B"/>
    <w:rsid w:val="00BF0BA4"/>
    <w:rsid w:val="00BF0C75"/>
    <w:rsid w:val="00BF0DF9"/>
    <w:rsid w:val="00BF0F7D"/>
    <w:rsid w:val="00BF0FD1"/>
    <w:rsid w:val="00BF1013"/>
    <w:rsid w:val="00BF10DA"/>
    <w:rsid w:val="00BF10F5"/>
    <w:rsid w:val="00BF1187"/>
    <w:rsid w:val="00BF1222"/>
    <w:rsid w:val="00BF13C4"/>
    <w:rsid w:val="00BF155D"/>
    <w:rsid w:val="00BF1632"/>
    <w:rsid w:val="00BF16DF"/>
    <w:rsid w:val="00BF17D1"/>
    <w:rsid w:val="00BF19E3"/>
    <w:rsid w:val="00BF1C14"/>
    <w:rsid w:val="00BF1F66"/>
    <w:rsid w:val="00BF2129"/>
    <w:rsid w:val="00BF24F1"/>
    <w:rsid w:val="00BF25A6"/>
    <w:rsid w:val="00BF25EE"/>
    <w:rsid w:val="00BF2693"/>
    <w:rsid w:val="00BF277D"/>
    <w:rsid w:val="00BF289D"/>
    <w:rsid w:val="00BF28E9"/>
    <w:rsid w:val="00BF29BC"/>
    <w:rsid w:val="00BF2B89"/>
    <w:rsid w:val="00BF2B99"/>
    <w:rsid w:val="00BF2C0C"/>
    <w:rsid w:val="00BF2D48"/>
    <w:rsid w:val="00BF2FF5"/>
    <w:rsid w:val="00BF328F"/>
    <w:rsid w:val="00BF32A3"/>
    <w:rsid w:val="00BF34B3"/>
    <w:rsid w:val="00BF34E3"/>
    <w:rsid w:val="00BF3710"/>
    <w:rsid w:val="00BF3A26"/>
    <w:rsid w:val="00BF3A2B"/>
    <w:rsid w:val="00BF3BEC"/>
    <w:rsid w:val="00BF3D84"/>
    <w:rsid w:val="00BF4363"/>
    <w:rsid w:val="00BF4372"/>
    <w:rsid w:val="00BF4430"/>
    <w:rsid w:val="00BF44A9"/>
    <w:rsid w:val="00BF4702"/>
    <w:rsid w:val="00BF47AE"/>
    <w:rsid w:val="00BF47BC"/>
    <w:rsid w:val="00BF47DA"/>
    <w:rsid w:val="00BF5369"/>
    <w:rsid w:val="00BF5482"/>
    <w:rsid w:val="00BF55C7"/>
    <w:rsid w:val="00BF56BF"/>
    <w:rsid w:val="00BF5B11"/>
    <w:rsid w:val="00BF5DF4"/>
    <w:rsid w:val="00BF5E2F"/>
    <w:rsid w:val="00BF60AB"/>
    <w:rsid w:val="00BF62EF"/>
    <w:rsid w:val="00BF6328"/>
    <w:rsid w:val="00BF634D"/>
    <w:rsid w:val="00BF660C"/>
    <w:rsid w:val="00BF6694"/>
    <w:rsid w:val="00BF671A"/>
    <w:rsid w:val="00BF6801"/>
    <w:rsid w:val="00BF6A53"/>
    <w:rsid w:val="00BF6E0E"/>
    <w:rsid w:val="00BF7069"/>
    <w:rsid w:val="00BF716A"/>
    <w:rsid w:val="00BF721B"/>
    <w:rsid w:val="00BF7268"/>
    <w:rsid w:val="00BF74A4"/>
    <w:rsid w:val="00BF7746"/>
    <w:rsid w:val="00BF7833"/>
    <w:rsid w:val="00BF7A17"/>
    <w:rsid w:val="00BF7C4B"/>
    <w:rsid w:val="00BF7C54"/>
    <w:rsid w:val="00BF7CE0"/>
    <w:rsid w:val="00BF7E30"/>
    <w:rsid w:val="00BF7F7F"/>
    <w:rsid w:val="00C001AD"/>
    <w:rsid w:val="00C0023D"/>
    <w:rsid w:val="00C00423"/>
    <w:rsid w:val="00C00504"/>
    <w:rsid w:val="00C006B6"/>
    <w:rsid w:val="00C00991"/>
    <w:rsid w:val="00C00DF3"/>
    <w:rsid w:val="00C00F9C"/>
    <w:rsid w:val="00C013F1"/>
    <w:rsid w:val="00C01546"/>
    <w:rsid w:val="00C015D5"/>
    <w:rsid w:val="00C016C6"/>
    <w:rsid w:val="00C01A57"/>
    <w:rsid w:val="00C01AD2"/>
    <w:rsid w:val="00C01B7A"/>
    <w:rsid w:val="00C01C91"/>
    <w:rsid w:val="00C01F6E"/>
    <w:rsid w:val="00C01FA8"/>
    <w:rsid w:val="00C020A9"/>
    <w:rsid w:val="00C0218D"/>
    <w:rsid w:val="00C02321"/>
    <w:rsid w:val="00C023A5"/>
    <w:rsid w:val="00C023C6"/>
    <w:rsid w:val="00C02443"/>
    <w:rsid w:val="00C02520"/>
    <w:rsid w:val="00C02522"/>
    <w:rsid w:val="00C02576"/>
    <w:rsid w:val="00C02583"/>
    <w:rsid w:val="00C025B2"/>
    <w:rsid w:val="00C025D7"/>
    <w:rsid w:val="00C025FF"/>
    <w:rsid w:val="00C0269A"/>
    <w:rsid w:val="00C02749"/>
    <w:rsid w:val="00C02AB5"/>
    <w:rsid w:val="00C02B34"/>
    <w:rsid w:val="00C02B83"/>
    <w:rsid w:val="00C031C3"/>
    <w:rsid w:val="00C031F1"/>
    <w:rsid w:val="00C031FA"/>
    <w:rsid w:val="00C032A4"/>
    <w:rsid w:val="00C032F2"/>
    <w:rsid w:val="00C0335F"/>
    <w:rsid w:val="00C033FF"/>
    <w:rsid w:val="00C03463"/>
    <w:rsid w:val="00C035F6"/>
    <w:rsid w:val="00C036C1"/>
    <w:rsid w:val="00C036C5"/>
    <w:rsid w:val="00C03733"/>
    <w:rsid w:val="00C03774"/>
    <w:rsid w:val="00C03BC9"/>
    <w:rsid w:val="00C03EA8"/>
    <w:rsid w:val="00C04003"/>
    <w:rsid w:val="00C0408D"/>
    <w:rsid w:val="00C0409B"/>
    <w:rsid w:val="00C0412F"/>
    <w:rsid w:val="00C044CD"/>
    <w:rsid w:val="00C047AA"/>
    <w:rsid w:val="00C04A1A"/>
    <w:rsid w:val="00C04B4C"/>
    <w:rsid w:val="00C04C23"/>
    <w:rsid w:val="00C0524D"/>
    <w:rsid w:val="00C05285"/>
    <w:rsid w:val="00C05359"/>
    <w:rsid w:val="00C053BC"/>
    <w:rsid w:val="00C05463"/>
    <w:rsid w:val="00C056D1"/>
    <w:rsid w:val="00C056D8"/>
    <w:rsid w:val="00C0591D"/>
    <w:rsid w:val="00C05AA1"/>
    <w:rsid w:val="00C05ABE"/>
    <w:rsid w:val="00C05B46"/>
    <w:rsid w:val="00C05BE6"/>
    <w:rsid w:val="00C05EB4"/>
    <w:rsid w:val="00C05EBD"/>
    <w:rsid w:val="00C05FD5"/>
    <w:rsid w:val="00C0629B"/>
    <w:rsid w:val="00C062D9"/>
    <w:rsid w:val="00C06459"/>
    <w:rsid w:val="00C06837"/>
    <w:rsid w:val="00C06A71"/>
    <w:rsid w:val="00C06B69"/>
    <w:rsid w:val="00C06D00"/>
    <w:rsid w:val="00C06D95"/>
    <w:rsid w:val="00C06F32"/>
    <w:rsid w:val="00C06F61"/>
    <w:rsid w:val="00C07040"/>
    <w:rsid w:val="00C071C0"/>
    <w:rsid w:val="00C072BF"/>
    <w:rsid w:val="00C072FB"/>
    <w:rsid w:val="00C07417"/>
    <w:rsid w:val="00C0742F"/>
    <w:rsid w:val="00C07690"/>
    <w:rsid w:val="00C07736"/>
    <w:rsid w:val="00C07815"/>
    <w:rsid w:val="00C07B60"/>
    <w:rsid w:val="00C07BBA"/>
    <w:rsid w:val="00C07C02"/>
    <w:rsid w:val="00C07D82"/>
    <w:rsid w:val="00C100F6"/>
    <w:rsid w:val="00C10103"/>
    <w:rsid w:val="00C10150"/>
    <w:rsid w:val="00C102BE"/>
    <w:rsid w:val="00C10313"/>
    <w:rsid w:val="00C10394"/>
    <w:rsid w:val="00C10407"/>
    <w:rsid w:val="00C1048A"/>
    <w:rsid w:val="00C104E3"/>
    <w:rsid w:val="00C107B5"/>
    <w:rsid w:val="00C107F4"/>
    <w:rsid w:val="00C10875"/>
    <w:rsid w:val="00C108DA"/>
    <w:rsid w:val="00C10A75"/>
    <w:rsid w:val="00C10B20"/>
    <w:rsid w:val="00C10B79"/>
    <w:rsid w:val="00C10C69"/>
    <w:rsid w:val="00C10EC5"/>
    <w:rsid w:val="00C10F66"/>
    <w:rsid w:val="00C111B8"/>
    <w:rsid w:val="00C113D9"/>
    <w:rsid w:val="00C115F0"/>
    <w:rsid w:val="00C11638"/>
    <w:rsid w:val="00C11670"/>
    <w:rsid w:val="00C11A01"/>
    <w:rsid w:val="00C11B03"/>
    <w:rsid w:val="00C11C7D"/>
    <w:rsid w:val="00C11EB8"/>
    <w:rsid w:val="00C120A2"/>
    <w:rsid w:val="00C1219C"/>
    <w:rsid w:val="00C122D6"/>
    <w:rsid w:val="00C12300"/>
    <w:rsid w:val="00C12381"/>
    <w:rsid w:val="00C12439"/>
    <w:rsid w:val="00C124C4"/>
    <w:rsid w:val="00C1260A"/>
    <w:rsid w:val="00C12DA6"/>
    <w:rsid w:val="00C12E07"/>
    <w:rsid w:val="00C12EF1"/>
    <w:rsid w:val="00C12F13"/>
    <w:rsid w:val="00C13011"/>
    <w:rsid w:val="00C132E8"/>
    <w:rsid w:val="00C13383"/>
    <w:rsid w:val="00C13426"/>
    <w:rsid w:val="00C1350D"/>
    <w:rsid w:val="00C13582"/>
    <w:rsid w:val="00C1358E"/>
    <w:rsid w:val="00C1359F"/>
    <w:rsid w:val="00C1361A"/>
    <w:rsid w:val="00C1366F"/>
    <w:rsid w:val="00C1371C"/>
    <w:rsid w:val="00C13824"/>
    <w:rsid w:val="00C138CF"/>
    <w:rsid w:val="00C138D9"/>
    <w:rsid w:val="00C13968"/>
    <w:rsid w:val="00C13B9D"/>
    <w:rsid w:val="00C13C2F"/>
    <w:rsid w:val="00C1428C"/>
    <w:rsid w:val="00C1495B"/>
    <w:rsid w:val="00C14B69"/>
    <w:rsid w:val="00C14B9C"/>
    <w:rsid w:val="00C15182"/>
    <w:rsid w:val="00C152DB"/>
    <w:rsid w:val="00C155BB"/>
    <w:rsid w:val="00C15735"/>
    <w:rsid w:val="00C15845"/>
    <w:rsid w:val="00C15AFE"/>
    <w:rsid w:val="00C15C76"/>
    <w:rsid w:val="00C15E39"/>
    <w:rsid w:val="00C15E81"/>
    <w:rsid w:val="00C15EDC"/>
    <w:rsid w:val="00C15F7E"/>
    <w:rsid w:val="00C16315"/>
    <w:rsid w:val="00C16318"/>
    <w:rsid w:val="00C1634F"/>
    <w:rsid w:val="00C164A4"/>
    <w:rsid w:val="00C1656A"/>
    <w:rsid w:val="00C168E6"/>
    <w:rsid w:val="00C1692B"/>
    <w:rsid w:val="00C16973"/>
    <w:rsid w:val="00C16A17"/>
    <w:rsid w:val="00C16ACC"/>
    <w:rsid w:val="00C16CB3"/>
    <w:rsid w:val="00C16CEC"/>
    <w:rsid w:val="00C16CF8"/>
    <w:rsid w:val="00C16CFD"/>
    <w:rsid w:val="00C16F9D"/>
    <w:rsid w:val="00C1702D"/>
    <w:rsid w:val="00C17105"/>
    <w:rsid w:val="00C171C0"/>
    <w:rsid w:val="00C17201"/>
    <w:rsid w:val="00C17218"/>
    <w:rsid w:val="00C17707"/>
    <w:rsid w:val="00C17A3B"/>
    <w:rsid w:val="00C17B04"/>
    <w:rsid w:val="00C200F1"/>
    <w:rsid w:val="00C2031F"/>
    <w:rsid w:val="00C203EB"/>
    <w:rsid w:val="00C2045A"/>
    <w:rsid w:val="00C204A0"/>
    <w:rsid w:val="00C20768"/>
    <w:rsid w:val="00C207FB"/>
    <w:rsid w:val="00C208C3"/>
    <w:rsid w:val="00C20A63"/>
    <w:rsid w:val="00C20AEC"/>
    <w:rsid w:val="00C20CDF"/>
    <w:rsid w:val="00C20DD8"/>
    <w:rsid w:val="00C20E5F"/>
    <w:rsid w:val="00C20E67"/>
    <w:rsid w:val="00C21096"/>
    <w:rsid w:val="00C21116"/>
    <w:rsid w:val="00C213DE"/>
    <w:rsid w:val="00C214F0"/>
    <w:rsid w:val="00C21559"/>
    <w:rsid w:val="00C2162A"/>
    <w:rsid w:val="00C2164D"/>
    <w:rsid w:val="00C217F2"/>
    <w:rsid w:val="00C219F2"/>
    <w:rsid w:val="00C21C34"/>
    <w:rsid w:val="00C21CD5"/>
    <w:rsid w:val="00C21EB9"/>
    <w:rsid w:val="00C220F2"/>
    <w:rsid w:val="00C22183"/>
    <w:rsid w:val="00C221BB"/>
    <w:rsid w:val="00C221BF"/>
    <w:rsid w:val="00C2228B"/>
    <w:rsid w:val="00C222E3"/>
    <w:rsid w:val="00C222F0"/>
    <w:rsid w:val="00C2236C"/>
    <w:rsid w:val="00C22609"/>
    <w:rsid w:val="00C226C7"/>
    <w:rsid w:val="00C22734"/>
    <w:rsid w:val="00C2280D"/>
    <w:rsid w:val="00C228CD"/>
    <w:rsid w:val="00C22A13"/>
    <w:rsid w:val="00C22A88"/>
    <w:rsid w:val="00C22DB9"/>
    <w:rsid w:val="00C22DC7"/>
    <w:rsid w:val="00C230FD"/>
    <w:rsid w:val="00C2311B"/>
    <w:rsid w:val="00C231A8"/>
    <w:rsid w:val="00C2331F"/>
    <w:rsid w:val="00C23380"/>
    <w:rsid w:val="00C233AC"/>
    <w:rsid w:val="00C23786"/>
    <w:rsid w:val="00C23AB2"/>
    <w:rsid w:val="00C23DD5"/>
    <w:rsid w:val="00C23FEA"/>
    <w:rsid w:val="00C24147"/>
    <w:rsid w:val="00C2467C"/>
    <w:rsid w:val="00C246E4"/>
    <w:rsid w:val="00C2471C"/>
    <w:rsid w:val="00C24A87"/>
    <w:rsid w:val="00C24D46"/>
    <w:rsid w:val="00C24D74"/>
    <w:rsid w:val="00C24DB6"/>
    <w:rsid w:val="00C250D1"/>
    <w:rsid w:val="00C251E4"/>
    <w:rsid w:val="00C2537D"/>
    <w:rsid w:val="00C25411"/>
    <w:rsid w:val="00C254F0"/>
    <w:rsid w:val="00C255E9"/>
    <w:rsid w:val="00C25884"/>
    <w:rsid w:val="00C25D03"/>
    <w:rsid w:val="00C25EA8"/>
    <w:rsid w:val="00C25EAB"/>
    <w:rsid w:val="00C262C1"/>
    <w:rsid w:val="00C262DC"/>
    <w:rsid w:val="00C267CF"/>
    <w:rsid w:val="00C268CC"/>
    <w:rsid w:val="00C268CF"/>
    <w:rsid w:val="00C26BA5"/>
    <w:rsid w:val="00C26C12"/>
    <w:rsid w:val="00C26C23"/>
    <w:rsid w:val="00C26C89"/>
    <w:rsid w:val="00C26E17"/>
    <w:rsid w:val="00C26E60"/>
    <w:rsid w:val="00C26EB3"/>
    <w:rsid w:val="00C26F08"/>
    <w:rsid w:val="00C27224"/>
    <w:rsid w:val="00C27280"/>
    <w:rsid w:val="00C272B9"/>
    <w:rsid w:val="00C27561"/>
    <w:rsid w:val="00C2762D"/>
    <w:rsid w:val="00C27701"/>
    <w:rsid w:val="00C2786F"/>
    <w:rsid w:val="00C2787B"/>
    <w:rsid w:val="00C27A33"/>
    <w:rsid w:val="00C27EDC"/>
    <w:rsid w:val="00C27EEA"/>
    <w:rsid w:val="00C27F37"/>
    <w:rsid w:val="00C30227"/>
    <w:rsid w:val="00C3037F"/>
    <w:rsid w:val="00C30550"/>
    <w:rsid w:val="00C309E1"/>
    <w:rsid w:val="00C30B80"/>
    <w:rsid w:val="00C30D55"/>
    <w:rsid w:val="00C30DBF"/>
    <w:rsid w:val="00C30E76"/>
    <w:rsid w:val="00C30FF8"/>
    <w:rsid w:val="00C3101F"/>
    <w:rsid w:val="00C3148D"/>
    <w:rsid w:val="00C31560"/>
    <w:rsid w:val="00C31628"/>
    <w:rsid w:val="00C317F3"/>
    <w:rsid w:val="00C31E78"/>
    <w:rsid w:val="00C31F0C"/>
    <w:rsid w:val="00C31F77"/>
    <w:rsid w:val="00C32157"/>
    <w:rsid w:val="00C32187"/>
    <w:rsid w:val="00C32199"/>
    <w:rsid w:val="00C321B5"/>
    <w:rsid w:val="00C321E7"/>
    <w:rsid w:val="00C32223"/>
    <w:rsid w:val="00C323A2"/>
    <w:rsid w:val="00C3241E"/>
    <w:rsid w:val="00C324AC"/>
    <w:rsid w:val="00C32528"/>
    <w:rsid w:val="00C326A9"/>
    <w:rsid w:val="00C3284F"/>
    <w:rsid w:val="00C328DA"/>
    <w:rsid w:val="00C3293A"/>
    <w:rsid w:val="00C329AC"/>
    <w:rsid w:val="00C329C2"/>
    <w:rsid w:val="00C329CE"/>
    <w:rsid w:val="00C32B96"/>
    <w:rsid w:val="00C32BD4"/>
    <w:rsid w:val="00C32E4F"/>
    <w:rsid w:val="00C334A6"/>
    <w:rsid w:val="00C3350E"/>
    <w:rsid w:val="00C33661"/>
    <w:rsid w:val="00C336FD"/>
    <w:rsid w:val="00C33778"/>
    <w:rsid w:val="00C337DD"/>
    <w:rsid w:val="00C338B7"/>
    <w:rsid w:val="00C339CC"/>
    <w:rsid w:val="00C33B6F"/>
    <w:rsid w:val="00C33DB6"/>
    <w:rsid w:val="00C33E1E"/>
    <w:rsid w:val="00C34127"/>
    <w:rsid w:val="00C341E1"/>
    <w:rsid w:val="00C3429A"/>
    <w:rsid w:val="00C3434F"/>
    <w:rsid w:val="00C343DA"/>
    <w:rsid w:val="00C343DD"/>
    <w:rsid w:val="00C343FF"/>
    <w:rsid w:val="00C344D4"/>
    <w:rsid w:val="00C3493B"/>
    <w:rsid w:val="00C349C2"/>
    <w:rsid w:val="00C34B1E"/>
    <w:rsid w:val="00C34B2E"/>
    <w:rsid w:val="00C34CDD"/>
    <w:rsid w:val="00C34CE1"/>
    <w:rsid w:val="00C3500B"/>
    <w:rsid w:val="00C35070"/>
    <w:rsid w:val="00C3517A"/>
    <w:rsid w:val="00C351B1"/>
    <w:rsid w:val="00C35234"/>
    <w:rsid w:val="00C3525D"/>
    <w:rsid w:val="00C35722"/>
    <w:rsid w:val="00C357C6"/>
    <w:rsid w:val="00C3588D"/>
    <w:rsid w:val="00C35958"/>
    <w:rsid w:val="00C359AF"/>
    <w:rsid w:val="00C35B89"/>
    <w:rsid w:val="00C35D5E"/>
    <w:rsid w:val="00C35E0D"/>
    <w:rsid w:val="00C35F58"/>
    <w:rsid w:val="00C36017"/>
    <w:rsid w:val="00C3602C"/>
    <w:rsid w:val="00C361D5"/>
    <w:rsid w:val="00C361F4"/>
    <w:rsid w:val="00C364A4"/>
    <w:rsid w:val="00C367C3"/>
    <w:rsid w:val="00C3691A"/>
    <w:rsid w:val="00C36994"/>
    <w:rsid w:val="00C369B1"/>
    <w:rsid w:val="00C36BB4"/>
    <w:rsid w:val="00C36F7D"/>
    <w:rsid w:val="00C370CC"/>
    <w:rsid w:val="00C3710B"/>
    <w:rsid w:val="00C371A3"/>
    <w:rsid w:val="00C376DB"/>
    <w:rsid w:val="00C37B52"/>
    <w:rsid w:val="00C37BF3"/>
    <w:rsid w:val="00C37F5A"/>
    <w:rsid w:val="00C40474"/>
    <w:rsid w:val="00C405F0"/>
    <w:rsid w:val="00C406D0"/>
    <w:rsid w:val="00C40834"/>
    <w:rsid w:val="00C40968"/>
    <w:rsid w:val="00C40993"/>
    <w:rsid w:val="00C40A83"/>
    <w:rsid w:val="00C40D88"/>
    <w:rsid w:val="00C40E24"/>
    <w:rsid w:val="00C40F30"/>
    <w:rsid w:val="00C41130"/>
    <w:rsid w:val="00C4146A"/>
    <w:rsid w:val="00C4163A"/>
    <w:rsid w:val="00C41873"/>
    <w:rsid w:val="00C41B6F"/>
    <w:rsid w:val="00C41B7C"/>
    <w:rsid w:val="00C41C10"/>
    <w:rsid w:val="00C41C1E"/>
    <w:rsid w:val="00C41C87"/>
    <w:rsid w:val="00C41E98"/>
    <w:rsid w:val="00C42025"/>
    <w:rsid w:val="00C42122"/>
    <w:rsid w:val="00C421AB"/>
    <w:rsid w:val="00C42422"/>
    <w:rsid w:val="00C42443"/>
    <w:rsid w:val="00C425B5"/>
    <w:rsid w:val="00C42666"/>
    <w:rsid w:val="00C4282A"/>
    <w:rsid w:val="00C42AE8"/>
    <w:rsid w:val="00C42B9A"/>
    <w:rsid w:val="00C42EE5"/>
    <w:rsid w:val="00C431ED"/>
    <w:rsid w:val="00C433B9"/>
    <w:rsid w:val="00C43458"/>
    <w:rsid w:val="00C4346E"/>
    <w:rsid w:val="00C434B9"/>
    <w:rsid w:val="00C434C9"/>
    <w:rsid w:val="00C43570"/>
    <w:rsid w:val="00C435F8"/>
    <w:rsid w:val="00C436A5"/>
    <w:rsid w:val="00C438E4"/>
    <w:rsid w:val="00C43CE6"/>
    <w:rsid w:val="00C43D01"/>
    <w:rsid w:val="00C4416B"/>
    <w:rsid w:val="00C4425A"/>
    <w:rsid w:val="00C4437F"/>
    <w:rsid w:val="00C447F0"/>
    <w:rsid w:val="00C4494D"/>
    <w:rsid w:val="00C449C5"/>
    <w:rsid w:val="00C44BDD"/>
    <w:rsid w:val="00C44C37"/>
    <w:rsid w:val="00C44E26"/>
    <w:rsid w:val="00C45673"/>
    <w:rsid w:val="00C457E9"/>
    <w:rsid w:val="00C45EFA"/>
    <w:rsid w:val="00C45F5F"/>
    <w:rsid w:val="00C45FAB"/>
    <w:rsid w:val="00C4624B"/>
    <w:rsid w:val="00C46458"/>
    <w:rsid w:val="00C464CB"/>
    <w:rsid w:val="00C46584"/>
    <w:rsid w:val="00C46663"/>
    <w:rsid w:val="00C4672C"/>
    <w:rsid w:val="00C46746"/>
    <w:rsid w:val="00C4675B"/>
    <w:rsid w:val="00C46796"/>
    <w:rsid w:val="00C468F8"/>
    <w:rsid w:val="00C46AE5"/>
    <w:rsid w:val="00C46B39"/>
    <w:rsid w:val="00C46F79"/>
    <w:rsid w:val="00C46FD2"/>
    <w:rsid w:val="00C47005"/>
    <w:rsid w:val="00C47255"/>
    <w:rsid w:val="00C4729E"/>
    <w:rsid w:val="00C4764F"/>
    <w:rsid w:val="00C47654"/>
    <w:rsid w:val="00C4766C"/>
    <w:rsid w:val="00C47875"/>
    <w:rsid w:val="00C479B6"/>
    <w:rsid w:val="00C479C4"/>
    <w:rsid w:val="00C47CBE"/>
    <w:rsid w:val="00C47E03"/>
    <w:rsid w:val="00C47E70"/>
    <w:rsid w:val="00C47F4B"/>
    <w:rsid w:val="00C47FFA"/>
    <w:rsid w:val="00C50000"/>
    <w:rsid w:val="00C502F4"/>
    <w:rsid w:val="00C5032B"/>
    <w:rsid w:val="00C5048A"/>
    <w:rsid w:val="00C50606"/>
    <w:rsid w:val="00C50693"/>
    <w:rsid w:val="00C506CC"/>
    <w:rsid w:val="00C50736"/>
    <w:rsid w:val="00C50A63"/>
    <w:rsid w:val="00C50A64"/>
    <w:rsid w:val="00C50BDD"/>
    <w:rsid w:val="00C50C0A"/>
    <w:rsid w:val="00C50FC1"/>
    <w:rsid w:val="00C5103F"/>
    <w:rsid w:val="00C5108A"/>
    <w:rsid w:val="00C510AA"/>
    <w:rsid w:val="00C511E3"/>
    <w:rsid w:val="00C512E8"/>
    <w:rsid w:val="00C514A8"/>
    <w:rsid w:val="00C516A2"/>
    <w:rsid w:val="00C5175A"/>
    <w:rsid w:val="00C51830"/>
    <w:rsid w:val="00C51845"/>
    <w:rsid w:val="00C5194B"/>
    <w:rsid w:val="00C51B1C"/>
    <w:rsid w:val="00C51BDD"/>
    <w:rsid w:val="00C51C36"/>
    <w:rsid w:val="00C51E83"/>
    <w:rsid w:val="00C51EB3"/>
    <w:rsid w:val="00C51FE5"/>
    <w:rsid w:val="00C5202E"/>
    <w:rsid w:val="00C520D1"/>
    <w:rsid w:val="00C52108"/>
    <w:rsid w:val="00C521A4"/>
    <w:rsid w:val="00C521B1"/>
    <w:rsid w:val="00C5220D"/>
    <w:rsid w:val="00C52317"/>
    <w:rsid w:val="00C525D6"/>
    <w:rsid w:val="00C527B5"/>
    <w:rsid w:val="00C52972"/>
    <w:rsid w:val="00C52989"/>
    <w:rsid w:val="00C52BE0"/>
    <w:rsid w:val="00C52CEF"/>
    <w:rsid w:val="00C52D2E"/>
    <w:rsid w:val="00C53167"/>
    <w:rsid w:val="00C5323D"/>
    <w:rsid w:val="00C5323E"/>
    <w:rsid w:val="00C5334C"/>
    <w:rsid w:val="00C533D2"/>
    <w:rsid w:val="00C53647"/>
    <w:rsid w:val="00C53655"/>
    <w:rsid w:val="00C538A6"/>
    <w:rsid w:val="00C53B14"/>
    <w:rsid w:val="00C54093"/>
    <w:rsid w:val="00C543C4"/>
    <w:rsid w:val="00C544B4"/>
    <w:rsid w:val="00C545B9"/>
    <w:rsid w:val="00C54738"/>
    <w:rsid w:val="00C547C4"/>
    <w:rsid w:val="00C54A2D"/>
    <w:rsid w:val="00C54CC7"/>
    <w:rsid w:val="00C54F0D"/>
    <w:rsid w:val="00C54F41"/>
    <w:rsid w:val="00C5544F"/>
    <w:rsid w:val="00C55647"/>
    <w:rsid w:val="00C55B6A"/>
    <w:rsid w:val="00C55BEC"/>
    <w:rsid w:val="00C55E91"/>
    <w:rsid w:val="00C56040"/>
    <w:rsid w:val="00C56093"/>
    <w:rsid w:val="00C56317"/>
    <w:rsid w:val="00C5632F"/>
    <w:rsid w:val="00C5653F"/>
    <w:rsid w:val="00C567AB"/>
    <w:rsid w:val="00C567D2"/>
    <w:rsid w:val="00C5684A"/>
    <w:rsid w:val="00C568D6"/>
    <w:rsid w:val="00C56B59"/>
    <w:rsid w:val="00C56C7F"/>
    <w:rsid w:val="00C56E03"/>
    <w:rsid w:val="00C56F2A"/>
    <w:rsid w:val="00C56F88"/>
    <w:rsid w:val="00C5705A"/>
    <w:rsid w:val="00C57286"/>
    <w:rsid w:val="00C572C8"/>
    <w:rsid w:val="00C5734B"/>
    <w:rsid w:val="00C5745F"/>
    <w:rsid w:val="00C5753C"/>
    <w:rsid w:val="00C577B4"/>
    <w:rsid w:val="00C57B14"/>
    <w:rsid w:val="00C57DE8"/>
    <w:rsid w:val="00C57E4D"/>
    <w:rsid w:val="00C57E60"/>
    <w:rsid w:val="00C57F3F"/>
    <w:rsid w:val="00C57F56"/>
    <w:rsid w:val="00C6004E"/>
    <w:rsid w:val="00C6013A"/>
    <w:rsid w:val="00C60297"/>
    <w:rsid w:val="00C6030B"/>
    <w:rsid w:val="00C60391"/>
    <w:rsid w:val="00C60663"/>
    <w:rsid w:val="00C6081A"/>
    <w:rsid w:val="00C6084A"/>
    <w:rsid w:val="00C60A69"/>
    <w:rsid w:val="00C60BDD"/>
    <w:rsid w:val="00C60D47"/>
    <w:rsid w:val="00C60D4B"/>
    <w:rsid w:val="00C60E67"/>
    <w:rsid w:val="00C60EB7"/>
    <w:rsid w:val="00C6114F"/>
    <w:rsid w:val="00C614A0"/>
    <w:rsid w:val="00C61646"/>
    <w:rsid w:val="00C619AB"/>
    <w:rsid w:val="00C61B6B"/>
    <w:rsid w:val="00C61C31"/>
    <w:rsid w:val="00C61EC6"/>
    <w:rsid w:val="00C61FDD"/>
    <w:rsid w:val="00C6203D"/>
    <w:rsid w:val="00C62076"/>
    <w:rsid w:val="00C62094"/>
    <w:rsid w:val="00C621E9"/>
    <w:rsid w:val="00C62221"/>
    <w:rsid w:val="00C6223A"/>
    <w:rsid w:val="00C622A3"/>
    <w:rsid w:val="00C622AA"/>
    <w:rsid w:val="00C622E0"/>
    <w:rsid w:val="00C623EF"/>
    <w:rsid w:val="00C62446"/>
    <w:rsid w:val="00C6265B"/>
    <w:rsid w:val="00C626E2"/>
    <w:rsid w:val="00C627E1"/>
    <w:rsid w:val="00C628C8"/>
    <w:rsid w:val="00C628F8"/>
    <w:rsid w:val="00C62920"/>
    <w:rsid w:val="00C629ED"/>
    <w:rsid w:val="00C62A01"/>
    <w:rsid w:val="00C62A14"/>
    <w:rsid w:val="00C62BD5"/>
    <w:rsid w:val="00C62BEB"/>
    <w:rsid w:val="00C62C2F"/>
    <w:rsid w:val="00C62C40"/>
    <w:rsid w:val="00C62CC2"/>
    <w:rsid w:val="00C62E63"/>
    <w:rsid w:val="00C631DC"/>
    <w:rsid w:val="00C63232"/>
    <w:rsid w:val="00C634F4"/>
    <w:rsid w:val="00C636F9"/>
    <w:rsid w:val="00C639AA"/>
    <w:rsid w:val="00C639D5"/>
    <w:rsid w:val="00C63D94"/>
    <w:rsid w:val="00C63D9C"/>
    <w:rsid w:val="00C63E12"/>
    <w:rsid w:val="00C63F0E"/>
    <w:rsid w:val="00C63FB0"/>
    <w:rsid w:val="00C6444E"/>
    <w:rsid w:val="00C64454"/>
    <w:rsid w:val="00C64703"/>
    <w:rsid w:val="00C6484A"/>
    <w:rsid w:val="00C648CC"/>
    <w:rsid w:val="00C6499E"/>
    <w:rsid w:val="00C64A9A"/>
    <w:rsid w:val="00C64ADA"/>
    <w:rsid w:val="00C64C73"/>
    <w:rsid w:val="00C64E8F"/>
    <w:rsid w:val="00C651DA"/>
    <w:rsid w:val="00C6520C"/>
    <w:rsid w:val="00C652A0"/>
    <w:rsid w:val="00C652A6"/>
    <w:rsid w:val="00C65478"/>
    <w:rsid w:val="00C65707"/>
    <w:rsid w:val="00C65744"/>
    <w:rsid w:val="00C65788"/>
    <w:rsid w:val="00C6593C"/>
    <w:rsid w:val="00C65A06"/>
    <w:rsid w:val="00C65B1C"/>
    <w:rsid w:val="00C65BDF"/>
    <w:rsid w:val="00C6609F"/>
    <w:rsid w:val="00C66183"/>
    <w:rsid w:val="00C66203"/>
    <w:rsid w:val="00C66543"/>
    <w:rsid w:val="00C66605"/>
    <w:rsid w:val="00C6673F"/>
    <w:rsid w:val="00C66751"/>
    <w:rsid w:val="00C66823"/>
    <w:rsid w:val="00C6689C"/>
    <w:rsid w:val="00C66C3C"/>
    <w:rsid w:val="00C66C47"/>
    <w:rsid w:val="00C6726B"/>
    <w:rsid w:val="00C67275"/>
    <w:rsid w:val="00C67308"/>
    <w:rsid w:val="00C6733C"/>
    <w:rsid w:val="00C673F8"/>
    <w:rsid w:val="00C674C3"/>
    <w:rsid w:val="00C6751D"/>
    <w:rsid w:val="00C678BA"/>
    <w:rsid w:val="00C67A78"/>
    <w:rsid w:val="00C67ABD"/>
    <w:rsid w:val="00C67DDF"/>
    <w:rsid w:val="00C700A9"/>
    <w:rsid w:val="00C702DC"/>
    <w:rsid w:val="00C70390"/>
    <w:rsid w:val="00C7047D"/>
    <w:rsid w:val="00C7056D"/>
    <w:rsid w:val="00C70585"/>
    <w:rsid w:val="00C70683"/>
    <w:rsid w:val="00C70855"/>
    <w:rsid w:val="00C7097E"/>
    <w:rsid w:val="00C70B8D"/>
    <w:rsid w:val="00C70D63"/>
    <w:rsid w:val="00C70DD0"/>
    <w:rsid w:val="00C70E94"/>
    <w:rsid w:val="00C70EA3"/>
    <w:rsid w:val="00C71001"/>
    <w:rsid w:val="00C71292"/>
    <w:rsid w:val="00C712DA"/>
    <w:rsid w:val="00C71373"/>
    <w:rsid w:val="00C71663"/>
    <w:rsid w:val="00C718C6"/>
    <w:rsid w:val="00C71A5D"/>
    <w:rsid w:val="00C71A9E"/>
    <w:rsid w:val="00C71BF0"/>
    <w:rsid w:val="00C71BF8"/>
    <w:rsid w:val="00C71C47"/>
    <w:rsid w:val="00C71C7C"/>
    <w:rsid w:val="00C71D5B"/>
    <w:rsid w:val="00C721CC"/>
    <w:rsid w:val="00C721F0"/>
    <w:rsid w:val="00C724C9"/>
    <w:rsid w:val="00C7261D"/>
    <w:rsid w:val="00C72748"/>
    <w:rsid w:val="00C727CB"/>
    <w:rsid w:val="00C727EE"/>
    <w:rsid w:val="00C72A97"/>
    <w:rsid w:val="00C72AB1"/>
    <w:rsid w:val="00C72BF2"/>
    <w:rsid w:val="00C72C17"/>
    <w:rsid w:val="00C72D34"/>
    <w:rsid w:val="00C72D8B"/>
    <w:rsid w:val="00C72E22"/>
    <w:rsid w:val="00C72F4D"/>
    <w:rsid w:val="00C72FAB"/>
    <w:rsid w:val="00C73328"/>
    <w:rsid w:val="00C73340"/>
    <w:rsid w:val="00C736E7"/>
    <w:rsid w:val="00C7370E"/>
    <w:rsid w:val="00C73820"/>
    <w:rsid w:val="00C739E3"/>
    <w:rsid w:val="00C73A20"/>
    <w:rsid w:val="00C73A5F"/>
    <w:rsid w:val="00C73C39"/>
    <w:rsid w:val="00C73E60"/>
    <w:rsid w:val="00C73F41"/>
    <w:rsid w:val="00C74105"/>
    <w:rsid w:val="00C741CB"/>
    <w:rsid w:val="00C74306"/>
    <w:rsid w:val="00C74426"/>
    <w:rsid w:val="00C74508"/>
    <w:rsid w:val="00C74509"/>
    <w:rsid w:val="00C745E8"/>
    <w:rsid w:val="00C74613"/>
    <w:rsid w:val="00C74757"/>
    <w:rsid w:val="00C7484A"/>
    <w:rsid w:val="00C748CB"/>
    <w:rsid w:val="00C74B3D"/>
    <w:rsid w:val="00C74E03"/>
    <w:rsid w:val="00C74EFE"/>
    <w:rsid w:val="00C7519E"/>
    <w:rsid w:val="00C751FF"/>
    <w:rsid w:val="00C7556B"/>
    <w:rsid w:val="00C75664"/>
    <w:rsid w:val="00C756EB"/>
    <w:rsid w:val="00C75722"/>
    <w:rsid w:val="00C75765"/>
    <w:rsid w:val="00C758AA"/>
    <w:rsid w:val="00C75A1B"/>
    <w:rsid w:val="00C75CB4"/>
    <w:rsid w:val="00C764D8"/>
    <w:rsid w:val="00C76554"/>
    <w:rsid w:val="00C76ABC"/>
    <w:rsid w:val="00C77048"/>
    <w:rsid w:val="00C77167"/>
    <w:rsid w:val="00C772F2"/>
    <w:rsid w:val="00C77323"/>
    <w:rsid w:val="00C77411"/>
    <w:rsid w:val="00C77628"/>
    <w:rsid w:val="00C77641"/>
    <w:rsid w:val="00C77799"/>
    <w:rsid w:val="00C77833"/>
    <w:rsid w:val="00C77B72"/>
    <w:rsid w:val="00C77BF4"/>
    <w:rsid w:val="00C802CA"/>
    <w:rsid w:val="00C80364"/>
    <w:rsid w:val="00C803DF"/>
    <w:rsid w:val="00C803F0"/>
    <w:rsid w:val="00C805DA"/>
    <w:rsid w:val="00C808A1"/>
    <w:rsid w:val="00C80C23"/>
    <w:rsid w:val="00C80D35"/>
    <w:rsid w:val="00C80DC0"/>
    <w:rsid w:val="00C80E8F"/>
    <w:rsid w:val="00C8107E"/>
    <w:rsid w:val="00C810AA"/>
    <w:rsid w:val="00C81169"/>
    <w:rsid w:val="00C811F5"/>
    <w:rsid w:val="00C812D7"/>
    <w:rsid w:val="00C81506"/>
    <w:rsid w:val="00C81765"/>
    <w:rsid w:val="00C81A12"/>
    <w:rsid w:val="00C81A49"/>
    <w:rsid w:val="00C81AC2"/>
    <w:rsid w:val="00C81B5F"/>
    <w:rsid w:val="00C81BF1"/>
    <w:rsid w:val="00C82010"/>
    <w:rsid w:val="00C8207B"/>
    <w:rsid w:val="00C82172"/>
    <w:rsid w:val="00C82261"/>
    <w:rsid w:val="00C822A5"/>
    <w:rsid w:val="00C824E4"/>
    <w:rsid w:val="00C82543"/>
    <w:rsid w:val="00C826A4"/>
    <w:rsid w:val="00C8272B"/>
    <w:rsid w:val="00C8276E"/>
    <w:rsid w:val="00C82851"/>
    <w:rsid w:val="00C8296F"/>
    <w:rsid w:val="00C82A1D"/>
    <w:rsid w:val="00C82FF2"/>
    <w:rsid w:val="00C83372"/>
    <w:rsid w:val="00C8344F"/>
    <w:rsid w:val="00C834F0"/>
    <w:rsid w:val="00C8369D"/>
    <w:rsid w:val="00C83814"/>
    <w:rsid w:val="00C83926"/>
    <w:rsid w:val="00C839C3"/>
    <w:rsid w:val="00C83AF6"/>
    <w:rsid w:val="00C83C0B"/>
    <w:rsid w:val="00C83E70"/>
    <w:rsid w:val="00C83FEF"/>
    <w:rsid w:val="00C8401D"/>
    <w:rsid w:val="00C840FE"/>
    <w:rsid w:val="00C841A9"/>
    <w:rsid w:val="00C8432E"/>
    <w:rsid w:val="00C844AB"/>
    <w:rsid w:val="00C8465B"/>
    <w:rsid w:val="00C846BE"/>
    <w:rsid w:val="00C847D9"/>
    <w:rsid w:val="00C848B0"/>
    <w:rsid w:val="00C849E1"/>
    <w:rsid w:val="00C84A3B"/>
    <w:rsid w:val="00C84AA6"/>
    <w:rsid w:val="00C84BC8"/>
    <w:rsid w:val="00C84C02"/>
    <w:rsid w:val="00C84CBF"/>
    <w:rsid w:val="00C84F68"/>
    <w:rsid w:val="00C852A1"/>
    <w:rsid w:val="00C8547B"/>
    <w:rsid w:val="00C8564A"/>
    <w:rsid w:val="00C859D1"/>
    <w:rsid w:val="00C85CBD"/>
    <w:rsid w:val="00C85CF3"/>
    <w:rsid w:val="00C85D99"/>
    <w:rsid w:val="00C85ED8"/>
    <w:rsid w:val="00C86044"/>
    <w:rsid w:val="00C86318"/>
    <w:rsid w:val="00C8633C"/>
    <w:rsid w:val="00C864A0"/>
    <w:rsid w:val="00C864AE"/>
    <w:rsid w:val="00C867FA"/>
    <w:rsid w:val="00C8697B"/>
    <w:rsid w:val="00C8697D"/>
    <w:rsid w:val="00C86A74"/>
    <w:rsid w:val="00C86ACF"/>
    <w:rsid w:val="00C86B36"/>
    <w:rsid w:val="00C86FFE"/>
    <w:rsid w:val="00C870A7"/>
    <w:rsid w:val="00C87120"/>
    <w:rsid w:val="00C87167"/>
    <w:rsid w:val="00C871D0"/>
    <w:rsid w:val="00C87242"/>
    <w:rsid w:val="00C87439"/>
    <w:rsid w:val="00C874D9"/>
    <w:rsid w:val="00C876DA"/>
    <w:rsid w:val="00C87796"/>
    <w:rsid w:val="00C87813"/>
    <w:rsid w:val="00C878EE"/>
    <w:rsid w:val="00C878F1"/>
    <w:rsid w:val="00C8797B"/>
    <w:rsid w:val="00C87AEE"/>
    <w:rsid w:val="00C87BFA"/>
    <w:rsid w:val="00C87DB7"/>
    <w:rsid w:val="00C87DF2"/>
    <w:rsid w:val="00C87E2A"/>
    <w:rsid w:val="00C87F4B"/>
    <w:rsid w:val="00C87F5E"/>
    <w:rsid w:val="00C87FE6"/>
    <w:rsid w:val="00C9004D"/>
    <w:rsid w:val="00C903A9"/>
    <w:rsid w:val="00C9069A"/>
    <w:rsid w:val="00C9070F"/>
    <w:rsid w:val="00C9080A"/>
    <w:rsid w:val="00C90833"/>
    <w:rsid w:val="00C90A8A"/>
    <w:rsid w:val="00C91041"/>
    <w:rsid w:val="00C91573"/>
    <w:rsid w:val="00C9157D"/>
    <w:rsid w:val="00C9161F"/>
    <w:rsid w:val="00C91764"/>
    <w:rsid w:val="00C918A6"/>
    <w:rsid w:val="00C918AB"/>
    <w:rsid w:val="00C918C0"/>
    <w:rsid w:val="00C91914"/>
    <w:rsid w:val="00C91B9E"/>
    <w:rsid w:val="00C91C51"/>
    <w:rsid w:val="00C91CFF"/>
    <w:rsid w:val="00C91D3D"/>
    <w:rsid w:val="00C91D91"/>
    <w:rsid w:val="00C91DA1"/>
    <w:rsid w:val="00C92099"/>
    <w:rsid w:val="00C920A1"/>
    <w:rsid w:val="00C9220D"/>
    <w:rsid w:val="00C92770"/>
    <w:rsid w:val="00C9290D"/>
    <w:rsid w:val="00C92A67"/>
    <w:rsid w:val="00C92AB2"/>
    <w:rsid w:val="00C92E2D"/>
    <w:rsid w:val="00C93046"/>
    <w:rsid w:val="00C93062"/>
    <w:rsid w:val="00C93133"/>
    <w:rsid w:val="00C931DE"/>
    <w:rsid w:val="00C934DC"/>
    <w:rsid w:val="00C93787"/>
    <w:rsid w:val="00C9386A"/>
    <w:rsid w:val="00C93AE0"/>
    <w:rsid w:val="00C93B75"/>
    <w:rsid w:val="00C93BD6"/>
    <w:rsid w:val="00C93C6C"/>
    <w:rsid w:val="00C93DA9"/>
    <w:rsid w:val="00C93E85"/>
    <w:rsid w:val="00C93F74"/>
    <w:rsid w:val="00C93F76"/>
    <w:rsid w:val="00C93F9C"/>
    <w:rsid w:val="00C941EA"/>
    <w:rsid w:val="00C94220"/>
    <w:rsid w:val="00C94487"/>
    <w:rsid w:val="00C947AB"/>
    <w:rsid w:val="00C9480D"/>
    <w:rsid w:val="00C94B29"/>
    <w:rsid w:val="00C94B8E"/>
    <w:rsid w:val="00C94C81"/>
    <w:rsid w:val="00C94C8B"/>
    <w:rsid w:val="00C94E8E"/>
    <w:rsid w:val="00C95436"/>
    <w:rsid w:val="00C9557D"/>
    <w:rsid w:val="00C957C4"/>
    <w:rsid w:val="00C958B0"/>
    <w:rsid w:val="00C95B0D"/>
    <w:rsid w:val="00C95E03"/>
    <w:rsid w:val="00C95FA3"/>
    <w:rsid w:val="00C961F3"/>
    <w:rsid w:val="00C9622B"/>
    <w:rsid w:val="00C962FA"/>
    <w:rsid w:val="00C963B4"/>
    <w:rsid w:val="00C963DE"/>
    <w:rsid w:val="00C96891"/>
    <w:rsid w:val="00C96B82"/>
    <w:rsid w:val="00C96C05"/>
    <w:rsid w:val="00C96C87"/>
    <w:rsid w:val="00C96D27"/>
    <w:rsid w:val="00C96DC6"/>
    <w:rsid w:val="00C9728D"/>
    <w:rsid w:val="00C972A1"/>
    <w:rsid w:val="00C972D0"/>
    <w:rsid w:val="00C97604"/>
    <w:rsid w:val="00C9781D"/>
    <w:rsid w:val="00C97932"/>
    <w:rsid w:val="00C97B45"/>
    <w:rsid w:val="00C97C73"/>
    <w:rsid w:val="00C97CE7"/>
    <w:rsid w:val="00C97E88"/>
    <w:rsid w:val="00CA006D"/>
    <w:rsid w:val="00CA03C2"/>
    <w:rsid w:val="00CA057B"/>
    <w:rsid w:val="00CA0634"/>
    <w:rsid w:val="00CA06DD"/>
    <w:rsid w:val="00CA06E7"/>
    <w:rsid w:val="00CA071F"/>
    <w:rsid w:val="00CA08B9"/>
    <w:rsid w:val="00CA0A4F"/>
    <w:rsid w:val="00CA0BC7"/>
    <w:rsid w:val="00CA0C26"/>
    <w:rsid w:val="00CA0D3D"/>
    <w:rsid w:val="00CA0D60"/>
    <w:rsid w:val="00CA0D61"/>
    <w:rsid w:val="00CA0F2F"/>
    <w:rsid w:val="00CA1671"/>
    <w:rsid w:val="00CA1A41"/>
    <w:rsid w:val="00CA1ADD"/>
    <w:rsid w:val="00CA1CA6"/>
    <w:rsid w:val="00CA1E86"/>
    <w:rsid w:val="00CA1F60"/>
    <w:rsid w:val="00CA20DA"/>
    <w:rsid w:val="00CA220D"/>
    <w:rsid w:val="00CA2415"/>
    <w:rsid w:val="00CA2475"/>
    <w:rsid w:val="00CA2674"/>
    <w:rsid w:val="00CA2703"/>
    <w:rsid w:val="00CA2763"/>
    <w:rsid w:val="00CA2822"/>
    <w:rsid w:val="00CA291F"/>
    <w:rsid w:val="00CA2935"/>
    <w:rsid w:val="00CA2A81"/>
    <w:rsid w:val="00CA2C0C"/>
    <w:rsid w:val="00CA2CFF"/>
    <w:rsid w:val="00CA2DB6"/>
    <w:rsid w:val="00CA3001"/>
    <w:rsid w:val="00CA333B"/>
    <w:rsid w:val="00CA337B"/>
    <w:rsid w:val="00CA33B3"/>
    <w:rsid w:val="00CA35DD"/>
    <w:rsid w:val="00CA36B2"/>
    <w:rsid w:val="00CA3888"/>
    <w:rsid w:val="00CA3905"/>
    <w:rsid w:val="00CA3946"/>
    <w:rsid w:val="00CA3998"/>
    <w:rsid w:val="00CA3A72"/>
    <w:rsid w:val="00CA3ACC"/>
    <w:rsid w:val="00CA3AF8"/>
    <w:rsid w:val="00CA3F57"/>
    <w:rsid w:val="00CA431F"/>
    <w:rsid w:val="00CA4349"/>
    <w:rsid w:val="00CA437D"/>
    <w:rsid w:val="00CA45A0"/>
    <w:rsid w:val="00CA45B2"/>
    <w:rsid w:val="00CA4604"/>
    <w:rsid w:val="00CA4AB5"/>
    <w:rsid w:val="00CA4B57"/>
    <w:rsid w:val="00CA4DAA"/>
    <w:rsid w:val="00CA4EE4"/>
    <w:rsid w:val="00CA554E"/>
    <w:rsid w:val="00CA557C"/>
    <w:rsid w:val="00CA5620"/>
    <w:rsid w:val="00CA5656"/>
    <w:rsid w:val="00CA56B1"/>
    <w:rsid w:val="00CA5712"/>
    <w:rsid w:val="00CA57C4"/>
    <w:rsid w:val="00CA5A3B"/>
    <w:rsid w:val="00CA5A69"/>
    <w:rsid w:val="00CA5AC5"/>
    <w:rsid w:val="00CA5ADA"/>
    <w:rsid w:val="00CA5EBB"/>
    <w:rsid w:val="00CA5F4D"/>
    <w:rsid w:val="00CA6046"/>
    <w:rsid w:val="00CA615C"/>
    <w:rsid w:val="00CA61E4"/>
    <w:rsid w:val="00CA6290"/>
    <w:rsid w:val="00CA63CB"/>
    <w:rsid w:val="00CA671F"/>
    <w:rsid w:val="00CA69AC"/>
    <w:rsid w:val="00CA6A3B"/>
    <w:rsid w:val="00CA6CB5"/>
    <w:rsid w:val="00CA6D1C"/>
    <w:rsid w:val="00CA7117"/>
    <w:rsid w:val="00CA75A9"/>
    <w:rsid w:val="00CA75B3"/>
    <w:rsid w:val="00CA7884"/>
    <w:rsid w:val="00CA78E3"/>
    <w:rsid w:val="00CA79F2"/>
    <w:rsid w:val="00CA7BEF"/>
    <w:rsid w:val="00CA7C0A"/>
    <w:rsid w:val="00CA7C7F"/>
    <w:rsid w:val="00CA7D89"/>
    <w:rsid w:val="00CA7ED7"/>
    <w:rsid w:val="00CB008A"/>
    <w:rsid w:val="00CB012D"/>
    <w:rsid w:val="00CB05A4"/>
    <w:rsid w:val="00CB05C2"/>
    <w:rsid w:val="00CB06A1"/>
    <w:rsid w:val="00CB07A8"/>
    <w:rsid w:val="00CB08BC"/>
    <w:rsid w:val="00CB0935"/>
    <w:rsid w:val="00CB09CA"/>
    <w:rsid w:val="00CB0A63"/>
    <w:rsid w:val="00CB0FDC"/>
    <w:rsid w:val="00CB1251"/>
    <w:rsid w:val="00CB14AB"/>
    <w:rsid w:val="00CB1648"/>
    <w:rsid w:val="00CB1813"/>
    <w:rsid w:val="00CB1C10"/>
    <w:rsid w:val="00CB2072"/>
    <w:rsid w:val="00CB2288"/>
    <w:rsid w:val="00CB228A"/>
    <w:rsid w:val="00CB232A"/>
    <w:rsid w:val="00CB244F"/>
    <w:rsid w:val="00CB258D"/>
    <w:rsid w:val="00CB27C3"/>
    <w:rsid w:val="00CB2BC6"/>
    <w:rsid w:val="00CB2D95"/>
    <w:rsid w:val="00CB2FB8"/>
    <w:rsid w:val="00CB2FF8"/>
    <w:rsid w:val="00CB306D"/>
    <w:rsid w:val="00CB3340"/>
    <w:rsid w:val="00CB334B"/>
    <w:rsid w:val="00CB34F2"/>
    <w:rsid w:val="00CB357D"/>
    <w:rsid w:val="00CB37AB"/>
    <w:rsid w:val="00CB3868"/>
    <w:rsid w:val="00CB4019"/>
    <w:rsid w:val="00CB409E"/>
    <w:rsid w:val="00CB40A5"/>
    <w:rsid w:val="00CB4294"/>
    <w:rsid w:val="00CB431D"/>
    <w:rsid w:val="00CB43E1"/>
    <w:rsid w:val="00CB489E"/>
    <w:rsid w:val="00CB49C4"/>
    <w:rsid w:val="00CB4D5B"/>
    <w:rsid w:val="00CB5206"/>
    <w:rsid w:val="00CB5389"/>
    <w:rsid w:val="00CB5656"/>
    <w:rsid w:val="00CB56DA"/>
    <w:rsid w:val="00CB5789"/>
    <w:rsid w:val="00CB5BA7"/>
    <w:rsid w:val="00CB5C72"/>
    <w:rsid w:val="00CB5EBE"/>
    <w:rsid w:val="00CB5F95"/>
    <w:rsid w:val="00CB6068"/>
    <w:rsid w:val="00CB63BC"/>
    <w:rsid w:val="00CB64D8"/>
    <w:rsid w:val="00CB6524"/>
    <w:rsid w:val="00CB660A"/>
    <w:rsid w:val="00CB688D"/>
    <w:rsid w:val="00CB6937"/>
    <w:rsid w:val="00CB6969"/>
    <w:rsid w:val="00CB6AB2"/>
    <w:rsid w:val="00CB6B19"/>
    <w:rsid w:val="00CB6B4F"/>
    <w:rsid w:val="00CB6BE7"/>
    <w:rsid w:val="00CB6D26"/>
    <w:rsid w:val="00CB6F58"/>
    <w:rsid w:val="00CB70B4"/>
    <w:rsid w:val="00CB71E2"/>
    <w:rsid w:val="00CB72CF"/>
    <w:rsid w:val="00CB736F"/>
    <w:rsid w:val="00CB73CC"/>
    <w:rsid w:val="00CB7672"/>
    <w:rsid w:val="00CB7695"/>
    <w:rsid w:val="00CB7706"/>
    <w:rsid w:val="00CB786C"/>
    <w:rsid w:val="00CB7BD8"/>
    <w:rsid w:val="00CB7C9C"/>
    <w:rsid w:val="00CB7CB0"/>
    <w:rsid w:val="00CC024B"/>
    <w:rsid w:val="00CC025D"/>
    <w:rsid w:val="00CC0357"/>
    <w:rsid w:val="00CC066C"/>
    <w:rsid w:val="00CC0860"/>
    <w:rsid w:val="00CC087C"/>
    <w:rsid w:val="00CC0A9A"/>
    <w:rsid w:val="00CC0B03"/>
    <w:rsid w:val="00CC0B3B"/>
    <w:rsid w:val="00CC0C9C"/>
    <w:rsid w:val="00CC0D3F"/>
    <w:rsid w:val="00CC10E1"/>
    <w:rsid w:val="00CC1316"/>
    <w:rsid w:val="00CC13FC"/>
    <w:rsid w:val="00CC1532"/>
    <w:rsid w:val="00CC1551"/>
    <w:rsid w:val="00CC165E"/>
    <w:rsid w:val="00CC180A"/>
    <w:rsid w:val="00CC19D3"/>
    <w:rsid w:val="00CC1A71"/>
    <w:rsid w:val="00CC1BCC"/>
    <w:rsid w:val="00CC1DD9"/>
    <w:rsid w:val="00CC1F43"/>
    <w:rsid w:val="00CC1FCB"/>
    <w:rsid w:val="00CC209C"/>
    <w:rsid w:val="00CC2240"/>
    <w:rsid w:val="00CC23C1"/>
    <w:rsid w:val="00CC2454"/>
    <w:rsid w:val="00CC2538"/>
    <w:rsid w:val="00CC28F4"/>
    <w:rsid w:val="00CC29A9"/>
    <w:rsid w:val="00CC2AB8"/>
    <w:rsid w:val="00CC2CD2"/>
    <w:rsid w:val="00CC2E35"/>
    <w:rsid w:val="00CC2E3A"/>
    <w:rsid w:val="00CC2E46"/>
    <w:rsid w:val="00CC2E88"/>
    <w:rsid w:val="00CC2E95"/>
    <w:rsid w:val="00CC2F1D"/>
    <w:rsid w:val="00CC310F"/>
    <w:rsid w:val="00CC316E"/>
    <w:rsid w:val="00CC325A"/>
    <w:rsid w:val="00CC3267"/>
    <w:rsid w:val="00CC3354"/>
    <w:rsid w:val="00CC3397"/>
    <w:rsid w:val="00CC34EC"/>
    <w:rsid w:val="00CC3543"/>
    <w:rsid w:val="00CC36A7"/>
    <w:rsid w:val="00CC36BE"/>
    <w:rsid w:val="00CC38AC"/>
    <w:rsid w:val="00CC399C"/>
    <w:rsid w:val="00CC3D71"/>
    <w:rsid w:val="00CC3D85"/>
    <w:rsid w:val="00CC3E95"/>
    <w:rsid w:val="00CC4344"/>
    <w:rsid w:val="00CC44D9"/>
    <w:rsid w:val="00CC46A1"/>
    <w:rsid w:val="00CC479D"/>
    <w:rsid w:val="00CC47B5"/>
    <w:rsid w:val="00CC48C2"/>
    <w:rsid w:val="00CC48F2"/>
    <w:rsid w:val="00CC51EB"/>
    <w:rsid w:val="00CC5318"/>
    <w:rsid w:val="00CC5352"/>
    <w:rsid w:val="00CC5552"/>
    <w:rsid w:val="00CC5671"/>
    <w:rsid w:val="00CC56BF"/>
    <w:rsid w:val="00CC56D3"/>
    <w:rsid w:val="00CC585D"/>
    <w:rsid w:val="00CC5870"/>
    <w:rsid w:val="00CC5A5A"/>
    <w:rsid w:val="00CC5BB6"/>
    <w:rsid w:val="00CC5BD0"/>
    <w:rsid w:val="00CC5C2B"/>
    <w:rsid w:val="00CC5D85"/>
    <w:rsid w:val="00CC5DC5"/>
    <w:rsid w:val="00CC60F2"/>
    <w:rsid w:val="00CC6155"/>
    <w:rsid w:val="00CC61F2"/>
    <w:rsid w:val="00CC64E4"/>
    <w:rsid w:val="00CC65BC"/>
    <w:rsid w:val="00CC6639"/>
    <w:rsid w:val="00CC663B"/>
    <w:rsid w:val="00CC6642"/>
    <w:rsid w:val="00CC6685"/>
    <w:rsid w:val="00CC670C"/>
    <w:rsid w:val="00CC6762"/>
    <w:rsid w:val="00CC6A0E"/>
    <w:rsid w:val="00CC6AE8"/>
    <w:rsid w:val="00CC6E07"/>
    <w:rsid w:val="00CC7050"/>
    <w:rsid w:val="00CC7461"/>
    <w:rsid w:val="00CC7504"/>
    <w:rsid w:val="00CC7672"/>
    <w:rsid w:val="00CC78E9"/>
    <w:rsid w:val="00CC79A7"/>
    <w:rsid w:val="00CC7AD4"/>
    <w:rsid w:val="00CC7EFC"/>
    <w:rsid w:val="00CD0213"/>
    <w:rsid w:val="00CD024C"/>
    <w:rsid w:val="00CD0699"/>
    <w:rsid w:val="00CD0746"/>
    <w:rsid w:val="00CD075F"/>
    <w:rsid w:val="00CD097F"/>
    <w:rsid w:val="00CD0CE5"/>
    <w:rsid w:val="00CD0DF3"/>
    <w:rsid w:val="00CD0F34"/>
    <w:rsid w:val="00CD0F41"/>
    <w:rsid w:val="00CD10D3"/>
    <w:rsid w:val="00CD12E3"/>
    <w:rsid w:val="00CD17F3"/>
    <w:rsid w:val="00CD186B"/>
    <w:rsid w:val="00CD18E7"/>
    <w:rsid w:val="00CD1A19"/>
    <w:rsid w:val="00CD1AAF"/>
    <w:rsid w:val="00CD1B2A"/>
    <w:rsid w:val="00CD1D20"/>
    <w:rsid w:val="00CD1E5B"/>
    <w:rsid w:val="00CD23D7"/>
    <w:rsid w:val="00CD2C70"/>
    <w:rsid w:val="00CD2D3A"/>
    <w:rsid w:val="00CD2DEF"/>
    <w:rsid w:val="00CD2E55"/>
    <w:rsid w:val="00CD2EA8"/>
    <w:rsid w:val="00CD3283"/>
    <w:rsid w:val="00CD328C"/>
    <w:rsid w:val="00CD32C4"/>
    <w:rsid w:val="00CD34C0"/>
    <w:rsid w:val="00CD34F5"/>
    <w:rsid w:val="00CD35C2"/>
    <w:rsid w:val="00CD37FB"/>
    <w:rsid w:val="00CD3851"/>
    <w:rsid w:val="00CD3934"/>
    <w:rsid w:val="00CD3A32"/>
    <w:rsid w:val="00CD3B11"/>
    <w:rsid w:val="00CD3C52"/>
    <w:rsid w:val="00CD3D9C"/>
    <w:rsid w:val="00CD3EBB"/>
    <w:rsid w:val="00CD4079"/>
    <w:rsid w:val="00CD40B4"/>
    <w:rsid w:val="00CD4176"/>
    <w:rsid w:val="00CD41B7"/>
    <w:rsid w:val="00CD4200"/>
    <w:rsid w:val="00CD420A"/>
    <w:rsid w:val="00CD42C9"/>
    <w:rsid w:val="00CD43C5"/>
    <w:rsid w:val="00CD45E8"/>
    <w:rsid w:val="00CD4653"/>
    <w:rsid w:val="00CD4C92"/>
    <w:rsid w:val="00CD531A"/>
    <w:rsid w:val="00CD56B5"/>
    <w:rsid w:val="00CD5859"/>
    <w:rsid w:val="00CD588A"/>
    <w:rsid w:val="00CD5A59"/>
    <w:rsid w:val="00CD5A6C"/>
    <w:rsid w:val="00CD5AED"/>
    <w:rsid w:val="00CD5B51"/>
    <w:rsid w:val="00CD5BEE"/>
    <w:rsid w:val="00CD5D65"/>
    <w:rsid w:val="00CD6274"/>
    <w:rsid w:val="00CD6327"/>
    <w:rsid w:val="00CD6572"/>
    <w:rsid w:val="00CD6667"/>
    <w:rsid w:val="00CD6B75"/>
    <w:rsid w:val="00CD6BBF"/>
    <w:rsid w:val="00CD6C31"/>
    <w:rsid w:val="00CD6F99"/>
    <w:rsid w:val="00CD741D"/>
    <w:rsid w:val="00CD7445"/>
    <w:rsid w:val="00CD750D"/>
    <w:rsid w:val="00CD75EE"/>
    <w:rsid w:val="00CD78EA"/>
    <w:rsid w:val="00CD7A48"/>
    <w:rsid w:val="00CD7C71"/>
    <w:rsid w:val="00CD7DA2"/>
    <w:rsid w:val="00CD7EB4"/>
    <w:rsid w:val="00CD7EB7"/>
    <w:rsid w:val="00CD7F5E"/>
    <w:rsid w:val="00CE00A3"/>
    <w:rsid w:val="00CE01D2"/>
    <w:rsid w:val="00CE01F2"/>
    <w:rsid w:val="00CE0351"/>
    <w:rsid w:val="00CE03B7"/>
    <w:rsid w:val="00CE041D"/>
    <w:rsid w:val="00CE0422"/>
    <w:rsid w:val="00CE0608"/>
    <w:rsid w:val="00CE0D68"/>
    <w:rsid w:val="00CE0F6C"/>
    <w:rsid w:val="00CE0FE6"/>
    <w:rsid w:val="00CE1004"/>
    <w:rsid w:val="00CE10A6"/>
    <w:rsid w:val="00CE1189"/>
    <w:rsid w:val="00CE119E"/>
    <w:rsid w:val="00CE148F"/>
    <w:rsid w:val="00CE1604"/>
    <w:rsid w:val="00CE1623"/>
    <w:rsid w:val="00CE16AB"/>
    <w:rsid w:val="00CE16AE"/>
    <w:rsid w:val="00CE1819"/>
    <w:rsid w:val="00CE18DB"/>
    <w:rsid w:val="00CE18E3"/>
    <w:rsid w:val="00CE1D46"/>
    <w:rsid w:val="00CE1E79"/>
    <w:rsid w:val="00CE1EBC"/>
    <w:rsid w:val="00CE2201"/>
    <w:rsid w:val="00CE24D2"/>
    <w:rsid w:val="00CE2670"/>
    <w:rsid w:val="00CE2869"/>
    <w:rsid w:val="00CE2899"/>
    <w:rsid w:val="00CE29E6"/>
    <w:rsid w:val="00CE2AFF"/>
    <w:rsid w:val="00CE2B78"/>
    <w:rsid w:val="00CE2E52"/>
    <w:rsid w:val="00CE2F7E"/>
    <w:rsid w:val="00CE31B4"/>
    <w:rsid w:val="00CE3350"/>
    <w:rsid w:val="00CE34A2"/>
    <w:rsid w:val="00CE34FC"/>
    <w:rsid w:val="00CE353B"/>
    <w:rsid w:val="00CE355C"/>
    <w:rsid w:val="00CE3B08"/>
    <w:rsid w:val="00CE3C44"/>
    <w:rsid w:val="00CE3F0F"/>
    <w:rsid w:val="00CE3F47"/>
    <w:rsid w:val="00CE41BB"/>
    <w:rsid w:val="00CE45F9"/>
    <w:rsid w:val="00CE461D"/>
    <w:rsid w:val="00CE4690"/>
    <w:rsid w:val="00CE46AF"/>
    <w:rsid w:val="00CE47CD"/>
    <w:rsid w:val="00CE4842"/>
    <w:rsid w:val="00CE4885"/>
    <w:rsid w:val="00CE494A"/>
    <w:rsid w:val="00CE49A7"/>
    <w:rsid w:val="00CE4A2D"/>
    <w:rsid w:val="00CE4B7E"/>
    <w:rsid w:val="00CE4CB3"/>
    <w:rsid w:val="00CE4DC5"/>
    <w:rsid w:val="00CE4ED9"/>
    <w:rsid w:val="00CE5669"/>
    <w:rsid w:val="00CE56AE"/>
    <w:rsid w:val="00CE57E9"/>
    <w:rsid w:val="00CE57FA"/>
    <w:rsid w:val="00CE5844"/>
    <w:rsid w:val="00CE5848"/>
    <w:rsid w:val="00CE5922"/>
    <w:rsid w:val="00CE5E2A"/>
    <w:rsid w:val="00CE5E8A"/>
    <w:rsid w:val="00CE5F27"/>
    <w:rsid w:val="00CE6005"/>
    <w:rsid w:val="00CE6112"/>
    <w:rsid w:val="00CE63D3"/>
    <w:rsid w:val="00CE6487"/>
    <w:rsid w:val="00CE64CE"/>
    <w:rsid w:val="00CE65D3"/>
    <w:rsid w:val="00CE6613"/>
    <w:rsid w:val="00CE668F"/>
    <w:rsid w:val="00CE6727"/>
    <w:rsid w:val="00CE6900"/>
    <w:rsid w:val="00CE69AF"/>
    <w:rsid w:val="00CE6BFE"/>
    <w:rsid w:val="00CE6C37"/>
    <w:rsid w:val="00CE6C72"/>
    <w:rsid w:val="00CE6F24"/>
    <w:rsid w:val="00CE702F"/>
    <w:rsid w:val="00CE7187"/>
    <w:rsid w:val="00CE722E"/>
    <w:rsid w:val="00CE7402"/>
    <w:rsid w:val="00CE74A3"/>
    <w:rsid w:val="00CE7583"/>
    <w:rsid w:val="00CE7689"/>
    <w:rsid w:val="00CE7A3F"/>
    <w:rsid w:val="00CE7AA4"/>
    <w:rsid w:val="00CE7C99"/>
    <w:rsid w:val="00CE7E7D"/>
    <w:rsid w:val="00CF0288"/>
    <w:rsid w:val="00CF0435"/>
    <w:rsid w:val="00CF045E"/>
    <w:rsid w:val="00CF059A"/>
    <w:rsid w:val="00CF06D4"/>
    <w:rsid w:val="00CF07E2"/>
    <w:rsid w:val="00CF07F8"/>
    <w:rsid w:val="00CF0935"/>
    <w:rsid w:val="00CF0DCD"/>
    <w:rsid w:val="00CF0E68"/>
    <w:rsid w:val="00CF1168"/>
    <w:rsid w:val="00CF15CD"/>
    <w:rsid w:val="00CF173B"/>
    <w:rsid w:val="00CF1755"/>
    <w:rsid w:val="00CF18FE"/>
    <w:rsid w:val="00CF1A8C"/>
    <w:rsid w:val="00CF1D92"/>
    <w:rsid w:val="00CF1DAA"/>
    <w:rsid w:val="00CF1F35"/>
    <w:rsid w:val="00CF207F"/>
    <w:rsid w:val="00CF2560"/>
    <w:rsid w:val="00CF260D"/>
    <w:rsid w:val="00CF26B1"/>
    <w:rsid w:val="00CF2739"/>
    <w:rsid w:val="00CF28BD"/>
    <w:rsid w:val="00CF29C1"/>
    <w:rsid w:val="00CF2B76"/>
    <w:rsid w:val="00CF2CE5"/>
    <w:rsid w:val="00CF2D53"/>
    <w:rsid w:val="00CF2E00"/>
    <w:rsid w:val="00CF2EFE"/>
    <w:rsid w:val="00CF3033"/>
    <w:rsid w:val="00CF320D"/>
    <w:rsid w:val="00CF364B"/>
    <w:rsid w:val="00CF3995"/>
    <w:rsid w:val="00CF39DF"/>
    <w:rsid w:val="00CF3A56"/>
    <w:rsid w:val="00CF3B72"/>
    <w:rsid w:val="00CF3D51"/>
    <w:rsid w:val="00CF3E2D"/>
    <w:rsid w:val="00CF3E3E"/>
    <w:rsid w:val="00CF3FC8"/>
    <w:rsid w:val="00CF4240"/>
    <w:rsid w:val="00CF4354"/>
    <w:rsid w:val="00CF437B"/>
    <w:rsid w:val="00CF445F"/>
    <w:rsid w:val="00CF44F4"/>
    <w:rsid w:val="00CF451E"/>
    <w:rsid w:val="00CF46CB"/>
    <w:rsid w:val="00CF4938"/>
    <w:rsid w:val="00CF49A8"/>
    <w:rsid w:val="00CF4B66"/>
    <w:rsid w:val="00CF4BD1"/>
    <w:rsid w:val="00CF4CDA"/>
    <w:rsid w:val="00CF5289"/>
    <w:rsid w:val="00CF5365"/>
    <w:rsid w:val="00CF550F"/>
    <w:rsid w:val="00CF55C2"/>
    <w:rsid w:val="00CF56DC"/>
    <w:rsid w:val="00CF5A5A"/>
    <w:rsid w:val="00CF5B01"/>
    <w:rsid w:val="00CF5C1C"/>
    <w:rsid w:val="00CF5D2E"/>
    <w:rsid w:val="00CF5F5B"/>
    <w:rsid w:val="00CF6094"/>
    <w:rsid w:val="00CF618B"/>
    <w:rsid w:val="00CF6492"/>
    <w:rsid w:val="00CF654A"/>
    <w:rsid w:val="00CF66C1"/>
    <w:rsid w:val="00CF6861"/>
    <w:rsid w:val="00CF6AEE"/>
    <w:rsid w:val="00CF6F10"/>
    <w:rsid w:val="00CF6F1F"/>
    <w:rsid w:val="00CF72CF"/>
    <w:rsid w:val="00CF76C7"/>
    <w:rsid w:val="00CF7728"/>
    <w:rsid w:val="00CF7755"/>
    <w:rsid w:val="00CF7D13"/>
    <w:rsid w:val="00CF7DB5"/>
    <w:rsid w:val="00CF7FCD"/>
    <w:rsid w:val="00D0007C"/>
    <w:rsid w:val="00D001B9"/>
    <w:rsid w:val="00D002F7"/>
    <w:rsid w:val="00D00362"/>
    <w:rsid w:val="00D003FA"/>
    <w:rsid w:val="00D005CC"/>
    <w:rsid w:val="00D00F12"/>
    <w:rsid w:val="00D01079"/>
    <w:rsid w:val="00D010E0"/>
    <w:rsid w:val="00D01169"/>
    <w:rsid w:val="00D011C2"/>
    <w:rsid w:val="00D014A3"/>
    <w:rsid w:val="00D0152A"/>
    <w:rsid w:val="00D0152B"/>
    <w:rsid w:val="00D016E7"/>
    <w:rsid w:val="00D01878"/>
    <w:rsid w:val="00D01D56"/>
    <w:rsid w:val="00D01D95"/>
    <w:rsid w:val="00D01F84"/>
    <w:rsid w:val="00D02045"/>
    <w:rsid w:val="00D02060"/>
    <w:rsid w:val="00D02094"/>
    <w:rsid w:val="00D02240"/>
    <w:rsid w:val="00D022CB"/>
    <w:rsid w:val="00D023ED"/>
    <w:rsid w:val="00D02402"/>
    <w:rsid w:val="00D024DE"/>
    <w:rsid w:val="00D026F7"/>
    <w:rsid w:val="00D028AB"/>
    <w:rsid w:val="00D028B6"/>
    <w:rsid w:val="00D02D97"/>
    <w:rsid w:val="00D02E17"/>
    <w:rsid w:val="00D02F9E"/>
    <w:rsid w:val="00D034D1"/>
    <w:rsid w:val="00D034DD"/>
    <w:rsid w:val="00D03524"/>
    <w:rsid w:val="00D03544"/>
    <w:rsid w:val="00D03701"/>
    <w:rsid w:val="00D038B1"/>
    <w:rsid w:val="00D039F5"/>
    <w:rsid w:val="00D03A9A"/>
    <w:rsid w:val="00D03BDB"/>
    <w:rsid w:val="00D03CFD"/>
    <w:rsid w:val="00D03E67"/>
    <w:rsid w:val="00D041A3"/>
    <w:rsid w:val="00D042B4"/>
    <w:rsid w:val="00D04346"/>
    <w:rsid w:val="00D04824"/>
    <w:rsid w:val="00D0494E"/>
    <w:rsid w:val="00D04952"/>
    <w:rsid w:val="00D049D1"/>
    <w:rsid w:val="00D04AC0"/>
    <w:rsid w:val="00D04B0F"/>
    <w:rsid w:val="00D04BE6"/>
    <w:rsid w:val="00D050A7"/>
    <w:rsid w:val="00D05123"/>
    <w:rsid w:val="00D0520C"/>
    <w:rsid w:val="00D052DF"/>
    <w:rsid w:val="00D054A6"/>
    <w:rsid w:val="00D05854"/>
    <w:rsid w:val="00D05B39"/>
    <w:rsid w:val="00D05BB9"/>
    <w:rsid w:val="00D05BC0"/>
    <w:rsid w:val="00D05D46"/>
    <w:rsid w:val="00D05D60"/>
    <w:rsid w:val="00D05F17"/>
    <w:rsid w:val="00D065DC"/>
    <w:rsid w:val="00D066C7"/>
    <w:rsid w:val="00D06714"/>
    <w:rsid w:val="00D067C7"/>
    <w:rsid w:val="00D0696A"/>
    <w:rsid w:val="00D06991"/>
    <w:rsid w:val="00D06A11"/>
    <w:rsid w:val="00D06A16"/>
    <w:rsid w:val="00D06B05"/>
    <w:rsid w:val="00D06B08"/>
    <w:rsid w:val="00D06BEA"/>
    <w:rsid w:val="00D06D01"/>
    <w:rsid w:val="00D072C3"/>
    <w:rsid w:val="00D07452"/>
    <w:rsid w:val="00D0751A"/>
    <w:rsid w:val="00D0758C"/>
    <w:rsid w:val="00D07706"/>
    <w:rsid w:val="00D079B6"/>
    <w:rsid w:val="00D07A9A"/>
    <w:rsid w:val="00D07B74"/>
    <w:rsid w:val="00D07BBB"/>
    <w:rsid w:val="00D07CE5"/>
    <w:rsid w:val="00D07D9C"/>
    <w:rsid w:val="00D10084"/>
    <w:rsid w:val="00D101E5"/>
    <w:rsid w:val="00D104D8"/>
    <w:rsid w:val="00D1078F"/>
    <w:rsid w:val="00D1094C"/>
    <w:rsid w:val="00D10974"/>
    <w:rsid w:val="00D10B0F"/>
    <w:rsid w:val="00D10E60"/>
    <w:rsid w:val="00D11519"/>
    <w:rsid w:val="00D11B20"/>
    <w:rsid w:val="00D11D2A"/>
    <w:rsid w:val="00D11D7E"/>
    <w:rsid w:val="00D11E37"/>
    <w:rsid w:val="00D11EB2"/>
    <w:rsid w:val="00D11EC5"/>
    <w:rsid w:val="00D11FD7"/>
    <w:rsid w:val="00D11FFA"/>
    <w:rsid w:val="00D12398"/>
    <w:rsid w:val="00D123C0"/>
    <w:rsid w:val="00D12550"/>
    <w:rsid w:val="00D126EC"/>
    <w:rsid w:val="00D12832"/>
    <w:rsid w:val="00D1283F"/>
    <w:rsid w:val="00D1289A"/>
    <w:rsid w:val="00D12989"/>
    <w:rsid w:val="00D12C9F"/>
    <w:rsid w:val="00D12CD2"/>
    <w:rsid w:val="00D12EB1"/>
    <w:rsid w:val="00D12EDB"/>
    <w:rsid w:val="00D13248"/>
    <w:rsid w:val="00D132E9"/>
    <w:rsid w:val="00D1345D"/>
    <w:rsid w:val="00D136A4"/>
    <w:rsid w:val="00D13766"/>
    <w:rsid w:val="00D13BB1"/>
    <w:rsid w:val="00D13D0D"/>
    <w:rsid w:val="00D13D67"/>
    <w:rsid w:val="00D13EA7"/>
    <w:rsid w:val="00D13F80"/>
    <w:rsid w:val="00D14150"/>
    <w:rsid w:val="00D14152"/>
    <w:rsid w:val="00D14190"/>
    <w:rsid w:val="00D1436F"/>
    <w:rsid w:val="00D14577"/>
    <w:rsid w:val="00D1468B"/>
    <w:rsid w:val="00D14824"/>
    <w:rsid w:val="00D149A8"/>
    <w:rsid w:val="00D14A4A"/>
    <w:rsid w:val="00D14C53"/>
    <w:rsid w:val="00D14CD7"/>
    <w:rsid w:val="00D14D23"/>
    <w:rsid w:val="00D14DAF"/>
    <w:rsid w:val="00D15052"/>
    <w:rsid w:val="00D151BA"/>
    <w:rsid w:val="00D154B8"/>
    <w:rsid w:val="00D156A1"/>
    <w:rsid w:val="00D15755"/>
    <w:rsid w:val="00D15913"/>
    <w:rsid w:val="00D159A6"/>
    <w:rsid w:val="00D15B9F"/>
    <w:rsid w:val="00D15C06"/>
    <w:rsid w:val="00D15D8B"/>
    <w:rsid w:val="00D15D98"/>
    <w:rsid w:val="00D15F26"/>
    <w:rsid w:val="00D16195"/>
    <w:rsid w:val="00D161C5"/>
    <w:rsid w:val="00D161DA"/>
    <w:rsid w:val="00D161F2"/>
    <w:rsid w:val="00D16298"/>
    <w:rsid w:val="00D1634B"/>
    <w:rsid w:val="00D16447"/>
    <w:rsid w:val="00D1657D"/>
    <w:rsid w:val="00D16601"/>
    <w:rsid w:val="00D167CF"/>
    <w:rsid w:val="00D169AA"/>
    <w:rsid w:val="00D16B6B"/>
    <w:rsid w:val="00D16BB5"/>
    <w:rsid w:val="00D16C79"/>
    <w:rsid w:val="00D16DEB"/>
    <w:rsid w:val="00D1715F"/>
    <w:rsid w:val="00D171BF"/>
    <w:rsid w:val="00D172A8"/>
    <w:rsid w:val="00D172E4"/>
    <w:rsid w:val="00D173DB"/>
    <w:rsid w:val="00D17424"/>
    <w:rsid w:val="00D17451"/>
    <w:rsid w:val="00D1751D"/>
    <w:rsid w:val="00D17550"/>
    <w:rsid w:val="00D17588"/>
    <w:rsid w:val="00D175E5"/>
    <w:rsid w:val="00D17690"/>
    <w:rsid w:val="00D1791C"/>
    <w:rsid w:val="00D17984"/>
    <w:rsid w:val="00D17AEA"/>
    <w:rsid w:val="00D17E03"/>
    <w:rsid w:val="00D204E6"/>
    <w:rsid w:val="00D205DB"/>
    <w:rsid w:val="00D206FD"/>
    <w:rsid w:val="00D20970"/>
    <w:rsid w:val="00D20AF5"/>
    <w:rsid w:val="00D20C71"/>
    <w:rsid w:val="00D20D89"/>
    <w:rsid w:val="00D20DA8"/>
    <w:rsid w:val="00D20E39"/>
    <w:rsid w:val="00D21108"/>
    <w:rsid w:val="00D211AF"/>
    <w:rsid w:val="00D211C5"/>
    <w:rsid w:val="00D2126E"/>
    <w:rsid w:val="00D212D9"/>
    <w:rsid w:val="00D2136F"/>
    <w:rsid w:val="00D213E2"/>
    <w:rsid w:val="00D216EA"/>
    <w:rsid w:val="00D21724"/>
    <w:rsid w:val="00D218BE"/>
    <w:rsid w:val="00D21AFB"/>
    <w:rsid w:val="00D21CA4"/>
    <w:rsid w:val="00D21D28"/>
    <w:rsid w:val="00D21E01"/>
    <w:rsid w:val="00D21E10"/>
    <w:rsid w:val="00D22145"/>
    <w:rsid w:val="00D2219B"/>
    <w:rsid w:val="00D221FC"/>
    <w:rsid w:val="00D2225D"/>
    <w:rsid w:val="00D22421"/>
    <w:rsid w:val="00D224AA"/>
    <w:rsid w:val="00D224EF"/>
    <w:rsid w:val="00D2263A"/>
    <w:rsid w:val="00D2272E"/>
    <w:rsid w:val="00D227D8"/>
    <w:rsid w:val="00D22884"/>
    <w:rsid w:val="00D229A9"/>
    <w:rsid w:val="00D22A1B"/>
    <w:rsid w:val="00D22F94"/>
    <w:rsid w:val="00D230D0"/>
    <w:rsid w:val="00D23186"/>
    <w:rsid w:val="00D23207"/>
    <w:rsid w:val="00D233F7"/>
    <w:rsid w:val="00D2346F"/>
    <w:rsid w:val="00D234DE"/>
    <w:rsid w:val="00D2351D"/>
    <w:rsid w:val="00D238D8"/>
    <w:rsid w:val="00D2394C"/>
    <w:rsid w:val="00D23A10"/>
    <w:rsid w:val="00D23ADA"/>
    <w:rsid w:val="00D2404A"/>
    <w:rsid w:val="00D24183"/>
    <w:rsid w:val="00D24265"/>
    <w:rsid w:val="00D242F1"/>
    <w:rsid w:val="00D244C2"/>
    <w:rsid w:val="00D244E1"/>
    <w:rsid w:val="00D24548"/>
    <w:rsid w:val="00D246A5"/>
    <w:rsid w:val="00D246C3"/>
    <w:rsid w:val="00D24B4E"/>
    <w:rsid w:val="00D24C63"/>
    <w:rsid w:val="00D24D4B"/>
    <w:rsid w:val="00D24D5D"/>
    <w:rsid w:val="00D24DAD"/>
    <w:rsid w:val="00D24F70"/>
    <w:rsid w:val="00D24FF8"/>
    <w:rsid w:val="00D2516E"/>
    <w:rsid w:val="00D25173"/>
    <w:rsid w:val="00D2523B"/>
    <w:rsid w:val="00D25414"/>
    <w:rsid w:val="00D255AC"/>
    <w:rsid w:val="00D256E3"/>
    <w:rsid w:val="00D25756"/>
    <w:rsid w:val="00D25832"/>
    <w:rsid w:val="00D25916"/>
    <w:rsid w:val="00D25CEC"/>
    <w:rsid w:val="00D25D15"/>
    <w:rsid w:val="00D25D36"/>
    <w:rsid w:val="00D25E21"/>
    <w:rsid w:val="00D25ED7"/>
    <w:rsid w:val="00D25F76"/>
    <w:rsid w:val="00D25FBC"/>
    <w:rsid w:val="00D2610A"/>
    <w:rsid w:val="00D26198"/>
    <w:rsid w:val="00D261CA"/>
    <w:rsid w:val="00D2628E"/>
    <w:rsid w:val="00D263B4"/>
    <w:rsid w:val="00D267C1"/>
    <w:rsid w:val="00D268E3"/>
    <w:rsid w:val="00D26A0A"/>
    <w:rsid w:val="00D26AB6"/>
    <w:rsid w:val="00D26BF8"/>
    <w:rsid w:val="00D26C1C"/>
    <w:rsid w:val="00D26CB5"/>
    <w:rsid w:val="00D26D97"/>
    <w:rsid w:val="00D26EC5"/>
    <w:rsid w:val="00D26FAD"/>
    <w:rsid w:val="00D2713B"/>
    <w:rsid w:val="00D272CC"/>
    <w:rsid w:val="00D27439"/>
    <w:rsid w:val="00D2755A"/>
    <w:rsid w:val="00D27645"/>
    <w:rsid w:val="00D27771"/>
    <w:rsid w:val="00D277E3"/>
    <w:rsid w:val="00D27AAB"/>
    <w:rsid w:val="00D27C3F"/>
    <w:rsid w:val="00D27D00"/>
    <w:rsid w:val="00D30110"/>
    <w:rsid w:val="00D303E2"/>
    <w:rsid w:val="00D30874"/>
    <w:rsid w:val="00D30A88"/>
    <w:rsid w:val="00D30AA5"/>
    <w:rsid w:val="00D30AF7"/>
    <w:rsid w:val="00D30B84"/>
    <w:rsid w:val="00D30CC3"/>
    <w:rsid w:val="00D30DD4"/>
    <w:rsid w:val="00D30E22"/>
    <w:rsid w:val="00D30F7D"/>
    <w:rsid w:val="00D30FC6"/>
    <w:rsid w:val="00D31163"/>
    <w:rsid w:val="00D311E7"/>
    <w:rsid w:val="00D314E8"/>
    <w:rsid w:val="00D3167B"/>
    <w:rsid w:val="00D31823"/>
    <w:rsid w:val="00D31886"/>
    <w:rsid w:val="00D31892"/>
    <w:rsid w:val="00D318B8"/>
    <w:rsid w:val="00D3191F"/>
    <w:rsid w:val="00D31A8A"/>
    <w:rsid w:val="00D31B26"/>
    <w:rsid w:val="00D31C18"/>
    <w:rsid w:val="00D320CF"/>
    <w:rsid w:val="00D323F3"/>
    <w:rsid w:val="00D324E6"/>
    <w:rsid w:val="00D3291B"/>
    <w:rsid w:val="00D32933"/>
    <w:rsid w:val="00D329E6"/>
    <w:rsid w:val="00D32A5A"/>
    <w:rsid w:val="00D32AAC"/>
    <w:rsid w:val="00D32CDB"/>
    <w:rsid w:val="00D32D88"/>
    <w:rsid w:val="00D32F07"/>
    <w:rsid w:val="00D3307D"/>
    <w:rsid w:val="00D330C6"/>
    <w:rsid w:val="00D331B2"/>
    <w:rsid w:val="00D335CB"/>
    <w:rsid w:val="00D336A8"/>
    <w:rsid w:val="00D339E3"/>
    <w:rsid w:val="00D33DEE"/>
    <w:rsid w:val="00D33F6B"/>
    <w:rsid w:val="00D33F6F"/>
    <w:rsid w:val="00D3406A"/>
    <w:rsid w:val="00D340BB"/>
    <w:rsid w:val="00D340C0"/>
    <w:rsid w:val="00D3449A"/>
    <w:rsid w:val="00D348F8"/>
    <w:rsid w:val="00D34936"/>
    <w:rsid w:val="00D34A30"/>
    <w:rsid w:val="00D34B39"/>
    <w:rsid w:val="00D34D0A"/>
    <w:rsid w:val="00D34D67"/>
    <w:rsid w:val="00D34E2F"/>
    <w:rsid w:val="00D34E41"/>
    <w:rsid w:val="00D34E9F"/>
    <w:rsid w:val="00D34F89"/>
    <w:rsid w:val="00D351BB"/>
    <w:rsid w:val="00D352F1"/>
    <w:rsid w:val="00D353B9"/>
    <w:rsid w:val="00D353C4"/>
    <w:rsid w:val="00D35460"/>
    <w:rsid w:val="00D35581"/>
    <w:rsid w:val="00D356C4"/>
    <w:rsid w:val="00D357C4"/>
    <w:rsid w:val="00D359BD"/>
    <w:rsid w:val="00D35AA5"/>
    <w:rsid w:val="00D35AAF"/>
    <w:rsid w:val="00D35ABB"/>
    <w:rsid w:val="00D35B38"/>
    <w:rsid w:val="00D35B6F"/>
    <w:rsid w:val="00D35C63"/>
    <w:rsid w:val="00D35CAA"/>
    <w:rsid w:val="00D35DB0"/>
    <w:rsid w:val="00D35DF3"/>
    <w:rsid w:val="00D35E2E"/>
    <w:rsid w:val="00D35E8A"/>
    <w:rsid w:val="00D35EF6"/>
    <w:rsid w:val="00D361F5"/>
    <w:rsid w:val="00D36209"/>
    <w:rsid w:val="00D363EB"/>
    <w:rsid w:val="00D365AA"/>
    <w:rsid w:val="00D3686A"/>
    <w:rsid w:val="00D3690E"/>
    <w:rsid w:val="00D3696A"/>
    <w:rsid w:val="00D369F6"/>
    <w:rsid w:val="00D36DC9"/>
    <w:rsid w:val="00D3702F"/>
    <w:rsid w:val="00D370A3"/>
    <w:rsid w:val="00D3715B"/>
    <w:rsid w:val="00D37463"/>
    <w:rsid w:val="00D3749D"/>
    <w:rsid w:val="00D3763B"/>
    <w:rsid w:val="00D3784A"/>
    <w:rsid w:val="00D37972"/>
    <w:rsid w:val="00D379B5"/>
    <w:rsid w:val="00D37A15"/>
    <w:rsid w:val="00D37A72"/>
    <w:rsid w:val="00D37B3F"/>
    <w:rsid w:val="00D37BAD"/>
    <w:rsid w:val="00D37C2C"/>
    <w:rsid w:val="00D37D11"/>
    <w:rsid w:val="00D37D27"/>
    <w:rsid w:val="00D37DFC"/>
    <w:rsid w:val="00D403C0"/>
    <w:rsid w:val="00D403DC"/>
    <w:rsid w:val="00D4052F"/>
    <w:rsid w:val="00D405DB"/>
    <w:rsid w:val="00D4073A"/>
    <w:rsid w:val="00D40786"/>
    <w:rsid w:val="00D40896"/>
    <w:rsid w:val="00D40996"/>
    <w:rsid w:val="00D40A49"/>
    <w:rsid w:val="00D40B14"/>
    <w:rsid w:val="00D40B18"/>
    <w:rsid w:val="00D40C53"/>
    <w:rsid w:val="00D40C90"/>
    <w:rsid w:val="00D40F30"/>
    <w:rsid w:val="00D4130A"/>
    <w:rsid w:val="00D41534"/>
    <w:rsid w:val="00D4155F"/>
    <w:rsid w:val="00D4161A"/>
    <w:rsid w:val="00D4177A"/>
    <w:rsid w:val="00D4187F"/>
    <w:rsid w:val="00D418A8"/>
    <w:rsid w:val="00D41B28"/>
    <w:rsid w:val="00D41C4D"/>
    <w:rsid w:val="00D41EB0"/>
    <w:rsid w:val="00D41F4F"/>
    <w:rsid w:val="00D421D1"/>
    <w:rsid w:val="00D4225D"/>
    <w:rsid w:val="00D423B8"/>
    <w:rsid w:val="00D4259B"/>
    <w:rsid w:val="00D425CE"/>
    <w:rsid w:val="00D428A9"/>
    <w:rsid w:val="00D42C43"/>
    <w:rsid w:val="00D42CAF"/>
    <w:rsid w:val="00D42CE3"/>
    <w:rsid w:val="00D42D80"/>
    <w:rsid w:val="00D42E2F"/>
    <w:rsid w:val="00D42E47"/>
    <w:rsid w:val="00D42EF6"/>
    <w:rsid w:val="00D42F4E"/>
    <w:rsid w:val="00D430C5"/>
    <w:rsid w:val="00D430F4"/>
    <w:rsid w:val="00D43188"/>
    <w:rsid w:val="00D431AB"/>
    <w:rsid w:val="00D4371B"/>
    <w:rsid w:val="00D437B5"/>
    <w:rsid w:val="00D437C0"/>
    <w:rsid w:val="00D4380E"/>
    <w:rsid w:val="00D43B69"/>
    <w:rsid w:val="00D43B6E"/>
    <w:rsid w:val="00D43E0B"/>
    <w:rsid w:val="00D43EC6"/>
    <w:rsid w:val="00D44161"/>
    <w:rsid w:val="00D444A2"/>
    <w:rsid w:val="00D44650"/>
    <w:rsid w:val="00D44B3F"/>
    <w:rsid w:val="00D44BE6"/>
    <w:rsid w:val="00D44D9C"/>
    <w:rsid w:val="00D44F81"/>
    <w:rsid w:val="00D44F9D"/>
    <w:rsid w:val="00D44FEF"/>
    <w:rsid w:val="00D451FC"/>
    <w:rsid w:val="00D4522C"/>
    <w:rsid w:val="00D4533D"/>
    <w:rsid w:val="00D454FE"/>
    <w:rsid w:val="00D456D2"/>
    <w:rsid w:val="00D45853"/>
    <w:rsid w:val="00D45A41"/>
    <w:rsid w:val="00D46141"/>
    <w:rsid w:val="00D46202"/>
    <w:rsid w:val="00D46278"/>
    <w:rsid w:val="00D46287"/>
    <w:rsid w:val="00D464A0"/>
    <w:rsid w:val="00D469D4"/>
    <w:rsid w:val="00D46B9C"/>
    <w:rsid w:val="00D46F34"/>
    <w:rsid w:val="00D4721B"/>
    <w:rsid w:val="00D47332"/>
    <w:rsid w:val="00D47412"/>
    <w:rsid w:val="00D474B2"/>
    <w:rsid w:val="00D47655"/>
    <w:rsid w:val="00D477CA"/>
    <w:rsid w:val="00D47A50"/>
    <w:rsid w:val="00D47B2F"/>
    <w:rsid w:val="00D47C22"/>
    <w:rsid w:val="00D47E34"/>
    <w:rsid w:val="00D47EA8"/>
    <w:rsid w:val="00D47F49"/>
    <w:rsid w:val="00D503A9"/>
    <w:rsid w:val="00D50431"/>
    <w:rsid w:val="00D504D0"/>
    <w:rsid w:val="00D5057A"/>
    <w:rsid w:val="00D5081A"/>
    <w:rsid w:val="00D508DC"/>
    <w:rsid w:val="00D50A42"/>
    <w:rsid w:val="00D50AE7"/>
    <w:rsid w:val="00D50B83"/>
    <w:rsid w:val="00D50B92"/>
    <w:rsid w:val="00D50CD5"/>
    <w:rsid w:val="00D50F47"/>
    <w:rsid w:val="00D5126C"/>
    <w:rsid w:val="00D51418"/>
    <w:rsid w:val="00D5141C"/>
    <w:rsid w:val="00D514CA"/>
    <w:rsid w:val="00D51757"/>
    <w:rsid w:val="00D518BE"/>
    <w:rsid w:val="00D518D4"/>
    <w:rsid w:val="00D51BDA"/>
    <w:rsid w:val="00D51D88"/>
    <w:rsid w:val="00D522C4"/>
    <w:rsid w:val="00D5238F"/>
    <w:rsid w:val="00D52452"/>
    <w:rsid w:val="00D5257A"/>
    <w:rsid w:val="00D52739"/>
    <w:rsid w:val="00D5281F"/>
    <w:rsid w:val="00D528A8"/>
    <w:rsid w:val="00D52F1E"/>
    <w:rsid w:val="00D53054"/>
    <w:rsid w:val="00D5318D"/>
    <w:rsid w:val="00D53238"/>
    <w:rsid w:val="00D532C5"/>
    <w:rsid w:val="00D534B1"/>
    <w:rsid w:val="00D53538"/>
    <w:rsid w:val="00D53764"/>
    <w:rsid w:val="00D539E2"/>
    <w:rsid w:val="00D53AD0"/>
    <w:rsid w:val="00D53DB6"/>
    <w:rsid w:val="00D53E02"/>
    <w:rsid w:val="00D53F67"/>
    <w:rsid w:val="00D53F99"/>
    <w:rsid w:val="00D53FE6"/>
    <w:rsid w:val="00D54062"/>
    <w:rsid w:val="00D5428F"/>
    <w:rsid w:val="00D543B5"/>
    <w:rsid w:val="00D5442B"/>
    <w:rsid w:val="00D5449C"/>
    <w:rsid w:val="00D54567"/>
    <w:rsid w:val="00D545DA"/>
    <w:rsid w:val="00D5494E"/>
    <w:rsid w:val="00D54A74"/>
    <w:rsid w:val="00D54B6F"/>
    <w:rsid w:val="00D54B7E"/>
    <w:rsid w:val="00D54CB1"/>
    <w:rsid w:val="00D54E46"/>
    <w:rsid w:val="00D551E0"/>
    <w:rsid w:val="00D5532C"/>
    <w:rsid w:val="00D55487"/>
    <w:rsid w:val="00D556B4"/>
    <w:rsid w:val="00D5573F"/>
    <w:rsid w:val="00D55750"/>
    <w:rsid w:val="00D55829"/>
    <w:rsid w:val="00D55B5C"/>
    <w:rsid w:val="00D55C44"/>
    <w:rsid w:val="00D55D82"/>
    <w:rsid w:val="00D55DFA"/>
    <w:rsid w:val="00D55E0F"/>
    <w:rsid w:val="00D55EDD"/>
    <w:rsid w:val="00D55F20"/>
    <w:rsid w:val="00D56020"/>
    <w:rsid w:val="00D5635D"/>
    <w:rsid w:val="00D56378"/>
    <w:rsid w:val="00D5663C"/>
    <w:rsid w:val="00D569E8"/>
    <w:rsid w:val="00D56A6E"/>
    <w:rsid w:val="00D56B7C"/>
    <w:rsid w:val="00D56F6B"/>
    <w:rsid w:val="00D57030"/>
    <w:rsid w:val="00D57173"/>
    <w:rsid w:val="00D571F1"/>
    <w:rsid w:val="00D57405"/>
    <w:rsid w:val="00D5769C"/>
    <w:rsid w:val="00D579FE"/>
    <w:rsid w:val="00D57A64"/>
    <w:rsid w:val="00D57F12"/>
    <w:rsid w:val="00D600B3"/>
    <w:rsid w:val="00D6016B"/>
    <w:rsid w:val="00D60298"/>
    <w:rsid w:val="00D60308"/>
    <w:rsid w:val="00D60422"/>
    <w:rsid w:val="00D6060D"/>
    <w:rsid w:val="00D606B5"/>
    <w:rsid w:val="00D60929"/>
    <w:rsid w:val="00D60A06"/>
    <w:rsid w:val="00D60BB4"/>
    <w:rsid w:val="00D60D95"/>
    <w:rsid w:val="00D60E4F"/>
    <w:rsid w:val="00D60F73"/>
    <w:rsid w:val="00D60F86"/>
    <w:rsid w:val="00D60FA1"/>
    <w:rsid w:val="00D6106E"/>
    <w:rsid w:val="00D61079"/>
    <w:rsid w:val="00D61181"/>
    <w:rsid w:val="00D611E5"/>
    <w:rsid w:val="00D612BF"/>
    <w:rsid w:val="00D6147A"/>
    <w:rsid w:val="00D61757"/>
    <w:rsid w:val="00D617A8"/>
    <w:rsid w:val="00D61870"/>
    <w:rsid w:val="00D61952"/>
    <w:rsid w:val="00D619EF"/>
    <w:rsid w:val="00D61CAC"/>
    <w:rsid w:val="00D61E9E"/>
    <w:rsid w:val="00D61F15"/>
    <w:rsid w:val="00D620EA"/>
    <w:rsid w:val="00D621BD"/>
    <w:rsid w:val="00D6237E"/>
    <w:rsid w:val="00D6263F"/>
    <w:rsid w:val="00D627DA"/>
    <w:rsid w:val="00D628DA"/>
    <w:rsid w:val="00D62A65"/>
    <w:rsid w:val="00D62CED"/>
    <w:rsid w:val="00D62D78"/>
    <w:rsid w:val="00D62E77"/>
    <w:rsid w:val="00D62F41"/>
    <w:rsid w:val="00D6304C"/>
    <w:rsid w:val="00D6325A"/>
    <w:rsid w:val="00D6330B"/>
    <w:rsid w:val="00D633D9"/>
    <w:rsid w:val="00D635BE"/>
    <w:rsid w:val="00D638DE"/>
    <w:rsid w:val="00D6392D"/>
    <w:rsid w:val="00D63C33"/>
    <w:rsid w:val="00D63C48"/>
    <w:rsid w:val="00D63C56"/>
    <w:rsid w:val="00D63D7E"/>
    <w:rsid w:val="00D63E9B"/>
    <w:rsid w:val="00D63F3C"/>
    <w:rsid w:val="00D640D4"/>
    <w:rsid w:val="00D64201"/>
    <w:rsid w:val="00D64289"/>
    <w:rsid w:val="00D6439D"/>
    <w:rsid w:val="00D643AD"/>
    <w:rsid w:val="00D64444"/>
    <w:rsid w:val="00D64489"/>
    <w:rsid w:val="00D6463C"/>
    <w:rsid w:val="00D6486F"/>
    <w:rsid w:val="00D648FB"/>
    <w:rsid w:val="00D6495E"/>
    <w:rsid w:val="00D64CE4"/>
    <w:rsid w:val="00D64D13"/>
    <w:rsid w:val="00D64D44"/>
    <w:rsid w:val="00D64E46"/>
    <w:rsid w:val="00D64EAF"/>
    <w:rsid w:val="00D64EB4"/>
    <w:rsid w:val="00D64FC7"/>
    <w:rsid w:val="00D65178"/>
    <w:rsid w:val="00D6538D"/>
    <w:rsid w:val="00D6544B"/>
    <w:rsid w:val="00D654F0"/>
    <w:rsid w:val="00D655C8"/>
    <w:rsid w:val="00D656D9"/>
    <w:rsid w:val="00D65945"/>
    <w:rsid w:val="00D6597A"/>
    <w:rsid w:val="00D65982"/>
    <w:rsid w:val="00D65BE7"/>
    <w:rsid w:val="00D65DAB"/>
    <w:rsid w:val="00D6607D"/>
    <w:rsid w:val="00D66232"/>
    <w:rsid w:val="00D6667B"/>
    <w:rsid w:val="00D666DA"/>
    <w:rsid w:val="00D66790"/>
    <w:rsid w:val="00D667C2"/>
    <w:rsid w:val="00D66ADC"/>
    <w:rsid w:val="00D66CF9"/>
    <w:rsid w:val="00D66D36"/>
    <w:rsid w:val="00D66F1C"/>
    <w:rsid w:val="00D6732E"/>
    <w:rsid w:val="00D6735A"/>
    <w:rsid w:val="00D67C42"/>
    <w:rsid w:val="00D67E17"/>
    <w:rsid w:val="00D67F17"/>
    <w:rsid w:val="00D67FAD"/>
    <w:rsid w:val="00D67FB8"/>
    <w:rsid w:val="00D67FBB"/>
    <w:rsid w:val="00D700BB"/>
    <w:rsid w:val="00D70342"/>
    <w:rsid w:val="00D70497"/>
    <w:rsid w:val="00D7052A"/>
    <w:rsid w:val="00D7064E"/>
    <w:rsid w:val="00D70684"/>
    <w:rsid w:val="00D70710"/>
    <w:rsid w:val="00D707D5"/>
    <w:rsid w:val="00D7081D"/>
    <w:rsid w:val="00D70A3F"/>
    <w:rsid w:val="00D70C7C"/>
    <w:rsid w:val="00D70D20"/>
    <w:rsid w:val="00D70D59"/>
    <w:rsid w:val="00D70DD2"/>
    <w:rsid w:val="00D7116A"/>
    <w:rsid w:val="00D71194"/>
    <w:rsid w:val="00D712AA"/>
    <w:rsid w:val="00D712F3"/>
    <w:rsid w:val="00D71335"/>
    <w:rsid w:val="00D71400"/>
    <w:rsid w:val="00D7174E"/>
    <w:rsid w:val="00D71888"/>
    <w:rsid w:val="00D71A00"/>
    <w:rsid w:val="00D71D77"/>
    <w:rsid w:val="00D71E6A"/>
    <w:rsid w:val="00D72014"/>
    <w:rsid w:val="00D720C1"/>
    <w:rsid w:val="00D7220A"/>
    <w:rsid w:val="00D72494"/>
    <w:rsid w:val="00D72500"/>
    <w:rsid w:val="00D72526"/>
    <w:rsid w:val="00D7262E"/>
    <w:rsid w:val="00D72716"/>
    <w:rsid w:val="00D72719"/>
    <w:rsid w:val="00D72752"/>
    <w:rsid w:val="00D727ED"/>
    <w:rsid w:val="00D7280D"/>
    <w:rsid w:val="00D7287E"/>
    <w:rsid w:val="00D728D7"/>
    <w:rsid w:val="00D7296B"/>
    <w:rsid w:val="00D72AD2"/>
    <w:rsid w:val="00D72BB9"/>
    <w:rsid w:val="00D72CDD"/>
    <w:rsid w:val="00D72F30"/>
    <w:rsid w:val="00D72F75"/>
    <w:rsid w:val="00D7300E"/>
    <w:rsid w:val="00D73042"/>
    <w:rsid w:val="00D7376E"/>
    <w:rsid w:val="00D737C5"/>
    <w:rsid w:val="00D738FB"/>
    <w:rsid w:val="00D73C83"/>
    <w:rsid w:val="00D73CC6"/>
    <w:rsid w:val="00D73EC0"/>
    <w:rsid w:val="00D73F3E"/>
    <w:rsid w:val="00D73F4F"/>
    <w:rsid w:val="00D740BC"/>
    <w:rsid w:val="00D74402"/>
    <w:rsid w:val="00D745C3"/>
    <w:rsid w:val="00D745DC"/>
    <w:rsid w:val="00D74780"/>
    <w:rsid w:val="00D747C4"/>
    <w:rsid w:val="00D74825"/>
    <w:rsid w:val="00D74A49"/>
    <w:rsid w:val="00D74B58"/>
    <w:rsid w:val="00D74BC8"/>
    <w:rsid w:val="00D74D93"/>
    <w:rsid w:val="00D74F1E"/>
    <w:rsid w:val="00D750DD"/>
    <w:rsid w:val="00D7538E"/>
    <w:rsid w:val="00D75470"/>
    <w:rsid w:val="00D7555E"/>
    <w:rsid w:val="00D7557F"/>
    <w:rsid w:val="00D7561E"/>
    <w:rsid w:val="00D75686"/>
    <w:rsid w:val="00D75BD1"/>
    <w:rsid w:val="00D75D6E"/>
    <w:rsid w:val="00D75ED3"/>
    <w:rsid w:val="00D75F3E"/>
    <w:rsid w:val="00D76010"/>
    <w:rsid w:val="00D7603E"/>
    <w:rsid w:val="00D76051"/>
    <w:rsid w:val="00D7615C"/>
    <w:rsid w:val="00D761A4"/>
    <w:rsid w:val="00D7644C"/>
    <w:rsid w:val="00D76505"/>
    <w:rsid w:val="00D765BE"/>
    <w:rsid w:val="00D765EA"/>
    <w:rsid w:val="00D766C1"/>
    <w:rsid w:val="00D766D0"/>
    <w:rsid w:val="00D766D6"/>
    <w:rsid w:val="00D7694A"/>
    <w:rsid w:val="00D76C18"/>
    <w:rsid w:val="00D76C7F"/>
    <w:rsid w:val="00D76CB4"/>
    <w:rsid w:val="00D76E00"/>
    <w:rsid w:val="00D76F93"/>
    <w:rsid w:val="00D772B7"/>
    <w:rsid w:val="00D7733D"/>
    <w:rsid w:val="00D77381"/>
    <w:rsid w:val="00D77410"/>
    <w:rsid w:val="00D7742A"/>
    <w:rsid w:val="00D775EA"/>
    <w:rsid w:val="00D777FC"/>
    <w:rsid w:val="00D7799B"/>
    <w:rsid w:val="00D77B52"/>
    <w:rsid w:val="00D77B7D"/>
    <w:rsid w:val="00D77B88"/>
    <w:rsid w:val="00D77C61"/>
    <w:rsid w:val="00D77E2A"/>
    <w:rsid w:val="00D77E2B"/>
    <w:rsid w:val="00D77E3F"/>
    <w:rsid w:val="00D77E6D"/>
    <w:rsid w:val="00D77E7D"/>
    <w:rsid w:val="00D800A0"/>
    <w:rsid w:val="00D80380"/>
    <w:rsid w:val="00D8057A"/>
    <w:rsid w:val="00D80592"/>
    <w:rsid w:val="00D80797"/>
    <w:rsid w:val="00D807D1"/>
    <w:rsid w:val="00D80854"/>
    <w:rsid w:val="00D80921"/>
    <w:rsid w:val="00D80991"/>
    <w:rsid w:val="00D80AE1"/>
    <w:rsid w:val="00D80CFB"/>
    <w:rsid w:val="00D80D75"/>
    <w:rsid w:val="00D81057"/>
    <w:rsid w:val="00D81106"/>
    <w:rsid w:val="00D811B4"/>
    <w:rsid w:val="00D811C4"/>
    <w:rsid w:val="00D81390"/>
    <w:rsid w:val="00D813D5"/>
    <w:rsid w:val="00D813EB"/>
    <w:rsid w:val="00D81434"/>
    <w:rsid w:val="00D8168B"/>
    <w:rsid w:val="00D81695"/>
    <w:rsid w:val="00D81706"/>
    <w:rsid w:val="00D818F3"/>
    <w:rsid w:val="00D819A5"/>
    <w:rsid w:val="00D819A9"/>
    <w:rsid w:val="00D819DF"/>
    <w:rsid w:val="00D81B67"/>
    <w:rsid w:val="00D8216D"/>
    <w:rsid w:val="00D82403"/>
    <w:rsid w:val="00D8248E"/>
    <w:rsid w:val="00D82A48"/>
    <w:rsid w:val="00D82A70"/>
    <w:rsid w:val="00D82BE8"/>
    <w:rsid w:val="00D82BEB"/>
    <w:rsid w:val="00D82D12"/>
    <w:rsid w:val="00D82EE6"/>
    <w:rsid w:val="00D8319B"/>
    <w:rsid w:val="00D832B2"/>
    <w:rsid w:val="00D833EB"/>
    <w:rsid w:val="00D834D7"/>
    <w:rsid w:val="00D83633"/>
    <w:rsid w:val="00D8366C"/>
    <w:rsid w:val="00D8387F"/>
    <w:rsid w:val="00D839FB"/>
    <w:rsid w:val="00D83A62"/>
    <w:rsid w:val="00D83C18"/>
    <w:rsid w:val="00D83CE3"/>
    <w:rsid w:val="00D83CF9"/>
    <w:rsid w:val="00D83CFA"/>
    <w:rsid w:val="00D83F4D"/>
    <w:rsid w:val="00D84140"/>
    <w:rsid w:val="00D843F6"/>
    <w:rsid w:val="00D8441F"/>
    <w:rsid w:val="00D844B2"/>
    <w:rsid w:val="00D844E4"/>
    <w:rsid w:val="00D84797"/>
    <w:rsid w:val="00D8487B"/>
    <w:rsid w:val="00D84B6C"/>
    <w:rsid w:val="00D84E39"/>
    <w:rsid w:val="00D84E54"/>
    <w:rsid w:val="00D84EFC"/>
    <w:rsid w:val="00D84FB7"/>
    <w:rsid w:val="00D84FF2"/>
    <w:rsid w:val="00D85047"/>
    <w:rsid w:val="00D8534D"/>
    <w:rsid w:val="00D853B4"/>
    <w:rsid w:val="00D856F5"/>
    <w:rsid w:val="00D85820"/>
    <w:rsid w:val="00D85D0C"/>
    <w:rsid w:val="00D8603F"/>
    <w:rsid w:val="00D86044"/>
    <w:rsid w:val="00D8612A"/>
    <w:rsid w:val="00D864EA"/>
    <w:rsid w:val="00D865D1"/>
    <w:rsid w:val="00D8670D"/>
    <w:rsid w:val="00D86D39"/>
    <w:rsid w:val="00D86D90"/>
    <w:rsid w:val="00D87239"/>
    <w:rsid w:val="00D8730E"/>
    <w:rsid w:val="00D8741D"/>
    <w:rsid w:val="00D874DC"/>
    <w:rsid w:val="00D87661"/>
    <w:rsid w:val="00D8768C"/>
    <w:rsid w:val="00D876C5"/>
    <w:rsid w:val="00D87742"/>
    <w:rsid w:val="00D8782D"/>
    <w:rsid w:val="00D8782E"/>
    <w:rsid w:val="00D87A55"/>
    <w:rsid w:val="00D87F69"/>
    <w:rsid w:val="00D9003B"/>
    <w:rsid w:val="00D9010B"/>
    <w:rsid w:val="00D90160"/>
    <w:rsid w:val="00D9035C"/>
    <w:rsid w:val="00D904C3"/>
    <w:rsid w:val="00D90532"/>
    <w:rsid w:val="00D908B0"/>
    <w:rsid w:val="00D909BB"/>
    <w:rsid w:val="00D909CF"/>
    <w:rsid w:val="00D90D1F"/>
    <w:rsid w:val="00D90E19"/>
    <w:rsid w:val="00D90E99"/>
    <w:rsid w:val="00D90EEC"/>
    <w:rsid w:val="00D9106C"/>
    <w:rsid w:val="00D91241"/>
    <w:rsid w:val="00D912A8"/>
    <w:rsid w:val="00D9163C"/>
    <w:rsid w:val="00D9165B"/>
    <w:rsid w:val="00D9175D"/>
    <w:rsid w:val="00D91848"/>
    <w:rsid w:val="00D91C03"/>
    <w:rsid w:val="00D91C77"/>
    <w:rsid w:val="00D91CDF"/>
    <w:rsid w:val="00D91CF6"/>
    <w:rsid w:val="00D920BA"/>
    <w:rsid w:val="00D921B4"/>
    <w:rsid w:val="00D921DA"/>
    <w:rsid w:val="00D923D0"/>
    <w:rsid w:val="00D9270C"/>
    <w:rsid w:val="00D9295C"/>
    <w:rsid w:val="00D92A2D"/>
    <w:rsid w:val="00D92A45"/>
    <w:rsid w:val="00D92C6C"/>
    <w:rsid w:val="00D92D0C"/>
    <w:rsid w:val="00D9322E"/>
    <w:rsid w:val="00D932DA"/>
    <w:rsid w:val="00D9330A"/>
    <w:rsid w:val="00D934E4"/>
    <w:rsid w:val="00D93702"/>
    <w:rsid w:val="00D93774"/>
    <w:rsid w:val="00D93937"/>
    <w:rsid w:val="00D93A9F"/>
    <w:rsid w:val="00D93AED"/>
    <w:rsid w:val="00D93D75"/>
    <w:rsid w:val="00D93E37"/>
    <w:rsid w:val="00D93EDD"/>
    <w:rsid w:val="00D94130"/>
    <w:rsid w:val="00D942A7"/>
    <w:rsid w:val="00D943BF"/>
    <w:rsid w:val="00D94443"/>
    <w:rsid w:val="00D944CD"/>
    <w:rsid w:val="00D9450F"/>
    <w:rsid w:val="00D945E2"/>
    <w:rsid w:val="00D9496A"/>
    <w:rsid w:val="00D94B00"/>
    <w:rsid w:val="00D94C87"/>
    <w:rsid w:val="00D94E25"/>
    <w:rsid w:val="00D94F80"/>
    <w:rsid w:val="00D951F2"/>
    <w:rsid w:val="00D95394"/>
    <w:rsid w:val="00D955CB"/>
    <w:rsid w:val="00D9589B"/>
    <w:rsid w:val="00D959ED"/>
    <w:rsid w:val="00D95E54"/>
    <w:rsid w:val="00D95F85"/>
    <w:rsid w:val="00D95FCD"/>
    <w:rsid w:val="00D961CE"/>
    <w:rsid w:val="00D96281"/>
    <w:rsid w:val="00D96603"/>
    <w:rsid w:val="00D96B5D"/>
    <w:rsid w:val="00D96D7E"/>
    <w:rsid w:val="00D970E7"/>
    <w:rsid w:val="00D970E8"/>
    <w:rsid w:val="00D97543"/>
    <w:rsid w:val="00D97638"/>
    <w:rsid w:val="00D97640"/>
    <w:rsid w:val="00D9787F"/>
    <w:rsid w:val="00D97B3A"/>
    <w:rsid w:val="00D97BF0"/>
    <w:rsid w:val="00D97DE3"/>
    <w:rsid w:val="00D97E07"/>
    <w:rsid w:val="00D97F14"/>
    <w:rsid w:val="00DA01E5"/>
    <w:rsid w:val="00DA02E9"/>
    <w:rsid w:val="00DA0312"/>
    <w:rsid w:val="00DA032B"/>
    <w:rsid w:val="00DA0456"/>
    <w:rsid w:val="00DA05A4"/>
    <w:rsid w:val="00DA0731"/>
    <w:rsid w:val="00DA07DE"/>
    <w:rsid w:val="00DA089D"/>
    <w:rsid w:val="00DA08E8"/>
    <w:rsid w:val="00DA09F2"/>
    <w:rsid w:val="00DA0A47"/>
    <w:rsid w:val="00DA0C19"/>
    <w:rsid w:val="00DA0CCB"/>
    <w:rsid w:val="00DA0DBE"/>
    <w:rsid w:val="00DA0E5C"/>
    <w:rsid w:val="00DA0E80"/>
    <w:rsid w:val="00DA0FDC"/>
    <w:rsid w:val="00DA1030"/>
    <w:rsid w:val="00DA14CF"/>
    <w:rsid w:val="00DA1512"/>
    <w:rsid w:val="00DA151B"/>
    <w:rsid w:val="00DA1524"/>
    <w:rsid w:val="00DA16C5"/>
    <w:rsid w:val="00DA1908"/>
    <w:rsid w:val="00DA192B"/>
    <w:rsid w:val="00DA1A4B"/>
    <w:rsid w:val="00DA1C5B"/>
    <w:rsid w:val="00DA1CFD"/>
    <w:rsid w:val="00DA1D1E"/>
    <w:rsid w:val="00DA1D57"/>
    <w:rsid w:val="00DA1DE8"/>
    <w:rsid w:val="00DA1F24"/>
    <w:rsid w:val="00DA1F2F"/>
    <w:rsid w:val="00DA216E"/>
    <w:rsid w:val="00DA2173"/>
    <w:rsid w:val="00DA22FC"/>
    <w:rsid w:val="00DA238A"/>
    <w:rsid w:val="00DA24BC"/>
    <w:rsid w:val="00DA2701"/>
    <w:rsid w:val="00DA27F0"/>
    <w:rsid w:val="00DA29AE"/>
    <w:rsid w:val="00DA2A3E"/>
    <w:rsid w:val="00DA2BAE"/>
    <w:rsid w:val="00DA2DC5"/>
    <w:rsid w:val="00DA2DE0"/>
    <w:rsid w:val="00DA2E7D"/>
    <w:rsid w:val="00DA2F7B"/>
    <w:rsid w:val="00DA2FF2"/>
    <w:rsid w:val="00DA2FFD"/>
    <w:rsid w:val="00DA3168"/>
    <w:rsid w:val="00DA328B"/>
    <w:rsid w:val="00DA349F"/>
    <w:rsid w:val="00DA3641"/>
    <w:rsid w:val="00DA3650"/>
    <w:rsid w:val="00DA3B28"/>
    <w:rsid w:val="00DA3C7C"/>
    <w:rsid w:val="00DA3C8F"/>
    <w:rsid w:val="00DA416E"/>
    <w:rsid w:val="00DA431E"/>
    <w:rsid w:val="00DA43F4"/>
    <w:rsid w:val="00DA4555"/>
    <w:rsid w:val="00DA45AA"/>
    <w:rsid w:val="00DA477E"/>
    <w:rsid w:val="00DA4940"/>
    <w:rsid w:val="00DA495B"/>
    <w:rsid w:val="00DA4E47"/>
    <w:rsid w:val="00DA4F47"/>
    <w:rsid w:val="00DA504C"/>
    <w:rsid w:val="00DA516F"/>
    <w:rsid w:val="00DA5187"/>
    <w:rsid w:val="00DA5222"/>
    <w:rsid w:val="00DA5240"/>
    <w:rsid w:val="00DA53CE"/>
    <w:rsid w:val="00DA5520"/>
    <w:rsid w:val="00DA55BB"/>
    <w:rsid w:val="00DA59E8"/>
    <w:rsid w:val="00DA5AC7"/>
    <w:rsid w:val="00DA5DAD"/>
    <w:rsid w:val="00DA5F72"/>
    <w:rsid w:val="00DA5FA1"/>
    <w:rsid w:val="00DA6119"/>
    <w:rsid w:val="00DA6147"/>
    <w:rsid w:val="00DA62E7"/>
    <w:rsid w:val="00DA65ED"/>
    <w:rsid w:val="00DA6670"/>
    <w:rsid w:val="00DA6680"/>
    <w:rsid w:val="00DA6719"/>
    <w:rsid w:val="00DA6761"/>
    <w:rsid w:val="00DA695E"/>
    <w:rsid w:val="00DA69FA"/>
    <w:rsid w:val="00DA6A66"/>
    <w:rsid w:val="00DA6E35"/>
    <w:rsid w:val="00DA7072"/>
    <w:rsid w:val="00DA708D"/>
    <w:rsid w:val="00DA711E"/>
    <w:rsid w:val="00DA73EE"/>
    <w:rsid w:val="00DA74BA"/>
    <w:rsid w:val="00DA7560"/>
    <w:rsid w:val="00DA7975"/>
    <w:rsid w:val="00DA79F1"/>
    <w:rsid w:val="00DA7A59"/>
    <w:rsid w:val="00DA7E19"/>
    <w:rsid w:val="00DA7E69"/>
    <w:rsid w:val="00DA7E87"/>
    <w:rsid w:val="00DA7EA1"/>
    <w:rsid w:val="00DB0B1B"/>
    <w:rsid w:val="00DB0BEB"/>
    <w:rsid w:val="00DB0C00"/>
    <w:rsid w:val="00DB0C3A"/>
    <w:rsid w:val="00DB0C5D"/>
    <w:rsid w:val="00DB0F6E"/>
    <w:rsid w:val="00DB1293"/>
    <w:rsid w:val="00DB19E5"/>
    <w:rsid w:val="00DB1C55"/>
    <w:rsid w:val="00DB1E7B"/>
    <w:rsid w:val="00DB1EEB"/>
    <w:rsid w:val="00DB1F69"/>
    <w:rsid w:val="00DB2289"/>
    <w:rsid w:val="00DB2488"/>
    <w:rsid w:val="00DB249C"/>
    <w:rsid w:val="00DB253A"/>
    <w:rsid w:val="00DB2592"/>
    <w:rsid w:val="00DB26EC"/>
    <w:rsid w:val="00DB275E"/>
    <w:rsid w:val="00DB278F"/>
    <w:rsid w:val="00DB2A67"/>
    <w:rsid w:val="00DB2C1A"/>
    <w:rsid w:val="00DB2E0D"/>
    <w:rsid w:val="00DB30E5"/>
    <w:rsid w:val="00DB3412"/>
    <w:rsid w:val="00DB3621"/>
    <w:rsid w:val="00DB36F4"/>
    <w:rsid w:val="00DB382A"/>
    <w:rsid w:val="00DB3921"/>
    <w:rsid w:val="00DB39D3"/>
    <w:rsid w:val="00DB3D4A"/>
    <w:rsid w:val="00DB3DC1"/>
    <w:rsid w:val="00DB3E60"/>
    <w:rsid w:val="00DB40BE"/>
    <w:rsid w:val="00DB4157"/>
    <w:rsid w:val="00DB43FB"/>
    <w:rsid w:val="00DB4A9B"/>
    <w:rsid w:val="00DB4F09"/>
    <w:rsid w:val="00DB51DE"/>
    <w:rsid w:val="00DB52B5"/>
    <w:rsid w:val="00DB52DA"/>
    <w:rsid w:val="00DB53B0"/>
    <w:rsid w:val="00DB5713"/>
    <w:rsid w:val="00DB58A6"/>
    <w:rsid w:val="00DB590A"/>
    <w:rsid w:val="00DB59F8"/>
    <w:rsid w:val="00DB5A77"/>
    <w:rsid w:val="00DB5A7B"/>
    <w:rsid w:val="00DB5B5D"/>
    <w:rsid w:val="00DB5BB4"/>
    <w:rsid w:val="00DB5D89"/>
    <w:rsid w:val="00DB5E60"/>
    <w:rsid w:val="00DB5F33"/>
    <w:rsid w:val="00DB5F5B"/>
    <w:rsid w:val="00DB638B"/>
    <w:rsid w:val="00DB6495"/>
    <w:rsid w:val="00DB64BA"/>
    <w:rsid w:val="00DB650D"/>
    <w:rsid w:val="00DB6741"/>
    <w:rsid w:val="00DB67FC"/>
    <w:rsid w:val="00DB68EE"/>
    <w:rsid w:val="00DB69D3"/>
    <w:rsid w:val="00DB69DE"/>
    <w:rsid w:val="00DB6B6B"/>
    <w:rsid w:val="00DB6CB4"/>
    <w:rsid w:val="00DB6D04"/>
    <w:rsid w:val="00DB6DD3"/>
    <w:rsid w:val="00DB6E56"/>
    <w:rsid w:val="00DB6F7B"/>
    <w:rsid w:val="00DB716B"/>
    <w:rsid w:val="00DB7493"/>
    <w:rsid w:val="00DB770C"/>
    <w:rsid w:val="00DB77DF"/>
    <w:rsid w:val="00DB79FE"/>
    <w:rsid w:val="00DB7BD0"/>
    <w:rsid w:val="00DB7C2D"/>
    <w:rsid w:val="00DB7EA9"/>
    <w:rsid w:val="00DB7F14"/>
    <w:rsid w:val="00DB7F65"/>
    <w:rsid w:val="00DC01C9"/>
    <w:rsid w:val="00DC01E8"/>
    <w:rsid w:val="00DC01F5"/>
    <w:rsid w:val="00DC032E"/>
    <w:rsid w:val="00DC037D"/>
    <w:rsid w:val="00DC0383"/>
    <w:rsid w:val="00DC039C"/>
    <w:rsid w:val="00DC05DF"/>
    <w:rsid w:val="00DC064F"/>
    <w:rsid w:val="00DC0669"/>
    <w:rsid w:val="00DC07F9"/>
    <w:rsid w:val="00DC09BB"/>
    <w:rsid w:val="00DC0B95"/>
    <w:rsid w:val="00DC0BFD"/>
    <w:rsid w:val="00DC0D48"/>
    <w:rsid w:val="00DC0DFC"/>
    <w:rsid w:val="00DC0EFE"/>
    <w:rsid w:val="00DC1063"/>
    <w:rsid w:val="00DC14B6"/>
    <w:rsid w:val="00DC1743"/>
    <w:rsid w:val="00DC1929"/>
    <w:rsid w:val="00DC1B9D"/>
    <w:rsid w:val="00DC1C4B"/>
    <w:rsid w:val="00DC200C"/>
    <w:rsid w:val="00DC2291"/>
    <w:rsid w:val="00DC2420"/>
    <w:rsid w:val="00DC273B"/>
    <w:rsid w:val="00DC2CC6"/>
    <w:rsid w:val="00DC2E28"/>
    <w:rsid w:val="00DC2F49"/>
    <w:rsid w:val="00DC306D"/>
    <w:rsid w:val="00DC3128"/>
    <w:rsid w:val="00DC3636"/>
    <w:rsid w:val="00DC3851"/>
    <w:rsid w:val="00DC3A66"/>
    <w:rsid w:val="00DC3A73"/>
    <w:rsid w:val="00DC3A86"/>
    <w:rsid w:val="00DC3C52"/>
    <w:rsid w:val="00DC3C75"/>
    <w:rsid w:val="00DC3FFD"/>
    <w:rsid w:val="00DC42B7"/>
    <w:rsid w:val="00DC4318"/>
    <w:rsid w:val="00DC476A"/>
    <w:rsid w:val="00DC4A01"/>
    <w:rsid w:val="00DC4CC9"/>
    <w:rsid w:val="00DC4DF5"/>
    <w:rsid w:val="00DC4E3C"/>
    <w:rsid w:val="00DC4E5D"/>
    <w:rsid w:val="00DC4F16"/>
    <w:rsid w:val="00DC5237"/>
    <w:rsid w:val="00DC5352"/>
    <w:rsid w:val="00DC57BB"/>
    <w:rsid w:val="00DC5809"/>
    <w:rsid w:val="00DC5952"/>
    <w:rsid w:val="00DC5ACD"/>
    <w:rsid w:val="00DC62C1"/>
    <w:rsid w:val="00DC62C9"/>
    <w:rsid w:val="00DC6574"/>
    <w:rsid w:val="00DC65FB"/>
    <w:rsid w:val="00DC6743"/>
    <w:rsid w:val="00DC6813"/>
    <w:rsid w:val="00DC68C2"/>
    <w:rsid w:val="00DC6913"/>
    <w:rsid w:val="00DC69C3"/>
    <w:rsid w:val="00DC6A6F"/>
    <w:rsid w:val="00DC6C34"/>
    <w:rsid w:val="00DC6E36"/>
    <w:rsid w:val="00DC6F32"/>
    <w:rsid w:val="00DC7060"/>
    <w:rsid w:val="00DC706D"/>
    <w:rsid w:val="00DC7104"/>
    <w:rsid w:val="00DC715A"/>
    <w:rsid w:val="00DC7539"/>
    <w:rsid w:val="00DC76A7"/>
    <w:rsid w:val="00DC76BF"/>
    <w:rsid w:val="00DC7746"/>
    <w:rsid w:val="00DC77C3"/>
    <w:rsid w:val="00DC78D0"/>
    <w:rsid w:val="00DC790E"/>
    <w:rsid w:val="00DC7F5E"/>
    <w:rsid w:val="00DD0032"/>
    <w:rsid w:val="00DD01C5"/>
    <w:rsid w:val="00DD01D9"/>
    <w:rsid w:val="00DD06FD"/>
    <w:rsid w:val="00DD08E6"/>
    <w:rsid w:val="00DD08F9"/>
    <w:rsid w:val="00DD0911"/>
    <w:rsid w:val="00DD0AC3"/>
    <w:rsid w:val="00DD118C"/>
    <w:rsid w:val="00DD11E4"/>
    <w:rsid w:val="00DD15BE"/>
    <w:rsid w:val="00DD1858"/>
    <w:rsid w:val="00DD1D78"/>
    <w:rsid w:val="00DD1F45"/>
    <w:rsid w:val="00DD2057"/>
    <w:rsid w:val="00DD20F5"/>
    <w:rsid w:val="00DD21A1"/>
    <w:rsid w:val="00DD2360"/>
    <w:rsid w:val="00DD2365"/>
    <w:rsid w:val="00DD2409"/>
    <w:rsid w:val="00DD246C"/>
    <w:rsid w:val="00DD24B9"/>
    <w:rsid w:val="00DD2549"/>
    <w:rsid w:val="00DD2707"/>
    <w:rsid w:val="00DD2B16"/>
    <w:rsid w:val="00DD2CD1"/>
    <w:rsid w:val="00DD2D2C"/>
    <w:rsid w:val="00DD3049"/>
    <w:rsid w:val="00DD30CC"/>
    <w:rsid w:val="00DD3384"/>
    <w:rsid w:val="00DD3398"/>
    <w:rsid w:val="00DD3421"/>
    <w:rsid w:val="00DD35B8"/>
    <w:rsid w:val="00DD35EA"/>
    <w:rsid w:val="00DD36D1"/>
    <w:rsid w:val="00DD371E"/>
    <w:rsid w:val="00DD373C"/>
    <w:rsid w:val="00DD37B1"/>
    <w:rsid w:val="00DD381D"/>
    <w:rsid w:val="00DD38A9"/>
    <w:rsid w:val="00DD3A28"/>
    <w:rsid w:val="00DD3A96"/>
    <w:rsid w:val="00DD3B03"/>
    <w:rsid w:val="00DD3C49"/>
    <w:rsid w:val="00DD3D6F"/>
    <w:rsid w:val="00DD3F03"/>
    <w:rsid w:val="00DD3F5E"/>
    <w:rsid w:val="00DD3FBB"/>
    <w:rsid w:val="00DD4064"/>
    <w:rsid w:val="00DD40D5"/>
    <w:rsid w:val="00DD416E"/>
    <w:rsid w:val="00DD4175"/>
    <w:rsid w:val="00DD436D"/>
    <w:rsid w:val="00DD4404"/>
    <w:rsid w:val="00DD459E"/>
    <w:rsid w:val="00DD4741"/>
    <w:rsid w:val="00DD4AB8"/>
    <w:rsid w:val="00DD4C5A"/>
    <w:rsid w:val="00DD4CEE"/>
    <w:rsid w:val="00DD4FA1"/>
    <w:rsid w:val="00DD4FC9"/>
    <w:rsid w:val="00DD5152"/>
    <w:rsid w:val="00DD5165"/>
    <w:rsid w:val="00DD5177"/>
    <w:rsid w:val="00DD5221"/>
    <w:rsid w:val="00DD5714"/>
    <w:rsid w:val="00DD5799"/>
    <w:rsid w:val="00DD58A0"/>
    <w:rsid w:val="00DD597F"/>
    <w:rsid w:val="00DD5B27"/>
    <w:rsid w:val="00DD5BBC"/>
    <w:rsid w:val="00DD5BD8"/>
    <w:rsid w:val="00DD5D31"/>
    <w:rsid w:val="00DD5EB0"/>
    <w:rsid w:val="00DD607F"/>
    <w:rsid w:val="00DD624A"/>
    <w:rsid w:val="00DD65F4"/>
    <w:rsid w:val="00DD671B"/>
    <w:rsid w:val="00DD6851"/>
    <w:rsid w:val="00DD6BA2"/>
    <w:rsid w:val="00DD6CF4"/>
    <w:rsid w:val="00DD6EDC"/>
    <w:rsid w:val="00DD6EED"/>
    <w:rsid w:val="00DD71D0"/>
    <w:rsid w:val="00DD721F"/>
    <w:rsid w:val="00DD74DD"/>
    <w:rsid w:val="00DD7502"/>
    <w:rsid w:val="00DD7520"/>
    <w:rsid w:val="00DD7542"/>
    <w:rsid w:val="00DD7764"/>
    <w:rsid w:val="00DD7812"/>
    <w:rsid w:val="00DD7885"/>
    <w:rsid w:val="00DD79EA"/>
    <w:rsid w:val="00DD7BCA"/>
    <w:rsid w:val="00DD7DC0"/>
    <w:rsid w:val="00DD7EBE"/>
    <w:rsid w:val="00DE00AA"/>
    <w:rsid w:val="00DE01D2"/>
    <w:rsid w:val="00DE01F0"/>
    <w:rsid w:val="00DE04C5"/>
    <w:rsid w:val="00DE05F2"/>
    <w:rsid w:val="00DE0686"/>
    <w:rsid w:val="00DE083B"/>
    <w:rsid w:val="00DE091F"/>
    <w:rsid w:val="00DE0973"/>
    <w:rsid w:val="00DE09C6"/>
    <w:rsid w:val="00DE0AC8"/>
    <w:rsid w:val="00DE0B1C"/>
    <w:rsid w:val="00DE0B1D"/>
    <w:rsid w:val="00DE0B58"/>
    <w:rsid w:val="00DE0BAB"/>
    <w:rsid w:val="00DE0D36"/>
    <w:rsid w:val="00DE0D8C"/>
    <w:rsid w:val="00DE0E60"/>
    <w:rsid w:val="00DE10CA"/>
    <w:rsid w:val="00DE115C"/>
    <w:rsid w:val="00DE1328"/>
    <w:rsid w:val="00DE13A4"/>
    <w:rsid w:val="00DE1402"/>
    <w:rsid w:val="00DE164F"/>
    <w:rsid w:val="00DE1728"/>
    <w:rsid w:val="00DE18E2"/>
    <w:rsid w:val="00DE1904"/>
    <w:rsid w:val="00DE1B81"/>
    <w:rsid w:val="00DE1BA4"/>
    <w:rsid w:val="00DE1BB3"/>
    <w:rsid w:val="00DE1EAB"/>
    <w:rsid w:val="00DE1F19"/>
    <w:rsid w:val="00DE1F52"/>
    <w:rsid w:val="00DE1F7F"/>
    <w:rsid w:val="00DE21A4"/>
    <w:rsid w:val="00DE21F8"/>
    <w:rsid w:val="00DE2219"/>
    <w:rsid w:val="00DE2355"/>
    <w:rsid w:val="00DE2360"/>
    <w:rsid w:val="00DE23C6"/>
    <w:rsid w:val="00DE2435"/>
    <w:rsid w:val="00DE2442"/>
    <w:rsid w:val="00DE244D"/>
    <w:rsid w:val="00DE26AB"/>
    <w:rsid w:val="00DE27D2"/>
    <w:rsid w:val="00DE29E9"/>
    <w:rsid w:val="00DE2B8B"/>
    <w:rsid w:val="00DE2F35"/>
    <w:rsid w:val="00DE30E2"/>
    <w:rsid w:val="00DE3158"/>
    <w:rsid w:val="00DE3269"/>
    <w:rsid w:val="00DE330E"/>
    <w:rsid w:val="00DE33BF"/>
    <w:rsid w:val="00DE3626"/>
    <w:rsid w:val="00DE365F"/>
    <w:rsid w:val="00DE3723"/>
    <w:rsid w:val="00DE37A5"/>
    <w:rsid w:val="00DE381F"/>
    <w:rsid w:val="00DE3979"/>
    <w:rsid w:val="00DE3A14"/>
    <w:rsid w:val="00DE3A71"/>
    <w:rsid w:val="00DE3A9A"/>
    <w:rsid w:val="00DE3BB3"/>
    <w:rsid w:val="00DE3F00"/>
    <w:rsid w:val="00DE3F8C"/>
    <w:rsid w:val="00DE3FC9"/>
    <w:rsid w:val="00DE3FD5"/>
    <w:rsid w:val="00DE41EF"/>
    <w:rsid w:val="00DE4205"/>
    <w:rsid w:val="00DE423F"/>
    <w:rsid w:val="00DE439C"/>
    <w:rsid w:val="00DE4710"/>
    <w:rsid w:val="00DE4872"/>
    <w:rsid w:val="00DE4AE4"/>
    <w:rsid w:val="00DE4C63"/>
    <w:rsid w:val="00DE4FD3"/>
    <w:rsid w:val="00DE5140"/>
    <w:rsid w:val="00DE53DA"/>
    <w:rsid w:val="00DE54A8"/>
    <w:rsid w:val="00DE54F5"/>
    <w:rsid w:val="00DE560C"/>
    <w:rsid w:val="00DE5769"/>
    <w:rsid w:val="00DE5798"/>
    <w:rsid w:val="00DE5998"/>
    <w:rsid w:val="00DE59E8"/>
    <w:rsid w:val="00DE5B62"/>
    <w:rsid w:val="00DE5BBF"/>
    <w:rsid w:val="00DE5F55"/>
    <w:rsid w:val="00DE6029"/>
    <w:rsid w:val="00DE61A9"/>
    <w:rsid w:val="00DE62EF"/>
    <w:rsid w:val="00DE639C"/>
    <w:rsid w:val="00DE63F6"/>
    <w:rsid w:val="00DE6421"/>
    <w:rsid w:val="00DE6583"/>
    <w:rsid w:val="00DE679F"/>
    <w:rsid w:val="00DE6840"/>
    <w:rsid w:val="00DE6B02"/>
    <w:rsid w:val="00DE6CED"/>
    <w:rsid w:val="00DE6F16"/>
    <w:rsid w:val="00DE706B"/>
    <w:rsid w:val="00DE7225"/>
    <w:rsid w:val="00DE743D"/>
    <w:rsid w:val="00DE74A7"/>
    <w:rsid w:val="00DE7501"/>
    <w:rsid w:val="00DE752F"/>
    <w:rsid w:val="00DE758A"/>
    <w:rsid w:val="00DE7993"/>
    <w:rsid w:val="00DE7A34"/>
    <w:rsid w:val="00DE7CD7"/>
    <w:rsid w:val="00DE7D2D"/>
    <w:rsid w:val="00DE7DCF"/>
    <w:rsid w:val="00DE7DE2"/>
    <w:rsid w:val="00DE7EE6"/>
    <w:rsid w:val="00DE7F1B"/>
    <w:rsid w:val="00DF0647"/>
    <w:rsid w:val="00DF0689"/>
    <w:rsid w:val="00DF07FC"/>
    <w:rsid w:val="00DF0967"/>
    <w:rsid w:val="00DF0A9D"/>
    <w:rsid w:val="00DF0DDA"/>
    <w:rsid w:val="00DF0EC3"/>
    <w:rsid w:val="00DF0F10"/>
    <w:rsid w:val="00DF0F1B"/>
    <w:rsid w:val="00DF14C6"/>
    <w:rsid w:val="00DF16A5"/>
    <w:rsid w:val="00DF16C0"/>
    <w:rsid w:val="00DF174B"/>
    <w:rsid w:val="00DF17FA"/>
    <w:rsid w:val="00DF1966"/>
    <w:rsid w:val="00DF1A90"/>
    <w:rsid w:val="00DF1AA6"/>
    <w:rsid w:val="00DF1E87"/>
    <w:rsid w:val="00DF1FD6"/>
    <w:rsid w:val="00DF21A4"/>
    <w:rsid w:val="00DF27BF"/>
    <w:rsid w:val="00DF29AD"/>
    <w:rsid w:val="00DF2D1A"/>
    <w:rsid w:val="00DF2D46"/>
    <w:rsid w:val="00DF2D92"/>
    <w:rsid w:val="00DF2EC1"/>
    <w:rsid w:val="00DF2FCF"/>
    <w:rsid w:val="00DF31EE"/>
    <w:rsid w:val="00DF32DC"/>
    <w:rsid w:val="00DF341D"/>
    <w:rsid w:val="00DF3470"/>
    <w:rsid w:val="00DF359D"/>
    <w:rsid w:val="00DF37C1"/>
    <w:rsid w:val="00DF38C1"/>
    <w:rsid w:val="00DF38C4"/>
    <w:rsid w:val="00DF3A0A"/>
    <w:rsid w:val="00DF3A42"/>
    <w:rsid w:val="00DF3A4D"/>
    <w:rsid w:val="00DF3B71"/>
    <w:rsid w:val="00DF3DFB"/>
    <w:rsid w:val="00DF3E32"/>
    <w:rsid w:val="00DF3E8B"/>
    <w:rsid w:val="00DF3EEE"/>
    <w:rsid w:val="00DF3EF7"/>
    <w:rsid w:val="00DF3FF4"/>
    <w:rsid w:val="00DF40AD"/>
    <w:rsid w:val="00DF40C0"/>
    <w:rsid w:val="00DF4333"/>
    <w:rsid w:val="00DF437D"/>
    <w:rsid w:val="00DF4440"/>
    <w:rsid w:val="00DF4487"/>
    <w:rsid w:val="00DF46F0"/>
    <w:rsid w:val="00DF47B0"/>
    <w:rsid w:val="00DF4847"/>
    <w:rsid w:val="00DF49F0"/>
    <w:rsid w:val="00DF4D03"/>
    <w:rsid w:val="00DF4EF7"/>
    <w:rsid w:val="00DF5020"/>
    <w:rsid w:val="00DF50E6"/>
    <w:rsid w:val="00DF5255"/>
    <w:rsid w:val="00DF5385"/>
    <w:rsid w:val="00DF548B"/>
    <w:rsid w:val="00DF5B8F"/>
    <w:rsid w:val="00DF5BC7"/>
    <w:rsid w:val="00DF5D71"/>
    <w:rsid w:val="00DF5E67"/>
    <w:rsid w:val="00DF5F9B"/>
    <w:rsid w:val="00DF6933"/>
    <w:rsid w:val="00DF6A69"/>
    <w:rsid w:val="00DF6A92"/>
    <w:rsid w:val="00DF6AF3"/>
    <w:rsid w:val="00DF6F6B"/>
    <w:rsid w:val="00DF70B9"/>
    <w:rsid w:val="00DF70CC"/>
    <w:rsid w:val="00DF7110"/>
    <w:rsid w:val="00DF731F"/>
    <w:rsid w:val="00DF7325"/>
    <w:rsid w:val="00DF7361"/>
    <w:rsid w:val="00DF743C"/>
    <w:rsid w:val="00DF744F"/>
    <w:rsid w:val="00DF7637"/>
    <w:rsid w:val="00DF7A83"/>
    <w:rsid w:val="00DF7BB1"/>
    <w:rsid w:val="00DF7CF6"/>
    <w:rsid w:val="00DF7D50"/>
    <w:rsid w:val="00DF7FB7"/>
    <w:rsid w:val="00E0001E"/>
    <w:rsid w:val="00E00064"/>
    <w:rsid w:val="00E0017C"/>
    <w:rsid w:val="00E00301"/>
    <w:rsid w:val="00E00392"/>
    <w:rsid w:val="00E00470"/>
    <w:rsid w:val="00E0083B"/>
    <w:rsid w:val="00E00852"/>
    <w:rsid w:val="00E008B5"/>
    <w:rsid w:val="00E00BEF"/>
    <w:rsid w:val="00E00D0A"/>
    <w:rsid w:val="00E00DDE"/>
    <w:rsid w:val="00E00E0A"/>
    <w:rsid w:val="00E00F07"/>
    <w:rsid w:val="00E00F0B"/>
    <w:rsid w:val="00E00F0D"/>
    <w:rsid w:val="00E00FFA"/>
    <w:rsid w:val="00E012B0"/>
    <w:rsid w:val="00E013A8"/>
    <w:rsid w:val="00E0144E"/>
    <w:rsid w:val="00E01465"/>
    <w:rsid w:val="00E014EA"/>
    <w:rsid w:val="00E0151A"/>
    <w:rsid w:val="00E017CF"/>
    <w:rsid w:val="00E01B4B"/>
    <w:rsid w:val="00E01B57"/>
    <w:rsid w:val="00E01D22"/>
    <w:rsid w:val="00E01F0E"/>
    <w:rsid w:val="00E021B6"/>
    <w:rsid w:val="00E02371"/>
    <w:rsid w:val="00E02394"/>
    <w:rsid w:val="00E02413"/>
    <w:rsid w:val="00E02668"/>
    <w:rsid w:val="00E02797"/>
    <w:rsid w:val="00E02C7F"/>
    <w:rsid w:val="00E02CCD"/>
    <w:rsid w:val="00E02D4A"/>
    <w:rsid w:val="00E02E24"/>
    <w:rsid w:val="00E02FDA"/>
    <w:rsid w:val="00E02FED"/>
    <w:rsid w:val="00E03258"/>
    <w:rsid w:val="00E0374D"/>
    <w:rsid w:val="00E0375B"/>
    <w:rsid w:val="00E0375D"/>
    <w:rsid w:val="00E03840"/>
    <w:rsid w:val="00E039AF"/>
    <w:rsid w:val="00E03A64"/>
    <w:rsid w:val="00E03DD3"/>
    <w:rsid w:val="00E03F0D"/>
    <w:rsid w:val="00E0400F"/>
    <w:rsid w:val="00E040A0"/>
    <w:rsid w:val="00E04107"/>
    <w:rsid w:val="00E041E4"/>
    <w:rsid w:val="00E04205"/>
    <w:rsid w:val="00E04405"/>
    <w:rsid w:val="00E0458E"/>
    <w:rsid w:val="00E045E6"/>
    <w:rsid w:val="00E04664"/>
    <w:rsid w:val="00E04670"/>
    <w:rsid w:val="00E0469F"/>
    <w:rsid w:val="00E04721"/>
    <w:rsid w:val="00E04971"/>
    <w:rsid w:val="00E04CA0"/>
    <w:rsid w:val="00E04D2F"/>
    <w:rsid w:val="00E05386"/>
    <w:rsid w:val="00E053B8"/>
    <w:rsid w:val="00E0580F"/>
    <w:rsid w:val="00E05BCD"/>
    <w:rsid w:val="00E05C4F"/>
    <w:rsid w:val="00E05D38"/>
    <w:rsid w:val="00E05E2D"/>
    <w:rsid w:val="00E05E7F"/>
    <w:rsid w:val="00E05EC8"/>
    <w:rsid w:val="00E05EDF"/>
    <w:rsid w:val="00E05FBC"/>
    <w:rsid w:val="00E05FF8"/>
    <w:rsid w:val="00E060D8"/>
    <w:rsid w:val="00E0612F"/>
    <w:rsid w:val="00E0619A"/>
    <w:rsid w:val="00E061E3"/>
    <w:rsid w:val="00E062D7"/>
    <w:rsid w:val="00E0647B"/>
    <w:rsid w:val="00E064E6"/>
    <w:rsid w:val="00E06681"/>
    <w:rsid w:val="00E066FB"/>
    <w:rsid w:val="00E067A4"/>
    <w:rsid w:val="00E06A3F"/>
    <w:rsid w:val="00E06BD0"/>
    <w:rsid w:val="00E06CAD"/>
    <w:rsid w:val="00E06D87"/>
    <w:rsid w:val="00E06F51"/>
    <w:rsid w:val="00E07018"/>
    <w:rsid w:val="00E071DA"/>
    <w:rsid w:val="00E0727C"/>
    <w:rsid w:val="00E07291"/>
    <w:rsid w:val="00E074A0"/>
    <w:rsid w:val="00E0776F"/>
    <w:rsid w:val="00E0787C"/>
    <w:rsid w:val="00E078F5"/>
    <w:rsid w:val="00E0797A"/>
    <w:rsid w:val="00E07A5A"/>
    <w:rsid w:val="00E07D8A"/>
    <w:rsid w:val="00E07DC0"/>
    <w:rsid w:val="00E07DF0"/>
    <w:rsid w:val="00E07F9A"/>
    <w:rsid w:val="00E10028"/>
    <w:rsid w:val="00E101E2"/>
    <w:rsid w:val="00E10256"/>
    <w:rsid w:val="00E103BD"/>
    <w:rsid w:val="00E10447"/>
    <w:rsid w:val="00E1046F"/>
    <w:rsid w:val="00E104E8"/>
    <w:rsid w:val="00E105FE"/>
    <w:rsid w:val="00E10890"/>
    <w:rsid w:val="00E10946"/>
    <w:rsid w:val="00E10A1D"/>
    <w:rsid w:val="00E10B2E"/>
    <w:rsid w:val="00E10B7D"/>
    <w:rsid w:val="00E111E2"/>
    <w:rsid w:val="00E11630"/>
    <w:rsid w:val="00E11A6A"/>
    <w:rsid w:val="00E11B81"/>
    <w:rsid w:val="00E11C13"/>
    <w:rsid w:val="00E11C97"/>
    <w:rsid w:val="00E11D20"/>
    <w:rsid w:val="00E11E64"/>
    <w:rsid w:val="00E11FDC"/>
    <w:rsid w:val="00E1211E"/>
    <w:rsid w:val="00E12126"/>
    <w:rsid w:val="00E12194"/>
    <w:rsid w:val="00E125D6"/>
    <w:rsid w:val="00E1269D"/>
    <w:rsid w:val="00E1275D"/>
    <w:rsid w:val="00E12835"/>
    <w:rsid w:val="00E12A77"/>
    <w:rsid w:val="00E130F5"/>
    <w:rsid w:val="00E132BB"/>
    <w:rsid w:val="00E136B2"/>
    <w:rsid w:val="00E137E8"/>
    <w:rsid w:val="00E13B64"/>
    <w:rsid w:val="00E13C0E"/>
    <w:rsid w:val="00E13F0A"/>
    <w:rsid w:val="00E13FEF"/>
    <w:rsid w:val="00E140DC"/>
    <w:rsid w:val="00E1412B"/>
    <w:rsid w:val="00E142CB"/>
    <w:rsid w:val="00E14317"/>
    <w:rsid w:val="00E1449C"/>
    <w:rsid w:val="00E147EC"/>
    <w:rsid w:val="00E147EE"/>
    <w:rsid w:val="00E14A19"/>
    <w:rsid w:val="00E14C63"/>
    <w:rsid w:val="00E14DE0"/>
    <w:rsid w:val="00E15023"/>
    <w:rsid w:val="00E15148"/>
    <w:rsid w:val="00E154A9"/>
    <w:rsid w:val="00E1552F"/>
    <w:rsid w:val="00E1562D"/>
    <w:rsid w:val="00E15672"/>
    <w:rsid w:val="00E15920"/>
    <w:rsid w:val="00E15925"/>
    <w:rsid w:val="00E15A59"/>
    <w:rsid w:val="00E161B9"/>
    <w:rsid w:val="00E1645E"/>
    <w:rsid w:val="00E165BB"/>
    <w:rsid w:val="00E1673D"/>
    <w:rsid w:val="00E168F9"/>
    <w:rsid w:val="00E16A43"/>
    <w:rsid w:val="00E16BE1"/>
    <w:rsid w:val="00E16C4D"/>
    <w:rsid w:val="00E172DA"/>
    <w:rsid w:val="00E1731C"/>
    <w:rsid w:val="00E175F1"/>
    <w:rsid w:val="00E1768B"/>
    <w:rsid w:val="00E177ED"/>
    <w:rsid w:val="00E17847"/>
    <w:rsid w:val="00E179AF"/>
    <w:rsid w:val="00E17A89"/>
    <w:rsid w:val="00E17A95"/>
    <w:rsid w:val="00E17B34"/>
    <w:rsid w:val="00E17B7E"/>
    <w:rsid w:val="00E17B9B"/>
    <w:rsid w:val="00E17D7B"/>
    <w:rsid w:val="00E17DF5"/>
    <w:rsid w:val="00E20051"/>
    <w:rsid w:val="00E20120"/>
    <w:rsid w:val="00E20257"/>
    <w:rsid w:val="00E204E5"/>
    <w:rsid w:val="00E206D0"/>
    <w:rsid w:val="00E20705"/>
    <w:rsid w:val="00E208BB"/>
    <w:rsid w:val="00E20936"/>
    <w:rsid w:val="00E20AA1"/>
    <w:rsid w:val="00E20C0E"/>
    <w:rsid w:val="00E20CD5"/>
    <w:rsid w:val="00E20EE4"/>
    <w:rsid w:val="00E20FBC"/>
    <w:rsid w:val="00E2100A"/>
    <w:rsid w:val="00E210CA"/>
    <w:rsid w:val="00E211BA"/>
    <w:rsid w:val="00E2134F"/>
    <w:rsid w:val="00E213A7"/>
    <w:rsid w:val="00E214BB"/>
    <w:rsid w:val="00E2155D"/>
    <w:rsid w:val="00E21613"/>
    <w:rsid w:val="00E2177F"/>
    <w:rsid w:val="00E218AF"/>
    <w:rsid w:val="00E21A11"/>
    <w:rsid w:val="00E21A7C"/>
    <w:rsid w:val="00E21C1B"/>
    <w:rsid w:val="00E21DE1"/>
    <w:rsid w:val="00E21F2E"/>
    <w:rsid w:val="00E22082"/>
    <w:rsid w:val="00E22105"/>
    <w:rsid w:val="00E22223"/>
    <w:rsid w:val="00E225F5"/>
    <w:rsid w:val="00E22635"/>
    <w:rsid w:val="00E2267B"/>
    <w:rsid w:val="00E226E8"/>
    <w:rsid w:val="00E227EA"/>
    <w:rsid w:val="00E2296F"/>
    <w:rsid w:val="00E22C79"/>
    <w:rsid w:val="00E22D4E"/>
    <w:rsid w:val="00E22D9D"/>
    <w:rsid w:val="00E22F57"/>
    <w:rsid w:val="00E2314D"/>
    <w:rsid w:val="00E23239"/>
    <w:rsid w:val="00E23308"/>
    <w:rsid w:val="00E23426"/>
    <w:rsid w:val="00E23660"/>
    <w:rsid w:val="00E236E3"/>
    <w:rsid w:val="00E23734"/>
    <w:rsid w:val="00E23789"/>
    <w:rsid w:val="00E23994"/>
    <w:rsid w:val="00E23B41"/>
    <w:rsid w:val="00E24062"/>
    <w:rsid w:val="00E24194"/>
    <w:rsid w:val="00E245E6"/>
    <w:rsid w:val="00E24661"/>
    <w:rsid w:val="00E24759"/>
    <w:rsid w:val="00E249A1"/>
    <w:rsid w:val="00E249C9"/>
    <w:rsid w:val="00E249CC"/>
    <w:rsid w:val="00E249F3"/>
    <w:rsid w:val="00E24B9C"/>
    <w:rsid w:val="00E24BB3"/>
    <w:rsid w:val="00E24BF4"/>
    <w:rsid w:val="00E24D99"/>
    <w:rsid w:val="00E251D7"/>
    <w:rsid w:val="00E256FF"/>
    <w:rsid w:val="00E25951"/>
    <w:rsid w:val="00E25B25"/>
    <w:rsid w:val="00E25C31"/>
    <w:rsid w:val="00E25EE4"/>
    <w:rsid w:val="00E26073"/>
    <w:rsid w:val="00E26166"/>
    <w:rsid w:val="00E2623B"/>
    <w:rsid w:val="00E264A6"/>
    <w:rsid w:val="00E2700B"/>
    <w:rsid w:val="00E2703D"/>
    <w:rsid w:val="00E27137"/>
    <w:rsid w:val="00E2718E"/>
    <w:rsid w:val="00E272A6"/>
    <w:rsid w:val="00E27393"/>
    <w:rsid w:val="00E274DD"/>
    <w:rsid w:val="00E275FF"/>
    <w:rsid w:val="00E2761D"/>
    <w:rsid w:val="00E27652"/>
    <w:rsid w:val="00E27919"/>
    <w:rsid w:val="00E27BEF"/>
    <w:rsid w:val="00E27C0E"/>
    <w:rsid w:val="00E27C6B"/>
    <w:rsid w:val="00E27CC4"/>
    <w:rsid w:val="00E27D25"/>
    <w:rsid w:val="00E27D38"/>
    <w:rsid w:val="00E30170"/>
    <w:rsid w:val="00E301A2"/>
    <w:rsid w:val="00E3036F"/>
    <w:rsid w:val="00E30459"/>
    <w:rsid w:val="00E304A5"/>
    <w:rsid w:val="00E305DA"/>
    <w:rsid w:val="00E306B0"/>
    <w:rsid w:val="00E30B67"/>
    <w:rsid w:val="00E30C81"/>
    <w:rsid w:val="00E30DDA"/>
    <w:rsid w:val="00E30DDB"/>
    <w:rsid w:val="00E311DF"/>
    <w:rsid w:val="00E31282"/>
    <w:rsid w:val="00E31326"/>
    <w:rsid w:val="00E313EB"/>
    <w:rsid w:val="00E3158A"/>
    <w:rsid w:val="00E315D5"/>
    <w:rsid w:val="00E31A1E"/>
    <w:rsid w:val="00E31A86"/>
    <w:rsid w:val="00E31AB1"/>
    <w:rsid w:val="00E31B55"/>
    <w:rsid w:val="00E31B9C"/>
    <w:rsid w:val="00E31BE2"/>
    <w:rsid w:val="00E31C73"/>
    <w:rsid w:val="00E31CAE"/>
    <w:rsid w:val="00E31E12"/>
    <w:rsid w:val="00E31FE9"/>
    <w:rsid w:val="00E3207E"/>
    <w:rsid w:val="00E32184"/>
    <w:rsid w:val="00E322A1"/>
    <w:rsid w:val="00E32322"/>
    <w:rsid w:val="00E323FB"/>
    <w:rsid w:val="00E32406"/>
    <w:rsid w:val="00E3243A"/>
    <w:rsid w:val="00E32606"/>
    <w:rsid w:val="00E32640"/>
    <w:rsid w:val="00E3264A"/>
    <w:rsid w:val="00E32651"/>
    <w:rsid w:val="00E32694"/>
    <w:rsid w:val="00E327E0"/>
    <w:rsid w:val="00E328B7"/>
    <w:rsid w:val="00E329F7"/>
    <w:rsid w:val="00E32BCA"/>
    <w:rsid w:val="00E32C18"/>
    <w:rsid w:val="00E32EA3"/>
    <w:rsid w:val="00E32F23"/>
    <w:rsid w:val="00E32F34"/>
    <w:rsid w:val="00E33392"/>
    <w:rsid w:val="00E33694"/>
    <w:rsid w:val="00E337B4"/>
    <w:rsid w:val="00E338B1"/>
    <w:rsid w:val="00E338FF"/>
    <w:rsid w:val="00E33944"/>
    <w:rsid w:val="00E33BF3"/>
    <w:rsid w:val="00E33C58"/>
    <w:rsid w:val="00E33D15"/>
    <w:rsid w:val="00E34219"/>
    <w:rsid w:val="00E3421A"/>
    <w:rsid w:val="00E34229"/>
    <w:rsid w:val="00E343A3"/>
    <w:rsid w:val="00E343C9"/>
    <w:rsid w:val="00E3441B"/>
    <w:rsid w:val="00E34484"/>
    <w:rsid w:val="00E34503"/>
    <w:rsid w:val="00E34715"/>
    <w:rsid w:val="00E34727"/>
    <w:rsid w:val="00E34927"/>
    <w:rsid w:val="00E34983"/>
    <w:rsid w:val="00E34A17"/>
    <w:rsid w:val="00E34E68"/>
    <w:rsid w:val="00E34EAB"/>
    <w:rsid w:val="00E35127"/>
    <w:rsid w:val="00E35210"/>
    <w:rsid w:val="00E3543A"/>
    <w:rsid w:val="00E354C2"/>
    <w:rsid w:val="00E355D7"/>
    <w:rsid w:val="00E35676"/>
    <w:rsid w:val="00E35870"/>
    <w:rsid w:val="00E358D2"/>
    <w:rsid w:val="00E358F6"/>
    <w:rsid w:val="00E35A7E"/>
    <w:rsid w:val="00E35B26"/>
    <w:rsid w:val="00E35B4D"/>
    <w:rsid w:val="00E35DDE"/>
    <w:rsid w:val="00E35DE5"/>
    <w:rsid w:val="00E3611B"/>
    <w:rsid w:val="00E361A5"/>
    <w:rsid w:val="00E36373"/>
    <w:rsid w:val="00E365B1"/>
    <w:rsid w:val="00E36603"/>
    <w:rsid w:val="00E36858"/>
    <w:rsid w:val="00E36893"/>
    <w:rsid w:val="00E36B1F"/>
    <w:rsid w:val="00E36D17"/>
    <w:rsid w:val="00E36F13"/>
    <w:rsid w:val="00E37104"/>
    <w:rsid w:val="00E37171"/>
    <w:rsid w:val="00E3725D"/>
    <w:rsid w:val="00E37424"/>
    <w:rsid w:val="00E375AA"/>
    <w:rsid w:val="00E3767E"/>
    <w:rsid w:val="00E376E9"/>
    <w:rsid w:val="00E3771B"/>
    <w:rsid w:val="00E37B15"/>
    <w:rsid w:val="00E37BC9"/>
    <w:rsid w:val="00E40037"/>
    <w:rsid w:val="00E40038"/>
    <w:rsid w:val="00E40301"/>
    <w:rsid w:val="00E40435"/>
    <w:rsid w:val="00E404A7"/>
    <w:rsid w:val="00E40541"/>
    <w:rsid w:val="00E4070F"/>
    <w:rsid w:val="00E40731"/>
    <w:rsid w:val="00E407B6"/>
    <w:rsid w:val="00E40873"/>
    <w:rsid w:val="00E40B03"/>
    <w:rsid w:val="00E40B3F"/>
    <w:rsid w:val="00E40BE0"/>
    <w:rsid w:val="00E40E07"/>
    <w:rsid w:val="00E40E75"/>
    <w:rsid w:val="00E40E80"/>
    <w:rsid w:val="00E40F00"/>
    <w:rsid w:val="00E41088"/>
    <w:rsid w:val="00E410C9"/>
    <w:rsid w:val="00E41104"/>
    <w:rsid w:val="00E41234"/>
    <w:rsid w:val="00E4127C"/>
    <w:rsid w:val="00E412C4"/>
    <w:rsid w:val="00E414F8"/>
    <w:rsid w:val="00E41550"/>
    <w:rsid w:val="00E41626"/>
    <w:rsid w:val="00E41816"/>
    <w:rsid w:val="00E418B8"/>
    <w:rsid w:val="00E419ED"/>
    <w:rsid w:val="00E420CE"/>
    <w:rsid w:val="00E42159"/>
    <w:rsid w:val="00E422EB"/>
    <w:rsid w:val="00E4239E"/>
    <w:rsid w:val="00E424B3"/>
    <w:rsid w:val="00E4280D"/>
    <w:rsid w:val="00E428A5"/>
    <w:rsid w:val="00E42AD0"/>
    <w:rsid w:val="00E42AF6"/>
    <w:rsid w:val="00E42B76"/>
    <w:rsid w:val="00E42F49"/>
    <w:rsid w:val="00E431A7"/>
    <w:rsid w:val="00E432CC"/>
    <w:rsid w:val="00E43595"/>
    <w:rsid w:val="00E437F0"/>
    <w:rsid w:val="00E4393C"/>
    <w:rsid w:val="00E43988"/>
    <w:rsid w:val="00E43AF5"/>
    <w:rsid w:val="00E43B49"/>
    <w:rsid w:val="00E43BA1"/>
    <w:rsid w:val="00E43C9F"/>
    <w:rsid w:val="00E43F51"/>
    <w:rsid w:val="00E44110"/>
    <w:rsid w:val="00E44202"/>
    <w:rsid w:val="00E442DE"/>
    <w:rsid w:val="00E44322"/>
    <w:rsid w:val="00E444C8"/>
    <w:rsid w:val="00E444E3"/>
    <w:rsid w:val="00E44929"/>
    <w:rsid w:val="00E44B83"/>
    <w:rsid w:val="00E44C0B"/>
    <w:rsid w:val="00E44CB6"/>
    <w:rsid w:val="00E44DD4"/>
    <w:rsid w:val="00E44E18"/>
    <w:rsid w:val="00E44FD7"/>
    <w:rsid w:val="00E4500B"/>
    <w:rsid w:val="00E45180"/>
    <w:rsid w:val="00E451BA"/>
    <w:rsid w:val="00E45305"/>
    <w:rsid w:val="00E45427"/>
    <w:rsid w:val="00E454E9"/>
    <w:rsid w:val="00E45593"/>
    <w:rsid w:val="00E45688"/>
    <w:rsid w:val="00E4585B"/>
    <w:rsid w:val="00E458C7"/>
    <w:rsid w:val="00E45B88"/>
    <w:rsid w:val="00E45E0C"/>
    <w:rsid w:val="00E45E14"/>
    <w:rsid w:val="00E45E7E"/>
    <w:rsid w:val="00E45ECC"/>
    <w:rsid w:val="00E45EDD"/>
    <w:rsid w:val="00E45FF9"/>
    <w:rsid w:val="00E46125"/>
    <w:rsid w:val="00E462BB"/>
    <w:rsid w:val="00E46533"/>
    <w:rsid w:val="00E467C2"/>
    <w:rsid w:val="00E46AC9"/>
    <w:rsid w:val="00E46C19"/>
    <w:rsid w:val="00E46DCF"/>
    <w:rsid w:val="00E46EE9"/>
    <w:rsid w:val="00E470A6"/>
    <w:rsid w:val="00E47338"/>
    <w:rsid w:val="00E47368"/>
    <w:rsid w:val="00E47662"/>
    <w:rsid w:val="00E477A6"/>
    <w:rsid w:val="00E477C4"/>
    <w:rsid w:val="00E47852"/>
    <w:rsid w:val="00E47993"/>
    <w:rsid w:val="00E47D3A"/>
    <w:rsid w:val="00E47EFA"/>
    <w:rsid w:val="00E47FB6"/>
    <w:rsid w:val="00E5011B"/>
    <w:rsid w:val="00E50234"/>
    <w:rsid w:val="00E50858"/>
    <w:rsid w:val="00E50B01"/>
    <w:rsid w:val="00E50B7A"/>
    <w:rsid w:val="00E50EE6"/>
    <w:rsid w:val="00E510CA"/>
    <w:rsid w:val="00E51156"/>
    <w:rsid w:val="00E5128F"/>
    <w:rsid w:val="00E512D9"/>
    <w:rsid w:val="00E5148F"/>
    <w:rsid w:val="00E516C5"/>
    <w:rsid w:val="00E5182E"/>
    <w:rsid w:val="00E51989"/>
    <w:rsid w:val="00E51B7E"/>
    <w:rsid w:val="00E51B8A"/>
    <w:rsid w:val="00E51E9C"/>
    <w:rsid w:val="00E51EDA"/>
    <w:rsid w:val="00E51F24"/>
    <w:rsid w:val="00E524E5"/>
    <w:rsid w:val="00E52605"/>
    <w:rsid w:val="00E52644"/>
    <w:rsid w:val="00E527AD"/>
    <w:rsid w:val="00E527D9"/>
    <w:rsid w:val="00E52A0A"/>
    <w:rsid w:val="00E52BE6"/>
    <w:rsid w:val="00E52DAB"/>
    <w:rsid w:val="00E52F15"/>
    <w:rsid w:val="00E52FB3"/>
    <w:rsid w:val="00E53407"/>
    <w:rsid w:val="00E534BE"/>
    <w:rsid w:val="00E5388E"/>
    <w:rsid w:val="00E538F1"/>
    <w:rsid w:val="00E53AB3"/>
    <w:rsid w:val="00E53C51"/>
    <w:rsid w:val="00E53DB6"/>
    <w:rsid w:val="00E53E47"/>
    <w:rsid w:val="00E53E7F"/>
    <w:rsid w:val="00E53F79"/>
    <w:rsid w:val="00E54053"/>
    <w:rsid w:val="00E541A4"/>
    <w:rsid w:val="00E5425B"/>
    <w:rsid w:val="00E54294"/>
    <w:rsid w:val="00E54799"/>
    <w:rsid w:val="00E54988"/>
    <w:rsid w:val="00E54AC3"/>
    <w:rsid w:val="00E54ACA"/>
    <w:rsid w:val="00E54BD2"/>
    <w:rsid w:val="00E54E66"/>
    <w:rsid w:val="00E54EBB"/>
    <w:rsid w:val="00E54ECF"/>
    <w:rsid w:val="00E54FB3"/>
    <w:rsid w:val="00E55082"/>
    <w:rsid w:val="00E552E2"/>
    <w:rsid w:val="00E55386"/>
    <w:rsid w:val="00E5540A"/>
    <w:rsid w:val="00E555FE"/>
    <w:rsid w:val="00E556BD"/>
    <w:rsid w:val="00E5588F"/>
    <w:rsid w:val="00E55904"/>
    <w:rsid w:val="00E55A15"/>
    <w:rsid w:val="00E55DF3"/>
    <w:rsid w:val="00E55E44"/>
    <w:rsid w:val="00E55E72"/>
    <w:rsid w:val="00E561F8"/>
    <w:rsid w:val="00E56200"/>
    <w:rsid w:val="00E5642B"/>
    <w:rsid w:val="00E56510"/>
    <w:rsid w:val="00E56565"/>
    <w:rsid w:val="00E568BF"/>
    <w:rsid w:val="00E569BD"/>
    <w:rsid w:val="00E56AF1"/>
    <w:rsid w:val="00E56EF7"/>
    <w:rsid w:val="00E57521"/>
    <w:rsid w:val="00E575DD"/>
    <w:rsid w:val="00E57633"/>
    <w:rsid w:val="00E5779B"/>
    <w:rsid w:val="00E5791D"/>
    <w:rsid w:val="00E57BA1"/>
    <w:rsid w:val="00E57D48"/>
    <w:rsid w:val="00E57DE9"/>
    <w:rsid w:val="00E57E70"/>
    <w:rsid w:val="00E57F8F"/>
    <w:rsid w:val="00E60005"/>
    <w:rsid w:val="00E60189"/>
    <w:rsid w:val="00E601F3"/>
    <w:rsid w:val="00E602C1"/>
    <w:rsid w:val="00E6034E"/>
    <w:rsid w:val="00E604D0"/>
    <w:rsid w:val="00E60616"/>
    <w:rsid w:val="00E606D4"/>
    <w:rsid w:val="00E60A2F"/>
    <w:rsid w:val="00E60BE4"/>
    <w:rsid w:val="00E60C22"/>
    <w:rsid w:val="00E60E95"/>
    <w:rsid w:val="00E60F35"/>
    <w:rsid w:val="00E60FBA"/>
    <w:rsid w:val="00E60FEE"/>
    <w:rsid w:val="00E61489"/>
    <w:rsid w:val="00E6157A"/>
    <w:rsid w:val="00E615A8"/>
    <w:rsid w:val="00E61755"/>
    <w:rsid w:val="00E617A4"/>
    <w:rsid w:val="00E61826"/>
    <w:rsid w:val="00E61AAC"/>
    <w:rsid w:val="00E61B20"/>
    <w:rsid w:val="00E61BA6"/>
    <w:rsid w:val="00E61C4E"/>
    <w:rsid w:val="00E61E16"/>
    <w:rsid w:val="00E61F5E"/>
    <w:rsid w:val="00E61FFF"/>
    <w:rsid w:val="00E622F1"/>
    <w:rsid w:val="00E623B0"/>
    <w:rsid w:val="00E627E3"/>
    <w:rsid w:val="00E628DC"/>
    <w:rsid w:val="00E629F8"/>
    <w:rsid w:val="00E62BE3"/>
    <w:rsid w:val="00E62CB9"/>
    <w:rsid w:val="00E6346D"/>
    <w:rsid w:val="00E635B3"/>
    <w:rsid w:val="00E6385D"/>
    <w:rsid w:val="00E63A85"/>
    <w:rsid w:val="00E63E74"/>
    <w:rsid w:val="00E63EC1"/>
    <w:rsid w:val="00E64002"/>
    <w:rsid w:val="00E640BA"/>
    <w:rsid w:val="00E6412D"/>
    <w:rsid w:val="00E64518"/>
    <w:rsid w:val="00E64A83"/>
    <w:rsid w:val="00E64BB0"/>
    <w:rsid w:val="00E64DB7"/>
    <w:rsid w:val="00E65110"/>
    <w:rsid w:val="00E651F7"/>
    <w:rsid w:val="00E6540C"/>
    <w:rsid w:val="00E65545"/>
    <w:rsid w:val="00E65875"/>
    <w:rsid w:val="00E6588B"/>
    <w:rsid w:val="00E65A56"/>
    <w:rsid w:val="00E65AA4"/>
    <w:rsid w:val="00E65BBC"/>
    <w:rsid w:val="00E65BEA"/>
    <w:rsid w:val="00E65C0D"/>
    <w:rsid w:val="00E65FF4"/>
    <w:rsid w:val="00E66011"/>
    <w:rsid w:val="00E6636C"/>
    <w:rsid w:val="00E663BA"/>
    <w:rsid w:val="00E66451"/>
    <w:rsid w:val="00E66614"/>
    <w:rsid w:val="00E66650"/>
    <w:rsid w:val="00E666B5"/>
    <w:rsid w:val="00E666BA"/>
    <w:rsid w:val="00E66729"/>
    <w:rsid w:val="00E66731"/>
    <w:rsid w:val="00E668CB"/>
    <w:rsid w:val="00E66924"/>
    <w:rsid w:val="00E66C5A"/>
    <w:rsid w:val="00E66CFB"/>
    <w:rsid w:val="00E66D6E"/>
    <w:rsid w:val="00E66D85"/>
    <w:rsid w:val="00E66DC1"/>
    <w:rsid w:val="00E670E7"/>
    <w:rsid w:val="00E67318"/>
    <w:rsid w:val="00E67379"/>
    <w:rsid w:val="00E67666"/>
    <w:rsid w:val="00E677E3"/>
    <w:rsid w:val="00E678E2"/>
    <w:rsid w:val="00E67B23"/>
    <w:rsid w:val="00E67C79"/>
    <w:rsid w:val="00E704E7"/>
    <w:rsid w:val="00E7065F"/>
    <w:rsid w:val="00E70AE4"/>
    <w:rsid w:val="00E70CC7"/>
    <w:rsid w:val="00E70ECF"/>
    <w:rsid w:val="00E7105E"/>
    <w:rsid w:val="00E715BA"/>
    <w:rsid w:val="00E7176C"/>
    <w:rsid w:val="00E718C5"/>
    <w:rsid w:val="00E71985"/>
    <w:rsid w:val="00E71CD2"/>
    <w:rsid w:val="00E71CEB"/>
    <w:rsid w:val="00E71EB2"/>
    <w:rsid w:val="00E71F58"/>
    <w:rsid w:val="00E72112"/>
    <w:rsid w:val="00E721AF"/>
    <w:rsid w:val="00E7224B"/>
    <w:rsid w:val="00E7228D"/>
    <w:rsid w:val="00E72341"/>
    <w:rsid w:val="00E7235B"/>
    <w:rsid w:val="00E7259F"/>
    <w:rsid w:val="00E726A1"/>
    <w:rsid w:val="00E72821"/>
    <w:rsid w:val="00E7296F"/>
    <w:rsid w:val="00E72AF5"/>
    <w:rsid w:val="00E72BE4"/>
    <w:rsid w:val="00E731AB"/>
    <w:rsid w:val="00E7337C"/>
    <w:rsid w:val="00E733B4"/>
    <w:rsid w:val="00E733F5"/>
    <w:rsid w:val="00E734AC"/>
    <w:rsid w:val="00E7398B"/>
    <w:rsid w:val="00E739C1"/>
    <w:rsid w:val="00E73A32"/>
    <w:rsid w:val="00E73B62"/>
    <w:rsid w:val="00E73E29"/>
    <w:rsid w:val="00E73E40"/>
    <w:rsid w:val="00E74154"/>
    <w:rsid w:val="00E74168"/>
    <w:rsid w:val="00E74194"/>
    <w:rsid w:val="00E74674"/>
    <w:rsid w:val="00E74953"/>
    <w:rsid w:val="00E74966"/>
    <w:rsid w:val="00E74ADE"/>
    <w:rsid w:val="00E74D35"/>
    <w:rsid w:val="00E7502E"/>
    <w:rsid w:val="00E7532D"/>
    <w:rsid w:val="00E753BE"/>
    <w:rsid w:val="00E755FF"/>
    <w:rsid w:val="00E75630"/>
    <w:rsid w:val="00E75716"/>
    <w:rsid w:val="00E75781"/>
    <w:rsid w:val="00E75F34"/>
    <w:rsid w:val="00E76499"/>
    <w:rsid w:val="00E769B4"/>
    <w:rsid w:val="00E76A74"/>
    <w:rsid w:val="00E76BC8"/>
    <w:rsid w:val="00E76C90"/>
    <w:rsid w:val="00E76EB5"/>
    <w:rsid w:val="00E77115"/>
    <w:rsid w:val="00E77200"/>
    <w:rsid w:val="00E77559"/>
    <w:rsid w:val="00E7765B"/>
    <w:rsid w:val="00E77B90"/>
    <w:rsid w:val="00E77C99"/>
    <w:rsid w:val="00E80035"/>
    <w:rsid w:val="00E8003F"/>
    <w:rsid w:val="00E80420"/>
    <w:rsid w:val="00E805D4"/>
    <w:rsid w:val="00E80910"/>
    <w:rsid w:val="00E80942"/>
    <w:rsid w:val="00E80AA8"/>
    <w:rsid w:val="00E80AAE"/>
    <w:rsid w:val="00E80BB7"/>
    <w:rsid w:val="00E80E83"/>
    <w:rsid w:val="00E80EF1"/>
    <w:rsid w:val="00E80F12"/>
    <w:rsid w:val="00E8111A"/>
    <w:rsid w:val="00E81121"/>
    <w:rsid w:val="00E81379"/>
    <w:rsid w:val="00E814D8"/>
    <w:rsid w:val="00E81566"/>
    <w:rsid w:val="00E816FC"/>
    <w:rsid w:val="00E81781"/>
    <w:rsid w:val="00E81789"/>
    <w:rsid w:val="00E8180F"/>
    <w:rsid w:val="00E8196A"/>
    <w:rsid w:val="00E81AC6"/>
    <w:rsid w:val="00E81D25"/>
    <w:rsid w:val="00E82000"/>
    <w:rsid w:val="00E8202D"/>
    <w:rsid w:val="00E8206B"/>
    <w:rsid w:val="00E82107"/>
    <w:rsid w:val="00E821FA"/>
    <w:rsid w:val="00E8226B"/>
    <w:rsid w:val="00E822BF"/>
    <w:rsid w:val="00E82629"/>
    <w:rsid w:val="00E8269B"/>
    <w:rsid w:val="00E82829"/>
    <w:rsid w:val="00E828F6"/>
    <w:rsid w:val="00E829FF"/>
    <w:rsid w:val="00E82A3C"/>
    <w:rsid w:val="00E82F05"/>
    <w:rsid w:val="00E83035"/>
    <w:rsid w:val="00E8304E"/>
    <w:rsid w:val="00E83272"/>
    <w:rsid w:val="00E832A7"/>
    <w:rsid w:val="00E8330A"/>
    <w:rsid w:val="00E833E6"/>
    <w:rsid w:val="00E83660"/>
    <w:rsid w:val="00E837BF"/>
    <w:rsid w:val="00E838E0"/>
    <w:rsid w:val="00E8395A"/>
    <w:rsid w:val="00E83D66"/>
    <w:rsid w:val="00E83E0B"/>
    <w:rsid w:val="00E83FC4"/>
    <w:rsid w:val="00E840E8"/>
    <w:rsid w:val="00E84270"/>
    <w:rsid w:val="00E842A4"/>
    <w:rsid w:val="00E84330"/>
    <w:rsid w:val="00E84672"/>
    <w:rsid w:val="00E84677"/>
    <w:rsid w:val="00E84BD9"/>
    <w:rsid w:val="00E84D96"/>
    <w:rsid w:val="00E84E1F"/>
    <w:rsid w:val="00E84E8F"/>
    <w:rsid w:val="00E851A3"/>
    <w:rsid w:val="00E851B0"/>
    <w:rsid w:val="00E851B5"/>
    <w:rsid w:val="00E85203"/>
    <w:rsid w:val="00E8534D"/>
    <w:rsid w:val="00E853D5"/>
    <w:rsid w:val="00E854DF"/>
    <w:rsid w:val="00E855A7"/>
    <w:rsid w:val="00E85860"/>
    <w:rsid w:val="00E85932"/>
    <w:rsid w:val="00E859FD"/>
    <w:rsid w:val="00E85EE1"/>
    <w:rsid w:val="00E85EF3"/>
    <w:rsid w:val="00E85F23"/>
    <w:rsid w:val="00E861B6"/>
    <w:rsid w:val="00E862B6"/>
    <w:rsid w:val="00E867A7"/>
    <w:rsid w:val="00E86CAB"/>
    <w:rsid w:val="00E86F4C"/>
    <w:rsid w:val="00E870AD"/>
    <w:rsid w:val="00E8717B"/>
    <w:rsid w:val="00E87218"/>
    <w:rsid w:val="00E872DB"/>
    <w:rsid w:val="00E872DE"/>
    <w:rsid w:val="00E872E0"/>
    <w:rsid w:val="00E87369"/>
    <w:rsid w:val="00E87691"/>
    <w:rsid w:val="00E8790C"/>
    <w:rsid w:val="00E87948"/>
    <w:rsid w:val="00E87B98"/>
    <w:rsid w:val="00E87F83"/>
    <w:rsid w:val="00E90486"/>
    <w:rsid w:val="00E905F2"/>
    <w:rsid w:val="00E90781"/>
    <w:rsid w:val="00E907EB"/>
    <w:rsid w:val="00E90B32"/>
    <w:rsid w:val="00E90C82"/>
    <w:rsid w:val="00E90D02"/>
    <w:rsid w:val="00E90DFA"/>
    <w:rsid w:val="00E90F85"/>
    <w:rsid w:val="00E910C6"/>
    <w:rsid w:val="00E91179"/>
    <w:rsid w:val="00E912C8"/>
    <w:rsid w:val="00E9148E"/>
    <w:rsid w:val="00E914FA"/>
    <w:rsid w:val="00E91592"/>
    <w:rsid w:val="00E916D0"/>
    <w:rsid w:val="00E917F1"/>
    <w:rsid w:val="00E91AF0"/>
    <w:rsid w:val="00E91F15"/>
    <w:rsid w:val="00E92107"/>
    <w:rsid w:val="00E92500"/>
    <w:rsid w:val="00E92931"/>
    <w:rsid w:val="00E929F2"/>
    <w:rsid w:val="00E92A75"/>
    <w:rsid w:val="00E92A94"/>
    <w:rsid w:val="00E92B30"/>
    <w:rsid w:val="00E92E22"/>
    <w:rsid w:val="00E93072"/>
    <w:rsid w:val="00E930FA"/>
    <w:rsid w:val="00E93180"/>
    <w:rsid w:val="00E93202"/>
    <w:rsid w:val="00E933AA"/>
    <w:rsid w:val="00E93674"/>
    <w:rsid w:val="00E9393A"/>
    <w:rsid w:val="00E93D81"/>
    <w:rsid w:val="00E94122"/>
    <w:rsid w:val="00E9412C"/>
    <w:rsid w:val="00E94137"/>
    <w:rsid w:val="00E9415A"/>
    <w:rsid w:val="00E941FC"/>
    <w:rsid w:val="00E94609"/>
    <w:rsid w:val="00E94A4C"/>
    <w:rsid w:val="00E94C8F"/>
    <w:rsid w:val="00E94EEA"/>
    <w:rsid w:val="00E94F3D"/>
    <w:rsid w:val="00E94FBE"/>
    <w:rsid w:val="00E94FE0"/>
    <w:rsid w:val="00E9502F"/>
    <w:rsid w:val="00E95040"/>
    <w:rsid w:val="00E951C4"/>
    <w:rsid w:val="00E9536F"/>
    <w:rsid w:val="00E95569"/>
    <w:rsid w:val="00E955AC"/>
    <w:rsid w:val="00E958CB"/>
    <w:rsid w:val="00E95B79"/>
    <w:rsid w:val="00E95CD9"/>
    <w:rsid w:val="00E95D50"/>
    <w:rsid w:val="00E9609D"/>
    <w:rsid w:val="00E96115"/>
    <w:rsid w:val="00E96421"/>
    <w:rsid w:val="00E96A1F"/>
    <w:rsid w:val="00E96A3F"/>
    <w:rsid w:val="00E96AB4"/>
    <w:rsid w:val="00E96AEC"/>
    <w:rsid w:val="00E96B96"/>
    <w:rsid w:val="00E96F3D"/>
    <w:rsid w:val="00E971F4"/>
    <w:rsid w:val="00E9729F"/>
    <w:rsid w:val="00E9740C"/>
    <w:rsid w:val="00E974B5"/>
    <w:rsid w:val="00E976D5"/>
    <w:rsid w:val="00E976DF"/>
    <w:rsid w:val="00E97720"/>
    <w:rsid w:val="00E977AE"/>
    <w:rsid w:val="00E9789C"/>
    <w:rsid w:val="00E97DD7"/>
    <w:rsid w:val="00E97EC5"/>
    <w:rsid w:val="00EA028E"/>
    <w:rsid w:val="00EA0297"/>
    <w:rsid w:val="00EA0834"/>
    <w:rsid w:val="00EA09B0"/>
    <w:rsid w:val="00EA0AAA"/>
    <w:rsid w:val="00EA0B96"/>
    <w:rsid w:val="00EA0C47"/>
    <w:rsid w:val="00EA0D94"/>
    <w:rsid w:val="00EA0DDC"/>
    <w:rsid w:val="00EA0F22"/>
    <w:rsid w:val="00EA103A"/>
    <w:rsid w:val="00EA11B8"/>
    <w:rsid w:val="00EA1278"/>
    <w:rsid w:val="00EA1417"/>
    <w:rsid w:val="00EA1505"/>
    <w:rsid w:val="00EA1571"/>
    <w:rsid w:val="00EA15F5"/>
    <w:rsid w:val="00EA1606"/>
    <w:rsid w:val="00EA170D"/>
    <w:rsid w:val="00EA1894"/>
    <w:rsid w:val="00EA18E0"/>
    <w:rsid w:val="00EA19F2"/>
    <w:rsid w:val="00EA1A0A"/>
    <w:rsid w:val="00EA1A1B"/>
    <w:rsid w:val="00EA1A91"/>
    <w:rsid w:val="00EA1B29"/>
    <w:rsid w:val="00EA1C3F"/>
    <w:rsid w:val="00EA1FAB"/>
    <w:rsid w:val="00EA2016"/>
    <w:rsid w:val="00EA23C7"/>
    <w:rsid w:val="00EA24DF"/>
    <w:rsid w:val="00EA2562"/>
    <w:rsid w:val="00EA25B1"/>
    <w:rsid w:val="00EA2860"/>
    <w:rsid w:val="00EA2B07"/>
    <w:rsid w:val="00EA2C7B"/>
    <w:rsid w:val="00EA2CE8"/>
    <w:rsid w:val="00EA2F71"/>
    <w:rsid w:val="00EA2FB7"/>
    <w:rsid w:val="00EA3096"/>
    <w:rsid w:val="00EA3143"/>
    <w:rsid w:val="00EA31B8"/>
    <w:rsid w:val="00EA3400"/>
    <w:rsid w:val="00EA344A"/>
    <w:rsid w:val="00EA36A1"/>
    <w:rsid w:val="00EA3722"/>
    <w:rsid w:val="00EA3812"/>
    <w:rsid w:val="00EA3A4C"/>
    <w:rsid w:val="00EA3D06"/>
    <w:rsid w:val="00EA3D17"/>
    <w:rsid w:val="00EA3F1C"/>
    <w:rsid w:val="00EA3FCF"/>
    <w:rsid w:val="00EA45C9"/>
    <w:rsid w:val="00EA46E6"/>
    <w:rsid w:val="00EA47FB"/>
    <w:rsid w:val="00EA4AF4"/>
    <w:rsid w:val="00EA4CAB"/>
    <w:rsid w:val="00EA4D63"/>
    <w:rsid w:val="00EA4EBB"/>
    <w:rsid w:val="00EA4EFF"/>
    <w:rsid w:val="00EA5058"/>
    <w:rsid w:val="00EA50B9"/>
    <w:rsid w:val="00EA5552"/>
    <w:rsid w:val="00EA569B"/>
    <w:rsid w:val="00EA5822"/>
    <w:rsid w:val="00EA59BD"/>
    <w:rsid w:val="00EA5A52"/>
    <w:rsid w:val="00EA5ADA"/>
    <w:rsid w:val="00EA5B6D"/>
    <w:rsid w:val="00EA5BC0"/>
    <w:rsid w:val="00EA5BFD"/>
    <w:rsid w:val="00EA5FAB"/>
    <w:rsid w:val="00EA60EE"/>
    <w:rsid w:val="00EA6348"/>
    <w:rsid w:val="00EA655D"/>
    <w:rsid w:val="00EA66CF"/>
    <w:rsid w:val="00EA66E6"/>
    <w:rsid w:val="00EA6736"/>
    <w:rsid w:val="00EA676B"/>
    <w:rsid w:val="00EA680C"/>
    <w:rsid w:val="00EA6A12"/>
    <w:rsid w:val="00EA6BC2"/>
    <w:rsid w:val="00EA6C64"/>
    <w:rsid w:val="00EA6D02"/>
    <w:rsid w:val="00EA6E10"/>
    <w:rsid w:val="00EA701D"/>
    <w:rsid w:val="00EA709B"/>
    <w:rsid w:val="00EA715F"/>
    <w:rsid w:val="00EA720A"/>
    <w:rsid w:val="00EA7295"/>
    <w:rsid w:val="00EA7C66"/>
    <w:rsid w:val="00EA7D3A"/>
    <w:rsid w:val="00EA7F3B"/>
    <w:rsid w:val="00EB0080"/>
    <w:rsid w:val="00EB00C6"/>
    <w:rsid w:val="00EB05A4"/>
    <w:rsid w:val="00EB0662"/>
    <w:rsid w:val="00EB06E2"/>
    <w:rsid w:val="00EB076C"/>
    <w:rsid w:val="00EB095D"/>
    <w:rsid w:val="00EB0A39"/>
    <w:rsid w:val="00EB0B5C"/>
    <w:rsid w:val="00EB0DC2"/>
    <w:rsid w:val="00EB0FFA"/>
    <w:rsid w:val="00EB1239"/>
    <w:rsid w:val="00EB12B7"/>
    <w:rsid w:val="00EB13BA"/>
    <w:rsid w:val="00EB13E7"/>
    <w:rsid w:val="00EB14A7"/>
    <w:rsid w:val="00EB14A8"/>
    <w:rsid w:val="00EB1615"/>
    <w:rsid w:val="00EB19A7"/>
    <w:rsid w:val="00EB1AD3"/>
    <w:rsid w:val="00EB1E63"/>
    <w:rsid w:val="00EB1F06"/>
    <w:rsid w:val="00EB22A4"/>
    <w:rsid w:val="00EB2791"/>
    <w:rsid w:val="00EB284B"/>
    <w:rsid w:val="00EB295A"/>
    <w:rsid w:val="00EB2A8F"/>
    <w:rsid w:val="00EB2DFC"/>
    <w:rsid w:val="00EB2ED8"/>
    <w:rsid w:val="00EB2F27"/>
    <w:rsid w:val="00EB3035"/>
    <w:rsid w:val="00EB3267"/>
    <w:rsid w:val="00EB327B"/>
    <w:rsid w:val="00EB32DD"/>
    <w:rsid w:val="00EB3554"/>
    <w:rsid w:val="00EB3583"/>
    <w:rsid w:val="00EB35EC"/>
    <w:rsid w:val="00EB360C"/>
    <w:rsid w:val="00EB36E6"/>
    <w:rsid w:val="00EB36F3"/>
    <w:rsid w:val="00EB388B"/>
    <w:rsid w:val="00EB396B"/>
    <w:rsid w:val="00EB3A13"/>
    <w:rsid w:val="00EB3A8D"/>
    <w:rsid w:val="00EB3AF1"/>
    <w:rsid w:val="00EB3E1D"/>
    <w:rsid w:val="00EB414D"/>
    <w:rsid w:val="00EB41F7"/>
    <w:rsid w:val="00EB426B"/>
    <w:rsid w:val="00EB448D"/>
    <w:rsid w:val="00EB4641"/>
    <w:rsid w:val="00EB4737"/>
    <w:rsid w:val="00EB475F"/>
    <w:rsid w:val="00EB47B0"/>
    <w:rsid w:val="00EB4893"/>
    <w:rsid w:val="00EB4933"/>
    <w:rsid w:val="00EB4C4E"/>
    <w:rsid w:val="00EB4C89"/>
    <w:rsid w:val="00EB4C8E"/>
    <w:rsid w:val="00EB4D26"/>
    <w:rsid w:val="00EB4D4C"/>
    <w:rsid w:val="00EB4E02"/>
    <w:rsid w:val="00EB4ED5"/>
    <w:rsid w:val="00EB4F9F"/>
    <w:rsid w:val="00EB5242"/>
    <w:rsid w:val="00EB53FE"/>
    <w:rsid w:val="00EB540D"/>
    <w:rsid w:val="00EB5426"/>
    <w:rsid w:val="00EB5569"/>
    <w:rsid w:val="00EB55DF"/>
    <w:rsid w:val="00EB5888"/>
    <w:rsid w:val="00EB58BB"/>
    <w:rsid w:val="00EB5966"/>
    <w:rsid w:val="00EB5C4B"/>
    <w:rsid w:val="00EB5D63"/>
    <w:rsid w:val="00EB5DB4"/>
    <w:rsid w:val="00EB5E1E"/>
    <w:rsid w:val="00EB5E6D"/>
    <w:rsid w:val="00EB5ED5"/>
    <w:rsid w:val="00EB613B"/>
    <w:rsid w:val="00EB61E1"/>
    <w:rsid w:val="00EB63B6"/>
    <w:rsid w:val="00EB6441"/>
    <w:rsid w:val="00EB6477"/>
    <w:rsid w:val="00EB6957"/>
    <w:rsid w:val="00EB6A77"/>
    <w:rsid w:val="00EB6BB6"/>
    <w:rsid w:val="00EB6BDE"/>
    <w:rsid w:val="00EB6D70"/>
    <w:rsid w:val="00EB6EF8"/>
    <w:rsid w:val="00EB6F6C"/>
    <w:rsid w:val="00EB71E6"/>
    <w:rsid w:val="00EB7301"/>
    <w:rsid w:val="00EB7357"/>
    <w:rsid w:val="00EB737F"/>
    <w:rsid w:val="00EB742B"/>
    <w:rsid w:val="00EB743E"/>
    <w:rsid w:val="00EB7451"/>
    <w:rsid w:val="00EB7463"/>
    <w:rsid w:val="00EB74C0"/>
    <w:rsid w:val="00EB7553"/>
    <w:rsid w:val="00EB75E5"/>
    <w:rsid w:val="00EB763B"/>
    <w:rsid w:val="00EB7967"/>
    <w:rsid w:val="00EB7BEE"/>
    <w:rsid w:val="00EC01D6"/>
    <w:rsid w:val="00EC043F"/>
    <w:rsid w:val="00EC045D"/>
    <w:rsid w:val="00EC04B4"/>
    <w:rsid w:val="00EC05C9"/>
    <w:rsid w:val="00EC074C"/>
    <w:rsid w:val="00EC07B8"/>
    <w:rsid w:val="00EC08E0"/>
    <w:rsid w:val="00EC099E"/>
    <w:rsid w:val="00EC0BCA"/>
    <w:rsid w:val="00EC0F06"/>
    <w:rsid w:val="00EC10CE"/>
    <w:rsid w:val="00EC1208"/>
    <w:rsid w:val="00EC13B8"/>
    <w:rsid w:val="00EC1435"/>
    <w:rsid w:val="00EC1501"/>
    <w:rsid w:val="00EC153F"/>
    <w:rsid w:val="00EC16F1"/>
    <w:rsid w:val="00EC1770"/>
    <w:rsid w:val="00EC1976"/>
    <w:rsid w:val="00EC1AB4"/>
    <w:rsid w:val="00EC1CAF"/>
    <w:rsid w:val="00EC1EB1"/>
    <w:rsid w:val="00EC1EDB"/>
    <w:rsid w:val="00EC1EFA"/>
    <w:rsid w:val="00EC22FA"/>
    <w:rsid w:val="00EC26ED"/>
    <w:rsid w:val="00EC270C"/>
    <w:rsid w:val="00EC2805"/>
    <w:rsid w:val="00EC2FDD"/>
    <w:rsid w:val="00EC300D"/>
    <w:rsid w:val="00EC3242"/>
    <w:rsid w:val="00EC32A5"/>
    <w:rsid w:val="00EC32A6"/>
    <w:rsid w:val="00EC3456"/>
    <w:rsid w:val="00EC34DF"/>
    <w:rsid w:val="00EC38B9"/>
    <w:rsid w:val="00EC3927"/>
    <w:rsid w:val="00EC3B7D"/>
    <w:rsid w:val="00EC3BBD"/>
    <w:rsid w:val="00EC3BDC"/>
    <w:rsid w:val="00EC3C56"/>
    <w:rsid w:val="00EC3FEA"/>
    <w:rsid w:val="00EC412C"/>
    <w:rsid w:val="00EC43BF"/>
    <w:rsid w:val="00EC4758"/>
    <w:rsid w:val="00EC4761"/>
    <w:rsid w:val="00EC4839"/>
    <w:rsid w:val="00EC50E4"/>
    <w:rsid w:val="00EC514B"/>
    <w:rsid w:val="00EC5463"/>
    <w:rsid w:val="00EC55BB"/>
    <w:rsid w:val="00EC56DC"/>
    <w:rsid w:val="00EC5752"/>
    <w:rsid w:val="00EC57D3"/>
    <w:rsid w:val="00EC57FE"/>
    <w:rsid w:val="00EC58E8"/>
    <w:rsid w:val="00EC59F2"/>
    <w:rsid w:val="00EC5DF8"/>
    <w:rsid w:val="00EC5EB6"/>
    <w:rsid w:val="00EC6493"/>
    <w:rsid w:val="00EC659A"/>
    <w:rsid w:val="00EC6741"/>
    <w:rsid w:val="00EC6F71"/>
    <w:rsid w:val="00EC713B"/>
    <w:rsid w:val="00EC7527"/>
    <w:rsid w:val="00EC757D"/>
    <w:rsid w:val="00EC75B5"/>
    <w:rsid w:val="00EC76EE"/>
    <w:rsid w:val="00EC7748"/>
    <w:rsid w:val="00EC78BD"/>
    <w:rsid w:val="00EC7958"/>
    <w:rsid w:val="00EC7B4E"/>
    <w:rsid w:val="00EC7CE2"/>
    <w:rsid w:val="00EC7D4C"/>
    <w:rsid w:val="00EC7D4D"/>
    <w:rsid w:val="00EC7D91"/>
    <w:rsid w:val="00EC7E59"/>
    <w:rsid w:val="00EC7E7E"/>
    <w:rsid w:val="00EC7F14"/>
    <w:rsid w:val="00EC7FAE"/>
    <w:rsid w:val="00ED007E"/>
    <w:rsid w:val="00ED016C"/>
    <w:rsid w:val="00ED01A7"/>
    <w:rsid w:val="00ED0290"/>
    <w:rsid w:val="00ED03B4"/>
    <w:rsid w:val="00ED03DD"/>
    <w:rsid w:val="00ED0537"/>
    <w:rsid w:val="00ED079D"/>
    <w:rsid w:val="00ED08B7"/>
    <w:rsid w:val="00ED0B20"/>
    <w:rsid w:val="00ED0C84"/>
    <w:rsid w:val="00ED0DAB"/>
    <w:rsid w:val="00ED0E7F"/>
    <w:rsid w:val="00ED0EF9"/>
    <w:rsid w:val="00ED0F39"/>
    <w:rsid w:val="00ED0F78"/>
    <w:rsid w:val="00ED111C"/>
    <w:rsid w:val="00ED129E"/>
    <w:rsid w:val="00ED1362"/>
    <w:rsid w:val="00ED13F4"/>
    <w:rsid w:val="00ED15BF"/>
    <w:rsid w:val="00ED160E"/>
    <w:rsid w:val="00ED161B"/>
    <w:rsid w:val="00ED19C0"/>
    <w:rsid w:val="00ED1CDD"/>
    <w:rsid w:val="00ED1ED4"/>
    <w:rsid w:val="00ED1F65"/>
    <w:rsid w:val="00ED2295"/>
    <w:rsid w:val="00ED24C1"/>
    <w:rsid w:val="00ED24EA"/>
    <w:rsid w:val="00ED29A2"/>
    <w:rsid w:val="00ED29C8"/>
    <w:rsid w:val="00ED2BCE"/>
    <w:rsid w:val="00ED2BE6"/>
    <w:rsid w:val="00ED2CD1"/>
    <w:rsid w:val="00ED2DC5"/>
    <w:rsid w:val="00ED2F4A"/>
    <w:rsid w:val="00ED31B5"/>
    <w:rsid w:val="00ED3215"/>
    <w:rsid w:val="00ED3273"/>
    <w:rsid w:val="00ED33A0"/>
    <w:rsid w:val="00ED340B"/>
    <w:rsid w:val="00ED3496"/>
    <w:rsid w:val="00ED361C"/>
    <w:rsid w:val="00ED36F2"/>
    <w:rsid w:val="00ED3769"/>
    <w:rsid w:val="00ED377B"/>
    <w:rsid w:val="00ED394A"/>
    <w:rsid w:val="00ED3A79"/>
    <w:rsid w:val="00ED3AE5"/>
    <w:rsid w:val="00ED3BC1"/>
    <w:rsid w:val="00ED3D54"/>
    <w:rsid w:val="00ED4232"/>
    <w:rsid w:val="00ED4323"/>
    <w:rsid w:val="00ED4640"/>
    <w:rsid w:val="00ED4827"/>
    <w:rsid w:val="00ED4A6F"/>
    <w:rsid w:val="00ED4B23"/>
    <w:rsid w:val="00ED4CE7"/>
    <w:rsid w:val="00ED4D58"/>
    <w:rsid w:val="00ED4D64"/>
    <w:rsid w:val="00ED4DC8"/>
    <w:rsid w:val="00ED5019"/>
    <w:rsid w:val="00ED5042"/>
    <w:rsid w:val="00ED50F3"/>
    <w:rsid w:val="00ED51C6"/>
    <w:rsid w:val="00ED529F"/>
    <w:rsid w:val="00ED5329"/>
    <w:rsid w:val="00ED5411"/>
    <w:rsid w:val="00ED56EC"/>
    <w:rsid w:val="00ED5AD9"/>
    <w:rsid w:val="00ED5BB3"/>
    <w:rsid w:val="00ED5EF4"/>
    <w:rsid w:val="00ED5FD5"/>
    <w:rsid w:val="00ED6179"/>
    <w:rsid w:val="00ED6281"/>
    <w:rsid w:val="00ED630B"/>
    <w:rsid w:val="00ED631B"/>
    <w:rsid w:val="00ED63E8"/>
    <w:rsid w:val="00ED6549"/>
    <w:rsid w:val="00ED66D5"/>
    <w:rsid w:val="00ED6B58"/>
    <w:rsid w:val="00ED6E3A"/>
    <w:rsid w:val="00ED6FC9"/>
    <w:rsid w:val="00ED7152"/>
    <w:rsid w:val="00ED7253"/>
    <w:rsid w:val="00ED73F9"/>
    <w:rsid w:val="00ED7509"/>
    <w:rsid w:val="00ED7574"/>
    <w:rsid w:val="00ED779C"/>
    <w:rsid w:val="00ED7997"/>
    <w:rsid w:val="00ED79C1"/>
    <w:rsid w:val="00ED7A19"/>
    <w:rsid w:val="00ED7A65"/>
    <w:rsid w:val="00ED7B2E"/>
    <w:rsid w:val="00ED7D90"/>
    <w:rsid w:val="00ED7FB1"/>
    <w:rsid w:val="00EE0000"/>
    <w:rsid w:val="00EE0192"/>
    <w:rsid w:val="00EE0358"/>
    <w:rsid w:val="00EE051B"/>
    <w:rsid w:val="00EE05B5"/>
    <w:rsid w:val="00EE0847"/>
    <w:rsid w:val="00EE08BD"/>
    <w:rsid w:val="00EE092A"/>
    <w:rsid w:val="00EE09CE"/>
    <w:rsid w:val="00EE0A5D"/>
    <w:rsid w:val="00EE0C39"/>
    <w:rsid w:val="00EE1228"/>
    <w:rsid w:val="00EE1231"/>
    <w:rsid w:val="00EE1274"/>
    <w:rsid w:val="00EE15B7"/>
    <w:rsid w:val="00EE162D"/>
    <w:rsid w:val="00EE1823"/>
    <w:rsid w:val="00EE185B"/>
    <w:rsid w:val="00EE1B24"/>
    <w:rsid w:val="00EE1BEE"/>
    <w:rsid w:val="00EE1C0A"/>
    <w:rsid w:val="00EE1D0E"/>
    <w:rsid w:val="00EE2144"/>
    <w:rsid w:val="00EE2296"/>
    <w:rsid w:val="00EE22B4"/>
    <w:rsid w:val="00EE2606"/>
    <w:rsid w:val="00EE2728"/>
    <w:rsid w:val="00EE2852"/>
    <w:rsid w:val="00EE2B64"/>
    <w:rsid w:val="00EE2D2C"/>
    <w:rsid w:val="00EE2EB2"/>
    <w:rsid w:val="00EE2F65"/>
    <w:rsid w:val="00EE2F6A"/>
    <w:rsid w:val="00EE31E1"/>
    <w:rsid w:val="00EE3279"/>
    <w:rsid w:val="00EE32A3"/>
    <w:rsid w:val="00EE33B6"/>
    <w:rsid w:val="00EE3511"/>
    <w:rsid w:val="00EE36A2"/>
    <w:rsid w:val="00EE3717"/>
    <w:rsid w:val="00EE3727"/>
    <w:rsid w:val="00EE37BA"/>
    <w:rsid w:val="00EE3A61"/>
    <w:rsid w:val="00EE3A6E"/>
    <w:rsid w:val="00EE3E5C"/>
    <w:rsid w:val="00EE3FC3"/>
    <w:rsid w:val="00EE4147"/>
    <w:rsid w:val="00EE4230"/>
    <w:rsid w:val="00EE4438"/>
    <w:rsid w:val="00EE4749"/>
    <w:rsid w:val="00EE474D"/>
    <w:rsid w:val="00EE4A4D"/>
    <w:rsid w:val="00EE4BD8"/>
    <w:rsid w:val="00EE4C45"/>
    <w:rsid w:val="00EE4F54"/>
    <w:rsid w:val="00EE500A"/>
    <w:rsid w:val="00EE5014"/>
    <w:rsid w:val="00EE51AF"/>
    <w:rsid w:val="00EE52CE"/>
    <w:rsid w:val="00EE52FD"/>
    <w:rsid w:val="00EE5479"/>
    <w:rsid w:val="00EE54F7"/>
    <w:rsid w:val="00EE55F1"/>
    <w:rsid w:val="00EE56B9"/>
    <w:rsid w:val="00EE57D2"/>
    <w:rsid w:val="00EE5837"/>
    <w:rsid w:val="00EE599C"/>
    <w:rsid w:val="00EE5B4B"/>
    <w:rsid w:val="00EE5CB2"/>
    <w:rsid w:val="00EE5DC5"/>
    <w:rsid w:val="00EE5DC9"/>
    <w:rsid w:val="00EE5DCE"/>
    <w:rsid w:val="00EE60CE"/>
    <w:rsid w:val="00EE6228"/>
    <w:rsid w:val="00EE6446"/>
    <w:rsid w:val="00EE648F"/>
    <w:rsid w:val="00EE64A0"/>
    <w:rsid w:val="00EE65F2"/>
    <w:rsid w:val="00EE6924"/>
    <w:rsid w:val="00EE6B5D"/>
    <w:rsid w:val="00EE6C66"/>
    <w:rsid w:val="00EE6ED6"/>
    <w:rsid w:val="00EE6F0A"/>
    <w:rsid w:val="00EE6F56"/>
    <w:rsid w:val="00EE7208"/>
    <w:rsid w:val="00EE73CA"/>
    <w:rsid w:val="00EE746A"/>
    <w:rsid w:val="00EE7653"/>
    <w:rsid w:val="00EE770B"/>
    <w:rsid w:val="00EE7953"/>
    <w:rsid w:val="00EE7A06"/>
    <w:rsid w:val="00EE7E7E"/>
    <w:rsid w:val="00EE7F2B"/>
    <w:rsid w:val="00EE7F2F"/>
    <w:rsid w:val="00EE7FAA"/>
    <w:rsid w:val="00EF00E8"/>
    <w:rsid w:val="00EF0223"/>
    <w:rsid w:val="00EF029A"/>
    <w:rsid w:val="00EF039A"/>
    <w:rsid w:val="00EF04E6"/>
    <w:rsid w:val="00EF05CA"/>
    <w:rsid w:val="00EF064E"/>
    <w:rsid w:val="00EF0870"/>
    <w:rsid w:val="00EF0882"/>
    <w:rsid w:val="00EF08DC"/>
    <w:rsid w:val="00EF096D"/>
    <w:rsid w:val="00EF09A2"/>
    <w:rsid w:val="00EF0CED"/>
    <w:rsid w:val="00EF0E23"/>
    <w:rsid w:val="00EF10EC"/>
    <w:rsid w:val="00EF11CE"/>
    <w:rsid w:val="00EF142C"/>
    <w:rsid w:val="00EF1433"/>
    <w:rsid w:val="00EF14B7"/>
    <w:rsid w:val="00EF155D"/>
    <w:rsid w:val="00EF176F"/>
    <w:rsid w:val="00EF1891"/>
    <w:rsid w:val="00EF1E12"/>
    <w:rsid w:val="00EF1E6A"/>
    <w:rsid w:val="00EF1E76"/>
    <w:rsid w:val="00EF1F51"/>
    <w:rsid w:val="00EF2270"/>
    <w:rsid w:val="00EF2495"/>
    <w:rsid w:val="00EF2544"/>
    <w:rsid w:val="00EF25C7"/>
    <w:rsid w:val="00EF2675"/>
    <w:rsid w:val="00EF27FE"/>
    <w:rsid w:val="00EF295E"/>
    <w:rsid w:val="00EF2A7B"/>
    <w:rsid w:val="00EF2C5A"/>
    <w:rsid w:val="00EF2C64"/>
    <w:rsid w:val="00EF2CBD"/>
    <w:rsid w:val="00EF2D66"/>
    <w:rsid w:val="00EF2D91"/>
    <w:rsid w:val="00EF2E40"/>
    <w:rsid w:val="00EF2E65"/>
    <w:rsid w:val="00EF301F"/>
    <w:rsid w:val="00EF3278"/>
    <w:rsid w:val="00EF356C"/>
    <w:rsid w:val="00EF3618"/>
    <w:rsid w:val="00EF3782"/>
    <w:rsid w:val="00EF3A8B"/>
    <w:rsid w:val="00EF3B46"/>
    <w:rsid w:val="00EF3BC1"/>
    <w:rsid w:val="00EF3CAD"/>
    <w:rsid w:val="00EF3CF0"/>
    <w:rsid w:val="00EF3E33"/>
    <w:rsid w:val="00EF3E87"/>
    <w:rsid w:val="00EF3E8B"/>
    <w:rsid w:val="00EF3EA1"/>
    <w:rsid w:val="00EF40B3"/>
    <w:rsid w:val="00EF4178"/>
    <w:rsid w:val="00EF4187"/>
    <w:rsid w:val="00EF41E5"/>
    <w:rsid w:val="00EF4388"/>
    <w:rsid w:val="00EF44A8"/>
    <w:rsid w:val="00EF45FB"/>
    <w:rsid w:val="00EF48BE"/>
    <w:rsid w:val="00EF4ADD"/>
    <w:rsid w:val="00EF4B50"/>
    <w:rsid w:val="00EF4D46"/>
    <w:rsid w:val="00EF4D5A"/>
    <w:rsid w:val="00EF4E4C"/>
    <w:rsid w:val="00EF4F75"/>
    <w:rsid w:val="00EF505A"/>
    <w:rsid w:val="00EF5178"/>
    <w:rsid w:val="00EF5392"/>
    <w:rsid w:val="00EF53A6"/>
    <w:rsid w:val="00EF542D"/>
    <w:rsid w:val="00EF5450"/>
    <w:rsid w:val="00EF5A67"/>
    <w:rsid w:val="00EF5B45"/>
    <w:rsid w:val="00EF5C3C"/>
    <w:rsid w:val="00EF5E49"/>
    <w:rsid w:val="00EF5E78"/>
    <w:rsid w:val="00EF5E87"/>
    <w:rsid w:val="00EF5EFD"/>
    <w:rsid w:val="00EF5F92"/>
    <w:rsid w:val="00EF5FE3"/>
    <w:rsid w:val="00EF615C"/>
    <w:rsid w:val="00EF62E0"/>
    <w:rsid w:val="00EF6362"/>
    <w:rsid w:val="00EF6378"/>
    <w:rsid w:val="00EF64A8"/>
    <w:rsid w:val="00EF64C9"/>
    <w:rsid w:val="00EF659E"/>
    <w:rsid w:val="00EF6B18"/>
    <w:rsid w:val="00EF6B80"/>
    <w:rsid w:val="00EF6BC5"/>
    <w:rsid w:val="00EF6DB7"/>
    <w:rsid w:val="00EF6E64"/>
    <w:rsid w:val="00EF7065"/>
    <w:rsid w:val="00EF70A5"/>
    <w:rsid w:val="00EF7305"/>
    <w:rsid w:val="00EF7411"/>
    <w:rsid w:val="00EF7587"/>
    <w:rsid w:val="00EF75EC"/>
    <w:rsid w:val="00EF7B00"/>
    <w:rsid w:val="00EF7B79"/>
    <w:rsid w:val="00EF7BB3"/>
    <w:rsid w:val="00EF7C2E"/>
    <w:rsid w:val="00EF7CA1"/>
    <w:rsid w:val="00EF7D06"/>
    <w:rsid w:val="00EF7DB8"/>
    <w:rsid w:val="00EF7E6C"/>
    <w:rsid w:val="00EF7F91"/>
    <w:rsid w:val="00F001AD"/>
    <w:rsid w:val="00F0020D"/>
    <w:rsid w:val="00F00312"/>
    <w:rsid w:val="00F00678"/>
    <w:rsid w:val="00F00709"/>
    <w:rsid w:val="00F00769"/>
    <w:rsid w:val="00F0093E"/>
    <w:rsid w:val="00F009C6"/>
    <w:rsid w:val="00F00B6C"/>
    <w:rsid w:val="00F00D73"/>
    <w:rsid w:val="00F00D8D"/>
    <w:rsid w:val="00F00E32"/>
    <w:rsid w:val="00F01027"/>
    <w:rsid w:val="00F01083"/>
    <w:rsid w:val="00F010D7"/>
    <w:rsid w:val="00F014D1"/>
    <w:rsid w:val="00F0152D"/>
    <w:rsid w:val="00F01723"/>
    <w:rsid w:val="00F017CC"/>
    <w:rsid w:val="00F01B5A"/>
    <w:rsid w:val="00F01B9F"/>
    <w:rsid w:val="00F01C1D"/>
    <w:rsid w:val="00F0219E"/>
    <w:rsid w:val="00F02349"/>
    <w:rsid w:val="00F0246C"/>
    <w:rsid w:val="00F02476"/>
    <w:rsid w:val="00F0251E"/>
    <w:rsid w:val="00F02593"/>
    <w:rsid w:val="00F02821"/>
    <w:rsid w:val="00F0289C"/>
    <w:rsid w:val="00F028D9"/>
    <w:rsid w:val="00F02954"/>
    <w:rsid w:val="00F02B86"/>
    <w:rsid w:val="00F02E8F"/>
    <w:rsid w:val="00F03042"/>
    <w:rsid w:val="00F030E8"/>
    <w:rsid w:val="00F03153"/>
    <w:rsid w:val="00F03608"/>
    <w:rsid w:val="00F03AF6"/>
    <w:rsid w:val="00F03BEB"/>
    <w:rsid w:val="00F03EAB"/>
    <w:rsid w:val="00F03EBB"/>
    <w:rsid w:val="00F03F7D"/>
    <w:rsid w:val="00F04095"/>
    <w:rsid w:val="00F0410A"/>
    <w:rsid w:val="00F04133"/>
    <w:rsid w:val="00F0424C"/>
    <w:rsid w:val="00F042B6"/>
    <w:rsid w:val="00F04310"/>
    <w:rsid w:val="00F04335"/>
    <w:rsid w:val="00F04795"/>
    <w:rsid w:val="00F047EE"/>
    <w:rsid w:val="00F04824"/>
    <w:rsid w:val="00F04941"/>
    <w:rsid w:val="00F04967"/>
    <w:rsid w:val="00F049EC"/>
    <w:rsid w:val="00F04ACA"/>
    <w:rsid w:val="00F04B0F"/>
    <w:rsid w:val="00F04EE0"/>
    <w:rsid w:val="00F04F1F"/>
    <w:rsid w:val="00F05018"/>
    <w:rsid w:val="00F051A7"/>
    <w:rsid w:val="00F052DF"/>
    <w:rsid w:val="00F0542E"/>
    <w:rsid w:val="00F05745"/>
    <w:rsid w:val="00F05A22"/>
    <w:rsid w:val="00F05BF3"/>
    <w:rsid w:val="00F05D4B"/>
    <w:rsid w:val="00F06173"/>
    <w:rsid w:val="00F062CF"/>
    <w:rsid w:val="00F063DA"/>
    <w:rsid w:val="00F0645B"/>
    <w:rsid w:val="00F066D3"/>
    <w:rsid w:val="00F06852"/>
    <w:rsid w:val="00F068A3"/>
    <w:rsid w:val="00F06D04"/>
    <w:rsid w:val="00F06E03"/>
    <w:rsid w:val="00F06EE0"/>
    <w:rsid w:val="00F07241"/>
    <w:rsid w:val="00F072F5"/>
    <w:rsid w:val="00F075D9"/>
    <w:rsid w:val="00F07616"/>
    <w:rsid w:val="00F076F6"/>
    <w:rsid w:val="00F07C3C"/>
    <w:rsid w:val="00F07E3B"/>
    <w:rsid w:val="00F100C2"/>
    <w:rsid w:val="00F10190"/>
    <w:rsid w:val="00F103AE"/>
    <w:rsid w:val="00F103C3"/>
    <w:rsid w:val="00F104C5"/>
    <w:rsid w:val="00F1065F"/>
    <w:rsid w:val="00F10889"/>
    <w:rsid w:val="00F1093C"/>
    <w:rsid w:val="00F10992"/>
    <w:rsid w:val="00F10C60"/>
    <w:rsid w:val="00F10EAA"/>
    <w:rsid w:val="00F11092"/>
    <w:rsid w:val="00F110B9"/>
    <w:rsid w:val="00F1131A"/>
    <w:rsid w:val="00F11574"/>
    <w:rsid w:val="00F11625"/>
    <w:rsid w:val="00F11F73"/>
    <w:rsid w:val="00F12070"/>
    <w:rsid w:val="00F121C5"/>
    <w:rsid w:val="00F12233"/>
    <w:rsid w:val="00F12391"/>
    <w:rsid w:val="00F123D8"/>
    <w:rsid w:val="00F1245A"/>
    <w:rsid w:val="00F126D0"/>
    <w:rsid w:val="00F127CD"/>
    <w:rsid w:val="00F1288C"/>
    <w:rsid w:val="00F128B3"/>
    <w:rsid w:val="00F12983"/>
    <w:rsid w:val="00F129F0"/>
    <w:rsid w:val="00F12D05"/>
    <w:rsid w:val="00F12D5D"/>
    <w:rsid w:val="00F12D88"/>
    <w:rsid w:val="00F12EA2"/>
    <w:rsid w:val="00F12ED0"/>
    <w:rsid w:val="00F131E2"/>
    <w:rsid w:val="00F132F6"/>
    <w:rsid w:val="00F13474"/>
    <w:rsid w:val="00F134B4"/>
    <w:rsid w:val="00F135E4"/>
    <w:rsid w:val="00F13674"/>
    <w:rsid w:val="00F136B0"/>
    <w:rsid w:val="00F136EB"/>
    <w:rsid w:val="00F13789"/>
    <w:rsid w:val="00F13B89"/>
    <w:rsid w:val="00F13CFE"/>
    <w:rsid w:val="00F13D54"/>
    <w:rsid w:val="00F13EDA"/>
    <w:rsid w:val="00F1427C"/>
    <w:rsid w:val="00F14376"/>
    <w:rsid w:val="00F145A6"/>
    <w:rsid w:val="00F14A4E"/>
    <w:rsid w:val="00F14BA4"/>
    <w:rsid w:val="00F14CB1"/>
    <w:rsid w:val="00F14D25"/>
    <w:rsid w:val="00F14FE0"/>
    <w:rsid w:val="00F1500C"/>
    <w:rsid w:val="00F1546C"/>
    <w:rsid w:val="00F154D1"/>
    <w:rsid w:val="00F15530"/>
    <w:rsid w:val="00F156A0"/>
    <w:rsid w:val="00F156BF"/>
    <w:rsid w:val="00F156F1"/>
    <w:rsid w:val="00F158D3"/>
    <w:rsid w:val="00F15A0F"/>
    <w:rsid w:val="00F15A89"/>
    <w:rsid w:val="00F15C67"/>
    <w:rsid w:val="00F15D94"/>
    <w:rsid w:val="00F1614E"/>
    <w:rsid w:val="00F16248"/>
    <w:rsid w:val="00F162BF"/>
    <w:rsid w:val="00F163A5"/>
    <w:rsid w:val="00F166EC"/>
    <w:rsid w:val="00F167FC"/>
    <w:rsid w:val="00F16853"/>
    <w:rsid w:val="00F168AB"/>
    <w:rsid w:val="00F16A3F"/>
    <w:rsid w:val="00F16BE2"/>
    <w:rsid w:val="00F16E3F"/>
    <w:rsid w:val="00F16FE4"/>
    <w:rsid w:val="00F17245"/>
    <w:rsid w:val="00F17397"/>
    <w:rsid w:val="00F17440"/>
    <w:rsid w:val="00F17493"/>
    <w:rsid w:val="00F1752F"/>
    <w:rsid w:val="00F17560"/>
    <w:rsid w:val="00F1759B"/>
    <w:rsid w:val="00F177E8"/>
    <w:rsid w:val="00F1789A"/>
    <w:rsid w:val="00F17A3F"/>
    <w:rsid w:val="00F17A71"/>
    <w:rsid w:val="00F17AAC"/>
    <w:rsid w:val="00F17D29"/>
    <w:rsid w:val="00F17E1F"/>
    <w:rsid w:val="00F17FE5"/>
    <w:rsid w:val="00F17FFA"/>
    <w:rsid w:val="00F2008A"/>
    <w:rsid w:val="00F200B5"/>
    <w:rsid w:val="00F201DC"/>
    <w:rsid w:val="00F20336"/>
    <w:rsid w:val="00F204BA"/>
    <w:rsid w:val="00F206EB"/>
    <w:rsid w:val="00F20774"/>
    <w:rsid w:val="00F20A4B"/>
    <w:rsid w:val="00F20D04"/>
    <w:rsid w:val="00F20F9E"/>
    <w:rsid w:val="00F212A4"/>
    <w:rsid w:val="00F218C9"/>
    <w:rsid w:val="00F22035"/>
    <w:rsid w:val="00F2203F"/>
    <w:rsid w:val="00F22106"/>
    <w:rsid w:val="00F221B4"/>
    <w:rsid w:val="00F222B1"/>
    <w:rsid w:val="00F222C5"/>
    <w:rsid w:val="00F222F2"/>
    <w:rsid w:val="00F224EF"/>
    <w:rsid w:val="00F2250D"/>
    <w:rsid w:val="00F226A1"/>
    <w:rsid w:val="00F227DD"/>
    <w:rsid w:val="00F22A74"/>
    <w:rsid w:val="00F22ACD"/>
    <w:rsid w:val="00F22BB8"/>
    <w:rsid w:val="00F22C87"/>
    <w:rsid w:val="00F22D76"/>
    <w:rsid w:val="00F22EF4"/>
    <w:rsid w:val="00F23004"/>
    <w:rsid w:val="00F23268"/>
    <w:rsid w:val="00F23280"/>
    <w:rsid w:val="00F23341"/>
    <w:rsid w:val="00F23486"/>
    <w:rsid w:val="00F2357C"/>
    <w:rsid w:val="00F235C9"/>
    <w:rsid w:val="00F235E7"/>
    <w:rsid w:val="00F236BA"/>
    <w:rsid w:val="00F2372B"/>
    <w:rsid w:val="00F23814"/>
    <w:rsid w:val="00F238DE"/>
    <w:rsid w:val="00F23A0A"/>
    <w:rsid w:val="00F23A62"/>
    <w:rsid w:val="00F23A9D"/>
    <w:rsid w:val="00F23B5F"/>
    <w:rsid w:val="00F23EC0"/>
    <w:rsid w:val="00F24128"/>
    <w:rsid w:val="00F24310"/>
    <w:rsid w:val="00F2444D"/>
    <w:rsid w:val="00F24583"/>
    <w:rsid w:val="00F245AC"/>
    <w:rsid w:val="00F245BB"/>
    <w:rsid w:val="00F24612"/>
    <w:rsid w:val="00F247B0"/>
    <w:rsid w:val="00F247BD"/>
    <w:rsid w:val="00F24A78"/>
    <w:rsid w:val="00F24E41"/>
    <w:rsid w:val="00F25113"/>
    <w:rsid w:val="00F2517C"/>
    <w:rsid w:val="00F2538E"/>
    <w:rsid w:val="00F253DF"/>
    <w:rsid w:val="00F25589"/>
    <w:rsid w:val="00F25762"/>
    <w:rsid w:val="00F25940"/>
    <w:rsid w:val="00F25B25"/>
    <w:rsid w:val="00F25EB3"/>
    <w:rsid w:val="00F25EEA"/>
    <w:rsid w:val="00F26024"/>
    <w:rsid w:val="00F26380"/>
    <w:rsid w:val="00F2652F"/>
    <w:rsid w:val="00F26579"/>
    <w:rsid w:val="00F2660F"/>
    <w:rsid w:val="00F2668C"/>
    <w:rsid w:val="00F266A4"/>
    <w:rsid w:val="00F26803"/>
    <w:rsid w:val="00F26820"/>
    <w:rsid w:val="00F26A8C"/>
    <w:rsid w:val="00F26B1D"/>
    <w:rsid w:val="00F26B4B"/>
    <w:rsid w:val="00F26CB5"/>
    <w:rsid w:val="00F26D8C"/>
    <w:rsid w:val="00F26DFE"/>
    <w:rsid w:val="00F26E19"/>
    <w:rsid w:val="00F26F57"/>
    <w:rsid w:val="00F2706C"/>
    <w:rsid w:val="00F270BA"/>
    <w:rsid w:val="00F27195"/>
    <w:rsid w:val="00F275EF"/>
    <w:rsid w:val="00F27620"/>
    <w:rsid w:val="00F276FD"/>
    <w:rsid w:val="00F27827"/>
    <w:rsid w:val="00F27895"/>
    <w:rsid w:val="00F278C3"/>
    <w:rsid w:val="00F27BC7"/>
    <w:rsid w:val="00F27BE2"/>
    <w:rsid w:val="00F27C38"/>
    <w:rsid w:val="00F27FB0"/>
    <w:rsid w:val="00F3000A"/>
    <w:rsid w:val="00F30020"/>
    <w:rsid w:val="00F300DB"/>
    <w:rsid w:val="00F30232"/>
    <w:rsid w:val="00F30372"/>
    <w:rsid w:val="00F30817"/>
    <w:rsid w:val="00F3085D"/>
    <w:rsid w:val="00F3094A"/>
    <w:rsid w:val="00F3094E"/>
    <w:rsid w:val="00F309DD"/>
    <w:rsid w:val="00F30BE5"/>
    <w:rsid w:val="00F30C93"/>
    <w:rsid w:val="00F30D08"/>
    <w:rsid w:val="00F30D31"/>
    <w:rsid w:val="00F30F76"/>
    <w:rsid w:val="00F31336"/>
    <w:rsid w:val="00F313AA"/>
    <w:rsid w:val="00F313EF"/>
    <w:rsid w:val="00F31413"/>
    <w:rsid w:val="00F31467"/>
    <w:rsid w:val="00F314DF"/>
    <w:rsid w:val="00F315D0"/>
    <w:rsid w:val="00F316E8"/>
    <w:rsid w:val="00F318E7"/>
    <w:rsid w:val="00F318EB"/>
    <w:rsid w:val="00F31919"/>
    <w:rsid w:val="00F3196D"/>
    <w:rsid w:val="00F31F0A"/>
    <w:rsid w:val="00F31FEB"/>
    <w:rsid w:val="00F3228C"/>
    <w:rsid w:val="00F322A1"/>
    <w:rsid w:val="00F323DC"/>
    <w:rsid w:val="00F32441"/>
    <w:rsid w:val="00F324CB"/>
    <w:rsid w:val="00F3298E"/>
    <w:rsid w:val="00F32B5B"/>
    <w:rsid w:val="00F32C2F"/>
    <w:rsid w:val="00F32D63"/>
    <w:rsid w:val="00F32FC0"/>
    <w:rsid w:val="00F336EA"/>
    <w:rsid w:val="00F336ED"/>
    <w:rsid w:val="00F337C1"/>
    <w:rsid w:val="00F33867"/>
    <w:rsid w:val="00F33C3D"/>
    <w:rsid w:val="00F33CF3"/>
    <w:rsid w:val="00F33DA5"/>
    <w:rsid w:val="00F3462F"/>
    <w:rsid w:val="00F34BB9"/>
    <w:rsid w:val="00F34CAD"/>
    <w:rsid w:val="00F34CC1"/>
    <w:rsid w:val="00F34D36"/>
    <w:rsid w:val="00F34DF3"/>
    <w:rsid w:val="00F34E6E"/>
    <w:rsid w:val="00F34F50"/>
    <w:rsid w:val="00F35001"/>
    <w:rsid w:val="00F353A4"/>
    <w:rsid w:val="00F35496"/>
    <w:rsid w:val="00F35722"/>
    <w:rsid w:val="00F357D0"/>
    <w:rsid w:val="00F35878"/>
    <w:rsid w:val="00F359F1"/>
    <w:rsid w:val="00F35A6F"/>
    <w:rsid w:val="00F35B2D"/>
    <w:rsid w:val="00F35D3C"/>
    <w:rsid w:val="00F35E5B"/>
    <w:rsid w:val="00F35F24"/>
    <w:rsid w:val="00F35FC3"/>
    <w:rsid w:val="00F362C7"/>
    <w:rsid w:val="00F36331"/>
    <w:rsid w:val="00F36433"/>
    <w:rsid w:val="00F36455"/>
    <w:rsid w:val="00F36495"/>
    <w:rsid w:val="00F3663A"/>
    <w:rsid w:val="00F366EA"/>
    <w:rsid w:val="00F367C7"/>
    <w:rsid w:val="00F36A92"/>
    <w:rsid w:val="00F36B1D"/>
    <w:rsid w:val="00F36BE7"/>
    <w:rsid w:val="00F36E08"/>
    <w:rsid w:val="00F36F1B"/>
    <w:rsid w:val="00F36F8E"/>
    <w:rsid w:val="00F37104"/>
    <w:rsid w:val="00F3741C"/>
    <w:rsid w:val="00F3770F"/>
    <w:rsid w:val="00F37840"/>
    <w:rsid w:val="00F37864"/>
    <w:rsid w:val="00F37935"/>
    <w:rsid w:val="00F3794A"/>
    <w:rsid w:val="00F379EF"/>
    <w:rsid w:val="00F37A01"/>
    <w:rsid w:val="00F37A39"/>
    <w:rsid w:val="00F37A95"/>
    <w:rsid w:val="00F37C1B"/>
    <w:rsid w:val="00F37C52"/>
    <w:rsid w:val="00F37DBF"/>
    <w:rsid w:val="00F37FA1"/>
    <w:rsid w:val="00F37FB5"/>
    <w:rsid w:val="00F40301"/>
    <w:rsid w:val="00F405DC"/>
    <w:rsid w:val="00F408F0"/>
    <w:rsid w:val="00F409CC"/>
    <w:rsid w:val="00F40A39"/>
    <w:rsid w:val="00F40AC8"/>
    <w:rsid w:val="00F40B35"/>
    <w:rsid w:val="00F40C2B"/>
    <w:rsid w:val="00F40EE9"/>
    <w:rsid w:val="00F40FFE"/>
    <w:rsid w:val="00F41216"/>
    <w:rsid w:val="00F4131D"/>
    <w:rsid w:val="00F4138C"/>
    <w:rsid w:val="00F4151F"/>
    <w:rsid w:val="00F415E1"/>
    <w:rsid w:val="00F418EE"/>
    <w:rsid w:val="00F41B20"/>
    <w:rsid w:val="00F41BAC"/>
    <w:rsid w:val="00F41F92"/>
    <w:rsid w:val="00F42095"/>
    <w:rsid w:val="00F4209E"/>
    <w:rsid w:val="00F42233"/>
    <w:rsid w:val="00F422D3"/>
    <w:rsid w:val="00F4237B"/>
    <w:rsid w:val="00F42453"/>
    <w:rsid w:val="00F42538"/>
    <w:rsid w:val="00F42576"/>
    <w:rsid w:val="00F42BA6"/>
    <w:rsid w:val="00F42CD8"/>
    <w:rsid w:val="00F42DF1"/>
    <w:rsid w:val="00F42E42"/>
    <w:rsid w:val="00F42FBB"/>
    <w:rsid w:val="00F43052"/>
    <w:rsid w:val="00F430E3"/>
    <w:rsid w:val="00F432FC"/>
    <w:rsid w:val="00F43422"/>
    <w:rsid w:val="00F434DA"/>
    <w:rsid w:val="00F43AB7"/>
    <w:rsid w:val="00F43B39"/>
    <w:rsid w:val="00F43C58"/>
    <w:rsid w:val="00F44024"/>
    <w:rsid w:val="00F4409C"/>
    <w:rsid w:val="00F44208"/>
    <w:rsid w:val="00F4445A"/>
    <w:rsid w:val="00F44496"/>
    <w:rsid w:val="00F4449C"/>
    <w:rsid w:val="00F444C2"/>
    <w:rsid w:val="00F44630"/>
    <w:rsid w:val="00F446DC"/>
    <w:rsid w:val="00F44750"/>
    <w:rsid w:val="00F4485A"/>
    <w:rsid w:val="00F44A73"/>
    <w:rsid w:val="00F44BA9"/>
    <w:rsid w:val="00F44C01"/>
    <w:rsid w:val="00F44DA3"/>
    <w:rsid w:val="00F44DE0"/>
    <w:rsid w:val="00F44E89"/>
    <w:rsid w:val="00F45359"/>
    <w:rsid w:val="00F4568F"/>
    <w:rsid w:val="00F45748"/>
    <w:rsid w:val="00F4577D"/>
    <w:rsid w:val="00F4580C"/>
    <w:rsid w:val="00F45827"/>
    <w:rsid w:val="00F45959"/>
    <w:rsid w:val="00F45B95"/>
    <w:rsid w:val="00F45F66"/>
    <w:rsid w:val="00F4600A"/>
    <w:rsid w:val="00F46127"/>
    <w:rsid w:val="00F466D0"/>
    <w:rsid w:val="00F467DD"/>
    <w:rsid w:val="00F467F2"/>
    <w:rsid w:val="00F4691D"/>
    <w:rsid w:val="00F4699F"/>
    <w:rsid w:val="00F46FCD"/>
    <w:rsid w:val="00F47038"/>
    <w:rsid w:val="00F47410"/>
    <w:rsid w:val="00F47481"/>
    <w:rsid w:val="00F474E7"/>
    <w:rsid w:val="00F47767"/>
    <w:rsid w:val="00F478C0"/>
    <w:rsid w:val="00F47940"/>
    <w:rsid w:val="00F47AB1"/>
    <w:rsid w:val="00F47E37"/>
    <w:rsid w:val="00F47E54"/>
    <w:rsid w:val="00F47E77"/>
    <w:rsid w:val="00F50129"/>
    <w:rsid w:val="00F5034E"/>
    <w:rsid w:val="00F50654"/>
    <w:rsid w:val="00F50B7A"/>
    <w:rsid w:val="00F50CD1"/>
    <w:rsid w:val="00F50D47"/>
    <w:rsid w:val="00F50F10"/>
    <w:rsid w:val="00F51126"/>
    <w:rsid w:val="00F512F7"/>
    <w:rsid w:val="00F5131C"/>
    <w:rsid w:val="00F51599"/>
    <w:rsid w:val="00F51748"/>
    <w:rsid w:val="00F518DA"/>
    <w:rsid w:val="00F518DE"/>
    <w:rsid w:val="00F5195F"/>
    <w:rsid w:val="00F519BC"/>
    <w:rsid w:val="00F51C45"/>
    <w:rsid w:val="00F51C69"/>
    <w:rsid w:val="00F51F5B"/>
    <w:rsid w:val="00F51F6D"/>
    <w:rsid w:val="00F52202"/>
    <w:rsid w:val="00F52521"/>
    <w:rsid w:val="00F52663"/>
    <w:rsid w:val="00F52701"/>
    <w:rsid w:val="00F52862"/>
    <w:rsid w:val="00F52B0A"/>
    <w:rsid w:val="00F52B8E"/>
    <w:rsid w:val="00F52C46"/>
    <w:rsid w:val="00F52D6F"/>
    <w:rsid w:val="00F52E2D"/>
    <w:rsid w:val="00F52FAD"/>
    <w:rsid w:val="00F53018"/>
    <w:rsid w:val="00F53069"/>
    <w:rsid w:val="00F530BE"/>
    <w:rsid w:val="00F53392"/>
    <w:rsid w:val="00F534B1"/>
    <w:rsid w:val="00F534E6"/>
    <w:rsid w:val="00F535BC"/>
    <w:rsid w:val="00F537CE"/>
    <w:rsid w:val="00F539C2"/>
    <w:rsid w:val="00F53C50"/>
    <w:rsid w:val="00F53C95"/>
    <w:rsid w:val="00F53D0E"/>
    <w:rsid w:val="00F54150"/>
    <w:rsid w:val="00F54210"/>
    <w:rsid w:val="00F54486"/>
    <w:rsid w:val="00F546D2"/>
    <w:rsid w:val="00F5499E"/>
    <w:rsid w:val="00F54ACC"/>
    <w:rsid w:val="00F54AD2"/>
    <w:rsid w:val="00F54C17"/>
    <w:rsid w:val="00F54CBC"/>
    <w:rsid w:val="00F54CEF"/>
    <w:rsid w:val="00F54D6C"/>
    <w:rsid w:val="00F54D8A"/>
    <w:rsid w:val="00F54E2C"/>
    <w:rsid w:val="00F54EB8"/>
    <w:rsid w:val="00F55164"/>
    <w:rsid w:val="00F5516B"/>
    <w:rsid w:val="00F55278"/>
    <w:rsid w:val="00F5533B"/>
    <w:rsid w:val="00F553B4"/>
    <w:rsid w:val="00F553B8"/>
    <w:rsid w:val="00F554D6"/>
    <w:rsid w:val="00F554DC"/>
    <w:rsid w:val="00F55573"/>
    <w:rsid w:val="00F555B8"/>
    <w:rsid w:val="00F555EA"/>
    <w:rsid w:val="00F5576D"/>
    <w:rsid w:val="00F557B9"/>
    <w:rsid w:val="00F558B4"/>
    <w:rsid w:val="00F55B4D"/>
    <w:rsid w:val="00F55BA9"/>
    <w:rsid w:val="00F55D50"/>
    <w:rsid w:val="00F55E36"/>
    <w:rsid w:val="00F55EF7"/>
    <w:rsid w:val="00F55F79"/>
    <w:rsid w:val="00F55F8D"/>
    <w:rsid w:val="00F5604B"/>
    <w:rsid w:val="00F56115"/>
    <w:rsid w:val="00F56314"/>
    <w:rsid w:val="00F5652C"/>
    <w:rsid w:val="00F568C7"/>
    <w:rsid w:val="00F56AA2"/>
    <w:rsid w:val="00F56AC4"/>
    <w:rsid w:val="00F56B56"/>
    <w:rsid w:val="00F56C36"/>
    <w:rsid w:val="00F56D64"/>
    <w:rsid w:val="00F56E2F"/>
    <w:rsid w:val="00F56F90"/>
    <w:rsid w:val="00F5720E"/>
    <w:rsid w:val="00F57224"/>
    <w:rsid w:val="00F5722F"/>
    <w:rsid w:val="00F573E3"/>
    <w:rsid w:val="00F574C2"/>
    <w:rsid w:val="00F57740"/>
    <w:rsid w:val="00F57742"/>
    <w:rsid w:val="00F5797E"/>
    <w:rsid w:val="00F57B26"/>
    <w:rsid w:val="00F60543"/>
    <w:rsid w:val="00F605C7"/>
    <w:rsid w:val="00F60628"/>
    <w:rsid w:val="00F606C7"/>
    <w:rsid w:val="00F60955"/>
    <w:rsid w:val="00F60B9D"/>
    <w:rsid w:val="00F60DED"/>
    <w:rsid w:val="00F60FC4"/>
    <w:rsid w:val="00F611A8"/>
    <w:rsid w:val="00F611F0"/>
    <w:rsid w:val="00F61273"/>
    <w:rsid w:val="00F6132C"/>
    <w:rsid w:val="00F6165C"/>
    <w:rsid w:val="00F61687"/>
    <w:rsid w:val="00F616F3"/>
    <w:rsid w:val="00F6177B"/>
    <w:rsid w:val="00F617E0"/>
    <w:rsid w:val="00F6187C"/>
    <w:rsid w:val="00F619A7"/>
    <w:rsid w:val="00F61BAC"/>
    <w:rsid w:val="00F61CAE"/>
    <w:rsid w:val="00F61E15"/>
    <w:rsid w:val="00F61E38"/>
    <w:rsid w:val="00F61E3A"/>
    <w:rsid w:val="00F61E99"/>
    <w:rsid w:val="00F61ECE"/>
    <w:rsid w:val="00F61F1E"/>
    <w:rsid w:val="00F621E8"/>
    <w:rsid w:val="00F6222E"/>
    <w:rsid w:val="00F62317"/>
    <w:rsid w:val="00F62319"/>
    <w:rsid w:val="00F625F2"/>
    <w:rsid w:val="00F626D5"/>
    <w:rsid w:val="00F6273B"/>
    <w:rsid w:val="00F6281D"/>
    <w:rsid w:val="00F62954"/>
    <w:rsid w:val="00F62FE7"/>
    <w:rsid w:val="00F630C2"/>
    <w:rsid w:val="00F630C9"/>
    <w:rsid w:val="00F6314D"/>
    <w:rsid w:val="00F63179"/>
    <w:rsid w:val="00F63575"/>
    <w:rsid w:val="00F6360F"/>
    <w:rsid w:val="00F6374A"/>
    <w:rsid w:val="00F63791"/>
    <w:rsid w:val="00F6399E"/>
    <w:rsid w:val="00F63C8F"/>
    <w:rsid w:val="00F63DAB"/>
    <w:rsid w:val="00F63DDA"/>
    <w:rsid w:val="00F63E15"/>
    <w:rsid w:val="00F641CD"/>
    <w:rsid w:val="00F64665"/>
    <w:rsid w:val="00F649B5"/>
    <w:rsid w:val="00F64B3C"/>
    <w:rsid w:val="00F64B59"/>
    <w:rsid w:val="00F65126"/>
    <w:rsid w:val="00F65BFA"/>
    <w:rsid w:val="00F65C31"/>
    <w:rsid w:val="00F65EBA"/>
    <w:rsid w:val="00F65FF1"/>
    <w:rsid w:val="00F662D3"/>
    <w:rsid w:val="00F663EF"/>
    <w:rsid w:val="00F663F9"/>
    <w:rsid w:val="00F6658C"/>
    <w:rsid w:val="00F66591"/>
    <w:rsid w:val="00F665FE"/>
    <w:rsid w:val="00F66604"/>
    <w:rsid w:val="00F6682B"/>
    <w:rsid w:val="00F6688B"/>
    <w:rsid w:val="00F66E04"/>
    <w:rsid w:val="00F66E46"/>
    <w:rsid w:val="00F66F65"/>
    <w:rsid w:val="00F66FE0"/>
    <w:rsid w:val="00F67120"/>
    <w:rsid w:val="00F671F4"/>
    <w:rsid w:val="00F674FC"/>
    <w:rsid w:val="00F676DA"/>
    <w:rsid w:val="00F678EC"/>
    <w:rsid w:val="00F67B0F"/>
    <w:rsid w:val="00F67FE1"/>
    <w:rsid w:val="00F7006A"/>
    <w:rsid w:val="00F700AB"/>
    <w:rsid w:val="00F70160"/>
    <w:rsid w:val="00F70237"/>
    <w:rsid w:val="00F704D2"/>
    <w:rsid w:val="00F70682"/>
    <w:rsid w:val="00F70768"/>
    <w:rsid w:val="00F70888"/>
    <w:rsid w:val="00F70ADE"/>
    <w:rsid w:val="00F70C18"/>
    <w:rsid w:val="00F70E55"/>
    <w:rsid w:val="00F70EF3"/>
    <w:rsid w:val="00F711EB"/>
    <w:rsid w:val="00F711FE"/>
    <w:rsid w:val="00F713F0"/>
    <w:rsid w:val="00F71D2A"/>
    <w:rsid w:val="00F71EA4"/>
    <w:rsid w:val="00F71EFA"/>
    <w:rsid w:val="00F71F2F"/>
    <w:rsid w:val="00F7213A"/>
    <w:rsid w:val="00F72284"/>
    <w:rsid w:val="00F72285"/>
    <w:rsid w:val="00F72450"/>
    <w:rsid w:val="00F724BD"/>
    <w:rsid w:val="00F72558"/>
    <w:rsid w:val="00F725F5"/>
    <w:rsid w:val="00F72701"/>
    <w:rsid w:val="00F72808"/>
    <w:rsid w:val="00F72912"/>
    <w:rsid w:val="00F72B42"/>
    <w:rsid w:val="00F72BB2"/>
    <w:rsid w:val="00F72BF2"/>
    <w:rsid w:val="00F72C3D"/>
    <w:rsid w:val="00F72E16"/>
    <w:rsid w:val="00F72E44"/>
    <w:rsid w:val="00F72E92"/>
    <w:rsid w:val="00F72EA8"/>
    <w:rsid w:val="00F72EC8"/>
    <w:rsid w:val="00F72F7B"/>
    <w:rsid w:val="00F7300A"/>
    <w:rsid w:val="00F73018"/>
    <w:rsid w:val="00F730C9"/>
    <w:rsid w:val="00F73103"/>
    <w:rsid w:val="00F7333F"/>
    <w:rsid w:val="00F733F3"/>
    <w:rsid w:val="00F738EA"/>
    <w:rsid w:val="00F73A39"/>
    <w:rsid w:val="00F73A56"/>
    <w:rsid w:val="00F73B46"/>
    <w:rsid w:val="00F73BE1"/>
    <w:rsid w:val="00F73CBB"/>
    <w:rsid w:val="00F73D05"/>
    <w:rsid w:val="00F73D47"/>
    <w:rsid w:val="00F73D84"/>
    <w:rsid w:val="00F73E47"/>
    <w:rsid w:val="00F73FE3"/>
    <w:rsid w:val="00F741EE"/>
    <w:rsid w:val="00F746F1"/>
    <w:rsid w:val="00F748DA"/>
    <w:rsid w:val="00F74E50"/>
    <w:rsid w:val="00F75386"/>
    <w:rsid w:val="00F753A7"/>
    <w:rsid w:val="00F7556E"/>
    <w:rsid w:val="00F758FF"/>
    <w:rsid w:val="00F75ABF"/>
    <w:rsid w:val="00F75D3A"/>
    <w:rsid w:val="00F75F5B"/>
    <w:rsid w:val="00F76044"/>
    <w:rsid w:val="00F760F7"/>
    <w:rsid w:val="00F761B5"/>
    <w:rsid w:val="00F761DD"/>
    <w:rsid w:val="00F762B4"/>
    <w:rsid w:val="00F76336"/>
    <w:rsid w:val="00F764CA"/>
    <w:rsid w:val="00F76675"/>
    <w:rsid w:val="00F76AF1"/>
    <w:rsid w:val="00F76FC1"/>
    <w:rsid w:val="00F76FF3"/>
    <w:rsid w:val="00F7703D"/>
    <w:rsid w:val="00F77185"/>
    <w:rsid w:val="00F771F7"/>
    <w:rsid w:val="00F77215"/>
    <w:rsid w:val="00F772A0"/>
    <w:rsid w:val="00F772CC"/>
    <w:rsid w:val="00F77325"/>
    <w:rsid w:val="00F7732B"/>
    <w:rsid w:val="00F7747A"/>
    <w:rsid w:val="00F774B1"/>
    <w:rsid w:val="00F7751F"/>
    <w:rsid w:val="00F77693"/>
    <w:rsid w:val="00F7789E"/>
    <w:rsid w:val="00F778D2"/>
    <w:rsid w:val="00F77984"/>
    <w:rsid w:val="00F77A8F"/>
    <w:rsid w:val="00F77D6C"/>
    <w:rsid w:val="00F77DDB"/>
    <w:rsid w:val="00F77E1E"/>
    <w:rsid w:val="00F77F2B"/>
    <w:rsid w:val="00F800D0"/>
    <w:rsid w:val="00F80139"/>
    <w:rsid w:val="00F803D1"/>
    <w:rsid w:val="00F80433"/>
    <w:rsid w:val="00F805B1"/>
    <w:rsid w:val="00F805BB"/>
    <w:rsid w:val="00F80A7F"/>
    <w:rsid w:val="00F80B1A"/>
    <w:rsid w:val="00F80BBD"/>
    <w:rsid w:val="00F81104"/>
    <w:rsid w:val="00F8155F"/>
    <w:rsid w:val="00F81591"/>
    <w:rsid w:val="00F816D8"/>
    <w:rsid w:val="00F8184D"/>
    <w:rsid w:val="00F81921"/>
    <w:rsid w:val="00F81BB6"/>
    <w:rsid w:val="00F81BD6"/>
    <w:rsid w:val="00F81C1C"/>
    <w:rsid w:val="00F81DF2"/>
    <w:rsid w:val="00F81EDA"/>
    <w:rsid w:val="00F81F08"/>
    <w:rsid w:val="00F82143"/>
    <w:rsid w:val="00F82448"/>
    <w:rsid w:val="00F825AB"/>
    <w:rsid w:val="00F825B5"/>
    <w:rsid w:val="00F825C9"/>
    <w:rsid w:val="00F82806"/>
    <w:rsid w:val="00F82A8B"/>
    <w:rsid w:val="00F82B7F"/>
    <w:rsid w:val="00F82C4A"/>
    <w:rsid w:val="00F82D66"/>
    <w:rsid w:val="00F82EA5"/>
    <w:rsid w:val="00F82F5D"/>
    <w:rsid w:val="00F8318C"/>
    <w:rsid w:val="00F833B3"/>
    <w:rsid w:val="00F833D1"/>
    <w:rsid w:val="00F8347C"/>
    <w:rsid w:val="00F834CF"/>
    <w:rsid w:val="00F8359F"/>
    <w:rsid w:val="00F837D8"/>
    <w:rsid w:val="00F8388F"/>
    <w:rsid w:val="00F83CC3"/>
    <w:rsid w:val="00F83D53"/>
    <w:rsid w:val="00F83E14"/>
    <w:rsid w:val="00F83E2A"/>
    <w:rsid w:val="00F84093"/>
    <w:rsid w:val="00F8418F"/>
    <w:rsid w:val="00F841CA"/>
    <w:rsid w:val="00F84356"/>
    <w:rsid w:val="00F843ED"/>
    <w:rsid w:val="00F843F8"/>
    <w:rsid w:val="00F84515"/>
    <w:rsid w:val="00F8455E"/>
    <w:rsid w:val="00F845ED"/>
    <w:rsid w:val="00F8470C"/>
    <w:rsid w:val="00F84712"/>
    <w:rsid w:val="00F8476F"/>
    <w:rsid w:val="00F8488D"/>
    <w:rsid w:val="00F84BA9"/>
    <w:rsid w:val="00F850F6"/>
    <w:rsid w:val="00F852A9"/>
    <w:rsid w:val="00F852CE"/>
    <w:rsid w:val="00F852DE"/>
    <w:rsid w:val="00F85431"/>
    <w:rsid w:val="00F854F1"/>
    <w:rsid w:val="00F856FE"/>
    <w:rsid w:val="00F85893"/>
    <w:rsid w:val="00F85B8F"/>
    <w:rsid w:val="00F85E6C"/>
    <w:rsid w:val="00F85E99"/>
    <w:rsid w:val="00F85EE3"/>
    <w:rsid w:val="00F860D0"/>
    <w:rsid w:val="00F862D5"/>
    <w:rsid w:val="00F86821"/>
    <w:rsid w:val="00F86A41"/>
    <w:rsid w:val="00F86D98"/>
    <w:rsid w:val="00F86E31"/>
    <w:rsid w:val="00F86F6C"/>
    <w:rsid w:val="00F86F6D"/>
    <w:rsid w:val="00F872B8"/>
    <w:rsid w:val="00F8734A"/>
    <w:rsid w:val="00F875C1"/>
    <w:rsid w:val="00F87758"/>
    <w:rsid w:val="00F87B0F"/>
    <w:rsid w:val="00F87B55"/>
    <w:rsid w:val="00F87C31"/>
    <w:rsid w:val="00F87EAE"/>
    <w:rsid w:val="00F90071"/>
    <w:rsid w:val="00F90090"/>
    <w:rsid w:val="00F90099"/>
    <w:rsid w:val="00F9025D"/>
    <w:rsid w:val="00F90285"/>
    <w:rsid w:val="00F902B7"/>
    <w:rsid w:val="00F905BC"/>
    <w:rsid w:val="00F90620"/>
    <w:rsid w:val="00F9085B"/>
    <w:rsid w:val="00F90A31"/>
    <w:rsid w:val="00F90A35"/>
    <w:rsid w:val="00F90B3E"/>
    <w:rsid w:val="00F910EF"/>
    <w:rsid w:val="00F910FF"/>
    <w:rsid w:val="00F91136"/>
    <w:rsid w:val="00F9114E"/>
    <w:rsid w:val="00F91324"/>
    <w:rsid w:val="00F9157F"/>
    <w:rsid w:val="00F91B1C"/>
    <w:rsid w:val="00F91C47"/>
    <w:rsid w:val="00F91D05"/>
    <w:rsid w:val="00F91EC6"/>
    <w:rsid w:val="00F91F56"/>
    <w:rsid w:val="00F91FB6"/>
    <w:rsid w:val="00F9212E"/>
    <w:rsid w:val="00F92513"/>
    <w:rsid w:val="00F9253E"/>
    <w:rsid w:val="00F9261C"/>
    <w:rsid w:val="00F927FF"/>
    <w:rsid w:val="00F9290E"/>
    <w:rsid w:val="00F92B25"/>
    <w:rsid w:val="00F92BAB"/>
    <w:rsid w:val="00F92F92"/>
    <w:rsid w:val="00F9302F"/>
    <w:rsid w:val="00F93323"/>
    <w:rsid w:val="00F9343E"/>
    <w:rsid w:val="00F934B1"/>
    <w:rsid w:val="00F9350F"/>
    <w:rsid w:val="00F93539"/>
    <w:rsid w:val="00F935BB"/>
    <w:rsid w:val="00F9362A"/>
    <w:rsid w:val="00F93697"/>
    <w:rsid w:val="00F93733"/>
    <w:rsid w:val="00F9390F"/>
    <w:rsid w:val="00F93973"/>
    <w:rsid w:val="00F93CD2"/>
    <w:rsid w:val="00F93E0A"/>
    <w:rsid w:val="00F93FB7"/>
    <w:rsid w:val="00F93FC9"/>
    <w:rsid w:val="00F94271"/>
    <w:rsid w:val="00F9445F"/>
    <w:rsid w:val="00F94855"/>
    <w:rsid w:val="00F94961"/>
    <w:rsid w:val="00F94A26"/>
    <w:rsid w:val="00F94D69"/>
    <w:rsid w:val="00F94FDB"/>
    <w:rsid w:val="00F95054"/>
    <w:rsid w:val="00F95083"/>
    <w:rsid w:val="00F9513A"/>
    <w:rsid w:val="00F953F1"/>
    <w:rsid w:val="00F95426"/>
    <w:rsid w:val="00F95431"/>
    <w:rsid w:val="00F95437"/>
    <w:rsid w:val="00F955EB"/>
    <w:rsid w:val="00F9573E"/>
    <w:rsid w:val="00F95839"/>
    <w:rsid w:val="00F958B0"/>
    <w:rsid w:val="00F958B3"/>
    <w:rsid w:val="00F959BB"/>
    <w:rsid w:val="00F959BC"/>
    <w:rsid w:val="00F95F0A"/>
    <w:rsid w:val="00F95FA7"/>
    <w:rsid w:val="00F96133"/>
    <w:rsid w:val="00F9641D"/>
    <w:rsid w:val="00F96463"/>
    <w:rsid w:val="00F966FE"/>
    <w:rsid w:val="00F96797"/>
    <w:rsid w:val="00F9679E"/>
    <w:rsid w:val="00F96868"/>
    <w:rsid w:val="00F96900"/>
    <w:rsid w:val="00F96A95"/>
    <w:rsid w:val="00F96D8E"/>
    <w:rsid w:val="00F96E21"/>
    <w:rsid w:val="00F96F06"/>
    <w:rsid w:val="00F96F16"/>
    <w:rsid w:val="00F96FF3"/>
    <w:rsid w:val="00F9703C"/>
    <w:rsid w:val="00F97143"/>
    <w:rsid w:val="00F9729E"/>
    <w:rsid w:val="00F9749B"/>
    <w:rsid w:val="00F9786F"/>
    <w:rsid w:val="00F97930"/>
    <w:rsid w:val="00F97B00"/>
    <w:rsid w:val="00F97B2E"/>
    <w:rsid w:val="00F97B78"/>
    <w:rsid w:val="00FA0090"/>
    <w:rsid w:val="00FA0329"/>
    <w:rsid w:val="00FA036E"/>
    <w:rsid w:val="00FA03A5"/>
    <w:rsid w:val="00FA03E6"/>
    <w:rsid w:val="00FA05BC"/>
    <w:rsid w:val="00FA05C5"/>
    <w:rsid w:val="00FA096A"/>
    <w:rsid w:val="00FA0991"/>
    <w:rsid w:val="00FA09BA"/>
    <w:rsid w:val="00FA09F8"/>
    <w:rsid w:val="00FA0A9E"/>
    <w:rsid w:val="00FA0B52"/>
    <w:rsid w:val="00FA0C08"/>
    <w:rsid w:val="00FA0C19"/>
    <w:rsid w:val="00FA0C1F"/>
    <w:rsid w:val="00FA0D6F"/>
    <w:rsid w:val="00FA0DB5"/>
    <w:rsid w:val="00FA1049"/>
    <w:rsid w:val="00FA1399"/>
    <w:rsid w:val="00FA145C"/>
    <w:rsid w:val="00FA14A7"/>
    <w:rsid w:val="00FA153F"/>
    <w:rsid w:val="00FA15AC"/>
    <w:rsid w:val="00FA15BF"/>
    <w:rsid w:val="00FA169A"/>
    <w:rsid w:val="00FA1757"/>
    <w:rsid w:val="00FA1851"/>
    <w:rsid w:val="00FA18A8"/>
    <w:rsid w:val="00FA1943"/>
    <w:rsid w:val="00FA1A42"/>
    <w:rsid w:val="00FA1A77"/>
    <w:rsid w:val="00FA1AF9"/>
    <w:rsid w:val="00FA1E4E"/>
    <w:rsid w:val="00FA2283"/>
    <w:rsid w:val="00FA249F"/>
    <w:rsid w:val="00FA24D2"/>
    <w:rsid w:val="00FA2639"/>
    <w:rsid w:val="00FA280A"/>
    <w:rsid w:val="00FA2A98"/>
    <w:rsid w:val="00FA2AC2"/>
    <w:rsid w:val="00FA2BF8"/>
    <w:rsid w:val="00FA2E5D"/>
    <w:rsid w:val="00FA2EBA"/>
    <w:rsid w:val="00FA3009"/>
    <w:rsid w:val="00FA3588"/>
    <w:rsid w:val="00FA360E"/>
    <w:rsid w:val="00FA368F"/>
    <w:rsid w:val="00FA3738"/>
    <w:rsid w:val="00FA39F2"/>
    <w:rsid w:val="00FA3F66"/>
    <w:rsid w:val="00FA45FA"/>
    <w:rsid w:val="00FA479F"/>
    <w:rsid w:val="00FA49AC"/>
    <w:rsid w:val="00FA4B22"/>
    <w:rsid w:val="00FA4C2A"/>
    <w:rsid w:val="00FA4D36"/>
    <w:rsid w:val="00FA510C"/>
    <w:rsid w:val="00FA5258"/>
    <w:rsid w:val="00FA52CD"/>
    <w:rsid w:val="00FA54D5"/>
    <w:rsid w:val="00FA5504"/>
    <w:rsid w:val="00FA55F1"/>
    <w:rsid w:val="00FA56E0"/>
    <w:rsid w:val="00FA59C2"/>
    <w:rsid w:val="00FA59F6"/>
    <w:rsid w:val="00FA5C89"/>
    <w:rsid w:val="00FA5EA0"/>
    <w:rsid w:val="00FA5EEB"/>
    <w:rsid w:val="00FA60E0"/>
    <w:rsid w:val="00FA6208"/>
    <w:rsid w:val="00FA6279"/>
    <w:rsid w:val="00FA6356"/>
    <w:rsid w:val="00FA6379"/>
    <w:rsid w:val="00FA67F1"/>
    <w:rsid w:val="00FA6882"/>
    <w:rsid w:val="00FA69BF"/>
    <w:rsid w:val="00FA6A51"/>
    <w:rsid w:val="00FA6B7E"/>
    <w:rsid w:val="00FA6BE5"/>
    <w:rsid w:val="00FA6F65"/>
    <w:rsid w:val="00FA705E"/>
    <w:rsid w:val="00FA708A"/>
    <w:rsid w:val="00FA7101"/>
    <w:rsid w:val="00FA7117"/>
    <w:rsid w:val="00FA71D2"/>
    <w:rsid w:val="00FA7338"/>
    <w:rsid w:val="00FA751D"/>
    <w:rsid w:val="00FA7560"/>
    <w:rsid w:val="00FA7622"/>
    <w:rsid w:val="00FA7779"/>
    <w:rsid w:val="00FA7A34"/>
    <w:rsid w:val="00FA7C67"/>
    <w:rsid w:val="00FA7EB0"/>
    <w:rsid w:val="00FA7F9C"/>
    <w:rsid w:val="00FB04E3"/>
    <w:rsid w:val="00FB0613"/>
    <w:rsid w:val="00FB09CC"/>
    <w:rsid w:val="00FB0A76"/>
    <w:rsid w:val="00FB0B4C"/>
    <w:rsid w:val="00FB0C10"/>
    <w:rsid w:val="00FB13B4"/>
    <w:rsid w:val="00FB1462"/>
    <w:rsid w:val="00FB153C"/>
    <w:rsid w:val="00FB1975"/>
    <w:rsid w:val="00FB1DF4"/>
    <w:rsid w:val="00FB1EA1"/>
    <w:rsid w:val="00FB256F"/>
    <w:rsid w:val="00FB259C"/>
    <w:rsid w:val="00FB282B"/>
    <w:rsid w:val="00FB28E1"/>
    <w:rsid w:val="00FB296D"/>
    <w:rsid w:val="00FB3048"/>
    <w:rsid w:val="00FB30B4"/>
    <w:rsid w:val="00FB3236"/>
    <w:rsid w:val="00FB3341"/>
    <w:rsid w:val="00FB336E"/>
    <w:rsid w:val="00FB381E"/>
    <w:rsid w:val="00FB39F7"/>
    <w:rsid w:val="00FB3CE3"/>
    <w:rsid w:val="00FB3EB5"/>
    <w:rsid w:val="00FB3F8A"/>
    <w:rsid w:val="00FB415C"/>
    <w:rsid w:val="00FB450F"/>
    <w:rsid w:val="00FB4688"/>
    <w:rsid w:val="00FB46A9"/>
    <w:rsid w:val="00FB4777"/>
    <w:rsid w:val="00FB477E"/>
    <w:rsid w:val="00FB4872"/>
    <w:rsid w:val="00FB48A6"/>
    <w:rsid w:val="00FB495B"/>
    <w:rsid w:val="00FB4A9D"/>
    <w:rsid w:val="00FB4C4E"/>
    <w:rsid w:val="00FB4C83"/>
    <w:rsid w:val="00FB4EFC"/>
    <w:rsid w:val="00FB504E"/>
    <w:rsid w:val="00FB5099"/>
    <w:rsid w:val="00FB5163"/>
    <w:rsid w:val="00FB51FB"/>
    <w:rsid w:val="00FB53C0"/>
    <w:rsid w:val="00FB553C"/>
    <w:rsid w:val="00FB56BC"/>
    <w:rsid w:val="00FB5750"/>
    <w:rsid w:val="00FB57DB"/>
    <w:rsid w:val="00FB603F"/>
    <w:rsid w:val="00FB6054"/>
    <w:rsid w:val="00FB64CA"/>
    <w:rsid w:val="00FB65D0"/>
    <w:rsid w:val="00FB661F"/>
    <w:rsid w:val="00FB6669"/>
    <w:rsid w:val="00FB66B5"/>
    <w:rsid w:val="00FB6983"/>
    <w:rsid w:val="00FB6993"/>
    <w:rsid w:val="00FB6A68"/>
    <w:rsid w:val="00FB6B4B"/>
    <w:rsid w:val="00FB6B55"/>
    <w:rsid w:val="00FB6B5D"/>
    <w:rsid w:val="00FB6B71"/>
    <w:rsid w:val="00FB6C63"/>
    <w:rsid w:val="00FB723E"/>
    <w:rsid w:val="00FB7266"/>
    <w:rsid w:val="00FB7288"/>
    <w:rsid w:val="00FB73B3"/>
    <w:rsid w:val="00FB73CE"/>
    <w:rsid w:val="00FB7864"/>
    <w:rsid w:val="00FB7C10"/>
    <w:rsid w:val="00FB7D0A"/>
    <w:rsid w:val="00FC00A9"/>
    <w:rsid w:val="00FC033F"/>
    <w:rsid w:val="00FC0618"/>
    <w:rsid w:val="00FC06E3"/>
    <w:rsid w:val="00FC06F1"/>
    <w:rsid w:val="00FC1290"/>
    <w:rsid w:val="00FC1372"/>
    <w:rsid w:val="00FC14F8"/>
    <w:rsid w:val="00FC15E1"/>
    <w:rsid w:val="00FC1789"/>
    <w:rsid w:val="00FC1823"/>
    <w:rsid w:val="00FC188C"/>
    <w:rsid w:val="00FC1A6A"/>
    <w:rsid w:val="00FC2134"/>
    <w:rsid w:val="00FC2178"/>
    <w:rsid w:val="00FC2259"/>
    <w:rsid w:val="00FC227C"/>
    <w:rsid w:val="00FC22AB"/>
    <w:rsid w:val="00FC26FE"/>
    <w:rsid w:val="00FC272E"/>
    <w:rsid w:val="00FC2877"/>
    <w:rsid w:val="00FC28C0"/>
    <w:rsid w:val="00FC294A"/>
    <w:rsid w:val="00FC2953"/>
    <w:rsid w:val="00FC2962"/>
    <w:rsid w:val="00FC2A5A"/>
    <w:rsid w:val="00FC2B5C"/>
    <w:rsid w:val="00FC2C75"/>
    <w:rsid w:val="00FC2EBD"/>
    <w:rsid w:val="00FC30F3"/>
    <w:rsid w:val="00FC3161"/>
    <w:rsid w:val="00FC329C"/>
    <w:rsid w:val="00FC36A2"/>
    <w:rsid w:val="00FC36C2"/>
    <w:rsid w:val="00FC3D1B"/>
    <w:rsid w:val="00FC3F2E"/>
    <w:rsid w:val="00FC4348"/>
    <w:rsid w:val="00FC4359"/>
    <w:rsid w:val="00FC44C4"/>
    <w:rsid w:val="00FC4525"/>
    <w:rsid w:val="00FC45DA"/>
    <w:rsid w:val="00FC45F3"/>
    <w:rsid w:val="00FC4868"/>
    <w:rsid w:val="00FC4AAF"/>
    <w:rsid w:val="00FC4C74"/>
    <w:rsid w:val="00FC4DBB"/>
    <w:rsid w:val="00FC4DBD"/>
    <w:rsid w:val="00FC4F88"/>
    <w:rsid w:val="00FC506D"/>
    <w:rsid w:val="00FC5188"/>
    <w:rsid w:val="00FC53EF"/>
    <w:rsid w:val="00FC5403"/>
    <w:rsid w:val="00FC5783"/>
    <w:rsid w:val="00FC5928"/>
    <w:rsid w:val="00FC594B"/>
    <w:rsid w:val="00FC5A1A"/>
    <w:rsid w:val="00FC5A23"/>
    <w:rsid w:val="00FC5BD8"/>
    <w:rsid w:val="00FC5C28"/>
    <w:rsid w:val="00FC5C3D"/>
    <w:rsid w:val="00FC5C9E"/>
    <w:rsid w:val="00FC5DBD"/>
    <w:rsid w:val="00FC5EE9"/>
    <w:rsid w:val="00FC5F2E"/>
    <w:rsid w:val="00FC6461"/>
    <w:rsid w:val="00FC64CE"/>
    <w:rsid w:val="00FC66C0"/>
    <w:rsid w:val="00FC6777"/>
    <w:rsid w:val="00FC6AED"/>
    <w:rsid w:val="00FC6F87"/>
    <w:rsid w:val="00FC700F"/>
    <w:rsid w:val="00FC73EB"/>
    <w:rsid w:val="00FC7AB4"/>
    <w:rsid w:val="00FC7ADB"/>
    <w:rsid w:val="00FC7B45"/>
    <w:rsid w:val="00FC7CA6"/>
    <w:rsid w:val="00FC7CA8"/>
    <w:rsid w:val="00FC7CAF"/>
    <w:rsid w:val="00FC7DDB"/>
    <w:rsid w:val="00FC7E96"/>
    <w:rsid w:val="00FC7EF4"/>
    <w:rsid w:val="00FD0266"/>
    <w:rsid w:val="00FD0366"/>
    <w:rsid w:val="00FD043C"/>
    <w:rsid w:val="00FD0713"/>
    <w:rsid w:val="00FD07C6"/>
    <w:rsid w:val="00FD0B2D"/>
    <w:rsid w:val="00FD0B65"/>
    <w:rsid w:val="00FD0C9C"/>
    <w:rsid w:val="00FD0DA5"/>
    <w:rsid w:val="00FD0E6F"/>
    <w:rsid w:val="00FD1088"/>
    <w:rsid w:val="00FD1183"/>
    <w:rsid w:val="00FD154C"/>
    <w:rsid w:val="00FD177E"/>
    <w:rsid w:val="00FD17D2"/>
    <w:rsid w:val="00FD180A"/>
    <w:rsid w:val="00FD1999"/>
    <w:rsid w:val="00FD1A92"/>
    <w:rsid w:val="00FD1D72"/>
    <w:rsid w:val="00FD1E6A"/>
    <w:rsid w:val="00FD21D8"/>
    <w:rsid w:val="00FD22B1"/>
    <w:rsid w:val="00FD22FF"/>
    <w:rsid w:val="00FD2394"/>
    <w:rsid w:val="00FD25C6"/>
    <w:rsid w:val="00FD264A"/>
    <w:rsid w:val="00FD2677"/>
    <w:rsid w:val="00FD27AC"/>
    <w:rsid w:val="00FD29FF"/>
    <w:rsid w:val="00FD2E62"/>
    <w:rsid w:val="00FD2E63"/>
    <w:rsid w:val="00FD30BA"/>
    <w:rsid w:val="00FD3211"/>
    <w:rsid w:val="00FD3471"/>
    <w:rsid w:val="00FD379F"/>
    <w:rsid w:val="00FD38A3"/>
    <w:rsid w:val="00FD3A92"/>
    <w:rsid w:val="00FD3B79"/>
    <w:rsid w:val="00FD3BCA"/>
    <w:rsid w:val="00FD3FFD"/>
    <w:rsid w:val="00FD41C3"/>
    <w:rsid w:val="00FD4211"/>
    <w:rsid w:val="00FD468C"/>
    <w:rsid w:val="00FD4797"/>
    <w:rsid w:val="00FD4979"/>
    <w:rsid w:val="00FD4C7D"/>
    <w:rsid w:val="00FD4D9D"/>
    <w:rsid w:val="00FD4E0A"/>
    <w:rsid w:val="00FD501F"/>
    <w:rsid w:val="00FD55DB"/>
    <w:rsid w:val="00FD5726"/>
    <w:rsid w:val="00FD5900"/>
    <w:rsid w:val="00FD59B6"/>
    <w:rsid w:val="00FD5B0D"/>
    <w:rsid w:val="00FD5B2C"/>
    <w:rsid w:val="00FD5D42"/>
    <w:rsid w:val="00FD5F42"/>
    <w:rsid w:val="00FD5FAA"/>
    <w:rsid w:val="00FD6128"/>
    <w:rsid w:val="00FD629A"/>
    <w:rsid w:val="00FD6457"/>
    <w:rsid w:val="00FD6478"/>
    <w:rsid w:val="00FD6529"/>
    <w:rsid w:val="00FD6776"/>
    <w:rsid w:val="00FD69B6"/>
    <w:rsid w:val="00FD6A58"/>
    <w:rsid w:val="00FD6CA2"/>
    <w:rsid w:val="00FD6D8E"/>
    <w:rsid w:val="00FD719C"/>
    <w:rsid w:val="00FD7210"/>
    <w:rsid w:val="00FD767F"/>
    <w:rsid w:val="00FD76E5"/>
    <w:rsid w:val="00FD7766"/>
    <w:rsid w:val="00FD7841"/>
    <w:rsid w:val="00FD78F7"/>
    <w:rsid w:val="00FD7F40"/>
    <w:rsid w:val="00FE00C8"/>
    <w:rsid w:val="00FE0376"/>
    <w:rsid w:val="00FE03A9"/>
    <w:rsid w:val="00FE05BE"/>
    <w:rsid w:val="00FE060C"/>
    <w:rsid w:val="00FE0658"/>
    <w:rsid w:val="00FE06FB"/>
    <w:rsid w:val="00FE0B7F"/>
    <w:rsid w:val="00FE0F05"/>
    <w:rsid w:val="00FE104B"/>
    <w:rsid w:val="00FE1102"/>
    <w:rsid w:val="00FE1105"/>
    <w:rsid w:val="00FE1372"/>
    <w:rsid w:val="00FE1440"/>
    <w:rsid w:val="00FE14E5"/>
    <w:rsid w:val="00FE1A80"/>
    <w:rsid w:val="00FE1AFB"/>
    <w:rsid w:val="00FE1B08"/>
    <w:rsid w:val="00FE228D"/>
    <w:rsid w:val="00FE2354"/>
    <w:rsid w:val="00FE23C4"/>
    <w:rsid w:val="00FE2431"/>
    <w:rsid w:val="00FE2A44"/>
    <w:rsid w:val="00FE2B56"/>
    <w:rsid w:val="00FE2D9A"/>
    <w:rsid w:val="00FE2DCA"/>
    <w:rsid w:val="00FE2E95"/>
    <w:rsid w:val="00FE2E9A"/>
    <w:rsid w:val="00FE3585"/>
    <w:rsid w:val="00FE35CF"/>
    <w:rsid w:val="00FE3605"/>
    <w:rsid w:val="00FE36A9"/>
    <w:rsid w:val="00FE38F5"/>
    <w:rsid w:val="00FE3E82"/>
    <w:rsid w:val="00FE3FA4"/>
    <w:rsid w:val="00FE40CD"/>
    <w:rsid w:val="00FE419E"/>
    <w:rsid w:val="00FE42BE"/>
    <w:rsid w:val="00FE4337"/>
    <w:rsid w:val="00FE44EC"/>
    <w:rsid w:val="00FE4776"/>
    <w:rsid w:val="00FE47AC"/>
    <w:rsid w:val="00FE47B2"/>
    <w:rsid w:val="00FE495E"/>
    <w:rsid w:val="00FE4A02"/>
    <w:rsid w:val="00FE4AEE"/>
    <w:rsid w:val="00FE4C46"/>
    <w:rsid w:val="00FE4C58"/>
    <w:rsid w:val="00FE4CCB"/>
    <w:rsid w:val="00FE502A"/>
    <w:rsid w:val="00FE51B6"/>
    <w:rsid w:val="00FE5782"/>
    <w:rsid w:val="00FE5AB5"/>
    <w:rsid w:val="00FE5AEC"/>
    <w:rsid w:val="00FE5D4A"/>
    <w:rsid w:val="00FE5D4F"/>
    <w:rsid w:val="00FE6194"/>
    <w:rsid w:val="00FE6455"/>
    <w:rsid w:val="00FE64BE"/>
    <w:rsid w:val="00FE64D6"/>
    <w:rsid w:val="00FE659A"/>
    <w:rsid w:val="00FE6746"/>
    <w:rsid w:val="00FE6783"/>
    <w:rsid w:val="00FE6815"/>
    <w:rsid w:val="00FE681B"/>
    <w:rsid w:val="00FE6838"/>
    <w:rsid w:val="00FE68B0"/>
    <w:rsid w:val="00FE69DC"/>
    <w:rsid w:val="00FE6AC7"/>
    <w:rsid w:val="00FE6E19"/>
    <w:rsid w:val="00FE6E4F"/>
    <w:rsid w:val="00FE7090"/>
    <w:rsid w:val="00FE72F0"/>
    <w:rsid w:val="00FE7399"/>
    <w:rsid w:val="00FE74FB"/>
    <w:rsid w:val="00FE7817"/>
    <w:rsid w:val="00FE784E"/>
    <w:rsid w:val="00FE787C"/>
    <w:rsid w:val="00FE7AA3"/>
    <w:rsid w:val="00FE7C3E"/>
    <w:rsid w:val="00FE7C50"/>
    <w:rsid w:val="00FE7CD5"/>
    <w:rsid w:val="00FE7DCE"/>
    <w:rsid w:val="00FE7EE9"/>
    <w:rsid w:val="00FF00C4"/>
    <w:rsid w:val="00FF05C3"/>
    <w:rsid w:val="00FF062A"/>
    <w:rsid w:val="00FF0688"/>
    <w:rsid w:val="00FF0711"/>
    <w:rsid w:val="00FF074C"/>
    <w:rsid w:val="00FF08F0"/>
    <w:rsid w:val="00FF08F7"/>
    <w:rsid w:val="00FF0A53"/>
    <w:rsid w:val="00FF0AAC"/>
    <w:rsid w:val="00FF0B31"/>
    <w:rsid w:val="00FF0C8F"/>
    <w:rsid w:val="00FF0D39"/>
    <w:rsid w:val="00FF1068"/>
    <w:rsid w:val="00FF10D7"/>
    <w:rsid w:val="00FF11FD"/>
    <w:rsid w:val="00FF12AE"/>
    <w:rsid w:val="00FF12CE"/>
    <w:rsid w:val="00FF133D"/>
    <w:rsid w:val="00FF1486"/>
    <w:rsid w:val="00FF1648"/>
    <w:rsid w:val="00FF176A"/>
    <w:rsid w:val="00FF1A78"/>
    <w:rsid w:val="00FF1AD4"/>
    <w:rsid w:val="00FF1BA5"/>
    <w:rsid w:val="00FF1EC5"/>
    <w:rsid w:val="00FF2231"/>
    <w:rsid w:val="00FF2293"/>
    <w:rsid w:val="00FF23DD"/>
    <w:rsid w:val="00FF2550"/>
    <w:rsid w:val="00FF2559"/>
    <w:rsid w:val="00FF2A66"/>
    <w:rsid w:val="00FF2B79"/>
    <w:rsid w:val="00FF2CCB"/>
    <w:rsid w:val="00FF2CCC"/>
    <w:rsid w:val="00FF2D0D"/>
    <w:rsid w:val="00FF2D71"/>
    <w:rsid w:val="00FF300A"/>
    <w:rsid w:val="00FF31C9"/>
    <w:rsid w:val="00FF321A"/>
    <w:rsid w:val="00FF3265"/>
    <w:rsid w:val="00FF3592"/>
    <w:rsid w:val="00FF371B"/>
    <w:rsid w:val="00FF3872"/>
    <w:rsid w:val="00FF3955"/>
    <w:rsid w:val="00FF3C2E"/>
    <w:rsid w:val="00FF3C58"/>
    <w:rsid w:val="00FF3D13"/>
    <w:rsid w:val="00FF421F"/>
    <w:rsid w:val="00FF422F"/>
    <w:rsid w:val="00FF425A"/>
    <w:rsid w:val="00FF44C7"/>
    <w:rsid w:val="00FF4632"/>
    <w:rsid w:val="00FF4833"/>
    <w:rsid w:val="00FF488E"/>
    <w:rsid w:val="00FF4894"/>
    <w:rsid w:val="00FF4BBF"/>
    <w:rsid w:val="00FF4EF6"/>
    <w:rsid w:val="00FF5299"/>
    <w:rsid w:val="00FF5513"/>
    <w:rsid w:val="00FF5559"/>
    <w:rsid w:val="00FF5679"/>
    <w:rsid w:val="00FF56CA"/>
    <w:rsid w:val="00FF585A"/>
    <w:rsid w:val="00FF590F"/>
    <w:rsid w:val="00FF5B35"/>
    <w:rsid w:val="00FF5B6F"/>
    <w:rsid w:val="00FF5BE1"/>
    <w:rsid w:val="00FF610D"/>
    <w:rsid w:val="00FF6389"/>
    <w:rsid w:val="00FF64FE"/>
    <w:rsid w:val="00FF6A3E"/>
    <w:rsid w:val="00FF6C02"/>
    <w:rsid w:val="00FF6E19"/>
    <w:rsid w:val="00FF6F8B"/>
    <w:rsid w:val="00FF7312"/>
    <w:rsid w:val="00FF7336"/>
    <w:rsid w:val="00FF76A0"/>
    <w:rsid w:val="00FF7AA9"/>
    <w:rsid w:val="00FF7D0C"/>
    <w:rsid w:val="012089B0"/>
    <w:rsid w:val="017DD53D"/>
    <w:rsid w:val="01AE1539"/>
    <w:rsid w:val="01ED0207"/>
    <w:rsid w:val="01F64456"/>
    <w:rsid w:val="0219D512"/>
    <w:rsid w:val="022E57C7"/>
    <w:rsid w:val="023D9262"/>
    <w:rsid w:val="024D390D"/>
    <w:rsid w:val="0267454B"/>
    <w:rsid w:val="0279A731"/>
    <w:rsid w:val="033DE36A"/>
    <w:rsid w:val="038024B6"/>
    <w:rsid w:val="0406ABED"/>
    <w:rsid w:val="042C2482"/>
    <w:rsid w:val="04A6C03A"/>
    <w:rsid w:val="04B98E9E"/>
    <w:rsid w:val="04E0A3AD"/>
    <w:rsid w:val="0505ED15"/>
    <w:rsid w:val="05269647"/>
    <w:rsid w:val="05713CAC"/>
    <w:rsid w:val="059938B9"/>
    <w:rsid w:val="05B349D5"/>
    <w:rsid w:val="05BE1F67"/>
    <w:rsid w:val="069E1729"/>
    <w:rsid w:val="0711A87B"/>
    <w:rsid w:val="0779496E"/>
    <w:rsid w:val="07AB41E2"/>
    <w:rsid w:val="07D4DECD"/>
    <w:rsid w:val="08465028"/>
    <w:rsid w:val="08559978"/>
    <w:rsid w:val="08881F12"/>
    <w:rsid w:val="088E33C4"/>
    <w:rsid w:val="08D53336"/>
    <w:rsid w:val="090DE104"/>
    <w:rsid w:val="0917FC37"/>
    <w:rsid w:val="097BA5FE"/>
    <w:rsid w:val="099E0061"/>
    <w:rsid w:val="09A508FD"/>
    <w:rsid w:val="09D204C5"/>
    <w:rsid w:val="09D74D7B"/>
    <w:rsid w:val="09F3B049"/>
    <w:rsid w:val="0A3A746F"/>
    <w:rsid w:val="0B6344B7"/>
    <w:rsid w:val="0B815486"/>
    <w:rsid w:val="0C429264"/>
    <w:rsid w:val="0C541E5E"/>
    <w:rsid w:val="0D4F352A"/>
    <w:rsid w:val="0D77438B"/>
    <w:rsid w:val="0DB23DA8"/>
    <w:rsid w:val="0E13B91A"/>
    <w:rsid w:val="0E926286"/>
    <w:rsid w:val="0EC6DFD1"/>
    <w:rsid w:val="0EEEAB45"/>
    <w:rsid w:val="0F1158F5"/>
    <w:rsid w:val="0F8AFA07"/>
    <w:rsid w:val="0FB675DF"/>
    <w:rsid w:val="0FC4C6D2"/>
    <w:rsid w:val="0FF9D750"/>
    <w:rsid w:val="107A0B3A"/>
    <w:rsid w:val="10B2CE91"/>
    <w:rsid w:val="1161FA53"/>
    <w:rsid w:val="1165AF07"/>
    <w:rsid w:val="1176600D"/>
    <w:rsid w:val="11E81510"/>
    <w:rsid w:val="1229F7DF"/>
    <w:rsid w:val="12A859B5"/>
    <w:rsid w:val="12C08AB5"/>
    <w:rsid w:val="12E5AF16"/>
    <w:rsid w:val="12ECEAB0"/>
    <w:rsid w:val="13591D1A"/>
    <w:rsid w:val="1364716B"/>
    <w:rsid w:val="13B9BBB3"/>
    <w:rsid w:val="13D0054B"/>
    <w:rsid w:val="140891D6"/>
    <w:rsid w:val="14680A49"/>
    <w:rsid w:val="14BF6B7F"/>
    <w:rsid w:val="14C83F7A"/>
    <w:rsid w:val="14FB40DE"/>
    <w:rsid w:val="150C78D1"/>
    <w:rsid w:val="1542955D"/>
    <w:rsid w:val="15F4CC18"/>
    <w:rsid w:val="16A8952A"/>
    <w:rsid w:val="16C31941"/>
    <w:rsid w:val="16D748B8"/>
    <w:rsid w:val="16EEEF03"/>
    <w:rsid w:val="1752F53B"/>
    <w:rsid w:val="176D3BBB"/>
    <w:rsid w:val="1787A432"/>
    <w:rsid w:val="179FE25F"/>
    <w:rsid w:val="17DB0B06"/>
    <w:rsid w:val="183A0C71"/>
    <w:rsid w:val="1952628C"/>
    <w:rsid w:val="19603AF1"/>
    <w:rsid w:val="197B4169"/>
    <w:rsid w:val="198332D0"/>
    <w:rsid w:val="199A560A"/>
    <w:rsid w:val="19C71320"/>
    <w:rsid w:val="19D9D338"/>
    <w:rsid w:val="1A010781"/>
    <w:rsid w:val="1A1567F5"/>
    <w:rsid w:val="1A356ACC"/>
    <w:rsid w:val="1ABD54EA"/>
    <w:rsid w:val="1B2F2D73"/>
    <w:rsid w:val="1B598B32"/>
    <w:rsid w:val="1BB469D8"/>
    <w:rsid w:val="1BB5A656"/>
    <w:rsid w:val="1BCB0AF5"/>
    <w:rsid w:val="1CA33E47"/>
    <w:rsid w:val="1CA7771B"/>
    <w:rsid w:val="1CB7BAD7"/>
    <w:rsid w:val="1CCA9159"/>
    <w:rsid w:val="1CFA35A6"/>
    <w:rsid w:val="1D076908"/>
    <w:rsid w:val="1D2CE8A2"/>
    <w:rsid w:val="1D7F6DAC"/>
    <w:rsid w:val="1D8F75E4"/>
    <w:rsid w:val="1DB237E5"/>
    <w:rsid w:val="1DE9F54C"/>
    <w:rsid w:val="1DF2EE6E"/>
    <w:rsid w:val="1E1583F3"/>
    <w:rsid w:val="1E3E60CE"/>
    <w:rsid w:val="1E8C665F"/>
    <w:rsid w:val="1E9DE726"/>
    <w:rsid w:val="1EBB4833"/>
    <w:rsid w:val="1F0D7ADC"/>
    <w:rsid w:val="204F7204"/>
    <w:rsid w:val="2062E456"/>
    <w:rsid w:val="20C54A74"/>
    <w:rsid w:val="20E3124C"/>
    <w:rsid w:val="2148AB19"/>
    <w:rsid w:val="22127CFB"/>
    <w:rsid w:val="225CC6D3"/>
    <w:rsid w:val="22C98DDF"/>
    <w:rsid w:val="233B7186"/>
    <w:rsid w:val="2345868E"/>
    <w:rsid w:val="235A10D2"/>
    <w:rsid w:val="23B8A484"/>
    <w:rsid w:val="23C68DED"/>
    <w:rsid w:val="240E7CCE"/>
    <w:rsid w:val="2431DC96"/>
    <w:rsid w:val="244000C3"/>
    <w:rsid w:val="25641F8E"/>
    <w:rsid w:val="25767942"/>
    <w:rsid w:val="2594A2AF"/>
    <w:rsid w:val="25D7F23C"/>
    <w:rsid w:val="26035067"/>
    <w:rsid w:val="265703A6"/>
    <w:rsid w:val="266BFFF7"/>
    <w:rsid w:val="27344B2B"/>
    <w:rsid w:val="279F00A0"/>
    <w:rsid w:val="27E99E5D"/>
    <w:rsid w:val="283C0D57"/>
    <w:rsid w:val="284CF604"/>
    <w:rsid w:val="28C3D4A4"/>
    <w:rsid w:val="28D5BDAB"/>
    <w:rsid w:val="291C59B9"/>
    <w:rsid w:val="29386F47"/>
    <w:rsid w:val="29F3E9E4"/>
    <w:rsid w:val="2A6B9EE4"/>
    <w:rsid w:val="2A86445D"/>
    <w:rsid w:val="2AC83B7C"/>
    <w:rsid w:val="2AFF735A"/>
    <w:rsid w:val="2B0F6312"/>
    <w:rsid w:val="2B7EF537"/>
    <w:rsid w:val="2B983E0D"/>
    <w:rsid w:val="2BAB6900"/>
    <w:rsid w:val="2BB10850"/>
    <w:rsid w:val="2C19BAA3"/>
    <w:rsid w:val="2C2E9E3C"/>
    <w:rsid w:val="2D5628E3"/>
    <w:rsid w:val="2DC68D44"/>
    <w:rsid w:val="2E20A973"/>
    <w:rsid w:val="2E246438"/>
    <w:rsid w:val="2E42D874"/>
    <w:rsid w:val="2EC6473C"/>
    <w:rsid w:val="2EE2AC1F"/>
    <w:rsid w:val="2F09F0C3"/>
    <w:rsid w:val="301621F8"/>
    <w:rsid w:val="3016FCCD"/>
    <w:rsid w:val="30661530"/>
    <w:rsid w:val="307DB19C"/>
    <w:rsid w:val="30ABD708"/>
    <w:rsid w:val="30F90861"/>
    <w:rsid w:val="31185BAA"/>
    <w:rsid w:val="3118678E"/>
    <w:rsid w:val="3159EF8C"/>
    <w:rsid w:val="31733808"/>
    <w:rsid w:val="31C9DE90"/>
    <w:rsid w:val="31DFFA96"/>
    <w:rsid w:val="320D9D97"/>
    <w:rsid w:val="325731CB"/>
    <w:rsid w:val="3413CAB9"/>
    <w:rsid w:val="34953317"/>
    <w:rsid w:val="35066866"/>
    <w:rsid w:val="3565D95C"/>
    <w:rsid w:val="357E8CB9"/>
    <w:rsid w:val="3607F417"/>
    <w:rsid w:val="364FB0F0"/>
    <w:rsid w:val="369B5860"/>
    <w:rsid w:val="36A81CA1"/>
    <w:rsid w:val="370E2797"/>
    <w:rsid w:val="3711A532"/>
    <w:rsid w:val="371FDE85"/>
    <w:rsid w:val="3798048F"/>
    <w:rsid w:val="37B09D55"/>
    <w:rsid w:val="38D703B6"/>
    <w:rsid w:val="390AEFA2"/>
    <w:rsid w:val="39292654"/>
    <w:rsid w:val="394ED023"/>
    <w:rsid w:val="394FEE96"/>
    <w:rsid w:val="3956669A"/>
    <w:rsid w:val="39786FD8"/>
    <w:rsid w:val="3978F4D8"/>
    <w:rsid w:val="3A17A56F"/>
    <w:rsid w:val="3A3CD2D1"/>
    <w:rsid w:val="3A4B0EBB"/>
    <w:rsid w:val="3B339EC8"/>
    <w:rsid w:val="3B33C96E"/>
    <w:rsid w:val="3BAD0F8F"/>
    <w:rsid w:val="3C05CC9A"/>
    <w:rsid w:val="3CA1CE14"/>
    <w:rsid w:val="3CC75A11"/>
    <w:rsid w:val="3D3E1F92"/>
    <w:rsid w:val="3DC6CB86"/>
    <w:rsid w:val="3DE9EEC8"/>
    <w:rsid w:val="3E25AB83"/>
    <w:rsid w:val="3E443DE3"/>
    <w:rsid w:val="3E4FCCCB"/>
    <w:rsid w:val="3EC97978"/>
    <w:rsid w:val="3F05AC45"/>
    <w:rsid w:val="3F2EB21A"/>
    <w:rsid w:val="3F3005AB"/>
    <w:rsid w:val="3F50ECAB"/>
    <w:rsid w:val="3F5A07D7"/>
    <w:rsid w:val="3FAAACCA"/>
    <w:rsid w:val="3FAFCB26"/>
    <w:rsid w:val="3FDC4FD7"/>
    <w:rsid w:val="3FF33AE5"/>
    <w:rsid w:val="4005D758"/>
    <w:rsid w:val="401DA63F"/>
    <w:rsid w:val="4049E563"/>
    <w:rsid w:val="40B0D8D5"/>
    <w:rsid w:val="412639E9"/>
    <w:rsid w:val="4289306C"/>
    <w:rsid w:val="42904D27"/>
    <w:rsid w:val="4309105C"/>
    <w:rsid w:val="432F4607"/>
    <w:rsid w:val="433E5342"/>
    <w:rsid w:val="435AA5E4"/>
    <w:rsid w:val="43B68CBB"/>
    <w:rsid w:val="4438AA60"/>
    <w:rsid w:val="446A7E9A"/>
    <w:rsid w:val="44B420AB"/>
    <w:rsid w:val="44DA46A2"/>
    <w:rsid w:val="451A3DE6"/>
    <w:rsid w:val="455133C0"/>
    <w:rsid w:val="45AA348B"/>
    <w:rsid w:val="45D78BFD"/>
    <w:rsid w:val="461B16A6"/>
    <w:rsid w:val="4663B0BF"/>
    <w:rsid w:val="4672D3E9"/>
    <w:rsid w:val="46FB4777"/>
    <w:rsid w:val="47553600"/>
    <w:rsid w:val="47638926"/>
    <w:rsid w:val="47A17F51"/>
    <w:rsid w:val="47A4A3AC"/>
    <w:rsid w:val="48554B27"/>
    <w:rsid w:val="48574DA9"/>
    <w:rsid w:val="489CB4F2"/>
    <w:rsid w:val="48AED990"/>
    <w:rsid w:val="48DB8E63"/>
    <w:rsid w:val="48E2C5D0"/>
    <w:rsid w:val="48EEAAA2"/>
    <w:rsid w:val="49CB03FF"/>
    <w:rsid w:val="49CDA875"/>
    <w:rsid w:val="4A97C33B"/>
    <w:rsid w:val="4AD16FFA"/>
    <w:rsid w:val="4B434064"/>
    <w:rsid w:val="4B4F2BFF"/>
    <w:rsid w:val="4B9F531C"/>
    <w:rsid w:val="4C17C5F8"/>
    <w:rsid w:val="4C1F2729"/>
    <w:rsid w:val="4D6EABC5"/>
    <w:rsid w:val="4D7DD5D6"/>
    <w:rsid w:val="4E1F5639"/>
    <w:rsid w:val="4E6C9004"/>
    <w:rsid w:val="4EAEBF86"/>
    <w:rsid w:val="4EE5B596"/>
    <w:rsid w:val="4EF19030"/>
    <w:rsid w:val="4EF4D13E"/>
    <w:rsid w:val="4FBF485D"/>
    <w:rsid w:val="503B5159"/>
    <w:rsid w:val="50608CCF"/>
    <w:rsid w:val="50CB8AE8"/>
    <w:rsid w:val="50D3E1A8"/>
    <w:rsid w:val="50EAC12C"/>
    <w:rsid w:val="5102B3B3"/>
    <w:rsid w:val="5225021C"/>
    <w:rsid w:val="523ABB1D"/>
    <w:rsid w:val="5257EE5E"/>
    <w:rsid w:val="526CFEF5"/>
    <w:rsid w:val="52E6A746"/>
    <w:rsid w:val="5301F02C"/>
    <w:rsid w:val="53D4916A"/>
    <w:rsid w:val="53FD99DD"/>
    <w:rsid w:val="5440794B"/>
    <w:rsid w:val="546292EB"/>
    <w:rsid w:val="54E04EAD"/>
    <w:rsid w:val="5598249B"/>
    <w:rsid w:val="55E7D700"/>
    <w:rsid w:val="5643EAC6"/>
    <w:rsid w:val="566E6256"/>
    <w:rsid w:val="573631FB"/>
    <w:rsid w:val="57AAADC9"/>
    <w:rsid w:val="57AF492C"/>
    <w:rsid w:val="57ED74E0"/>
    <w:rsid w:val="5908944E"/>
    <w:rsid w:val="5941AA9D"/>
    <w:rsid w:val="59489B89"/>
    <w:rsid w:val="5954A72F"/>
    <w:rsid w:val="595B068F"/>
    <w:rsid w:val="59632CE1"/>
    <w:rsid w:val="5970942E"/>
    <w:rsid w:val="5970EBF5"/>
    <w:rsid w:val="599C9691"/>
    <w:rsid w:val="5A2D7C33"/>
    <w:rsid w:val="5AB9558F"/>
    <w:rsid w:val="5BC764AB"/>
    <w:rsid w:val="5C77908D"/>
    <w:rsid w:val="5CCB5695"/>
    <w:rsid w:val="5CF40694"/>
    <w:rsid w:val="5D673D82"/>
    <w:rsid w:val="5D97961D"/>
    <w:rsid w:val="5DDAD5CC"/>
    <w:rsid w:val="5E176297"/>
    <w:rsid w:val="5E3105AF"/>
    <w:rsid w:val="5E6B98F9"/>
    <w:rsid w:val="5F2447E2"/>
    <w:rsid w:val="5F848453"/>
    <w:rsid w:val="5F864529"/>
    <w:rsid w:val="5FA37CB5"/>
    <w:rsid w:val="5FBFCB12"/>
    <w:rsid w:val="5FC217D6"/>
    <w:rsid w:val="60111C4F"/>
    <w:rsid w:val="604F7477"/>
    <w:rsid w:val="60C085D1"/>
    <w:rsid w:val="60CD1EA5"/>
    <w:rsid w:val="611F5CFB"/>
    <w:rsid w:val="6124A2DF"/>
    <w:rsid w:val="61D89B63"/>
    <w:rsid w:val="6239A5FD"/>
    <w:rsid w:val="627000B2"/>
    <w:rsid w:val="62FDBA9A"/>
    <w:rsid w:val="631EE312"/>
    <w:rsid w:val="63231238"/>
    <w:rsid w:val="635453CD"/>
    <w:rsid w:val="636988E5"/>
    <w:rsid w:val="63A4ACB5"/>
    <w:rsid w:val="64919EE2"/>
    <w:rsid w:val="64A924E6"/>
    <w:rsid w:val="65157272"/>
    <w:rsid w:val="659761E7"/>
    <w:rsid w:val="65A482D6"/>
    <w:rsid w:val="65AC61E4"/>
    <w:rsid w:val="66065032"/>
    <w:rsid w:val="660C7EA5"/>
    <w:rsid w:val="665F47A7"/>
    <w:rsid w:val="669407F7"/>
    <w:rsid w:val="66A0CF70"/>
    <w:rsid w:val="67015AB2"/>
    <w:rsid w:val="6723AA17"/>
    <w:rsid w:val="67583B32"/>
    <w:rsid w:val="67F74931"/>
    <w:rsid w:val="67FF6A58"/>
    <w:rsid w:val="68767601"/>
    <w:rsid w:val="687CBB34"/>
    <w:rsid w:val="68A11C3C"/>
    <w:rsid w:val="68F3CDCC"/>
    <w:rsid w:val="692B101E"/>
    <w:rsid w:val="6957EFF5"/>
    <w:rsid w:val="69A9D37B"/>
    <w:rsid w:val="6A0D1E70"/>
    <w:rsid w:val="6A35630B"/>
    <w:rsid w:val="6A80D7A7"/>
    <w:rsid w:val="6B1F937D"/>
    <w:rsid w:val="6C654A76"/>
    <w:rsid w:val="6CE80E9A"/>
    <w:rsid w:val="6CFEE1DC"/>
    <w:rsid w:val="6D3939A3"/>
    <w:rsid w:val="6D707485"/>
    <w:rsid w:val="6E198A85"/>
    <w:rsid w:val="6E5D7B15"/>
    <w:rsid w:val="6EEE99EA"/>
    <w:rsid w:val="6F0F4AAE"/>
    <w:rsid w:val="6F1E92DA"/>
    <w:rsid w:val="6F23EFEE"/>
    <w:rsid w:val="6F445E14"/>
    <w:rsid w:val="700B1260"/>
    <w:rsid w:val="701C57F6"/>
    <w:rsid w:val="70868E74"/>
    <w:rsid w:val="708BB6F6"/>
    <w:rsid w:val="709B2E04"/>
    <w:rsid w:val="7132EF84"/>
    <w:rsid w:val="71B4A4AB"/>
    <w:rsid w:val="71BF4446"/>
    <w:rsid w:val="725551F1"/>
    <w:rsid w:val="729D6EB6"/>
    <w:rsid w:val="73212169"/>
    <w:rsid w:val="732DF22E"/>
    <w:rsid w:val="73BB7D74"/>
    <w:rsid w:val="73F28A8F"/>
    <w:rsid w:val="748DD2CF"/>
    <w:rsid w:val="74C3BA76"/>
    <w:rsid w:val="74D4A594"/>
    <w:rsid w:val="75080EFA"/>
    <w:rsid w:val="75707C8A"/>
    <w:rsid w:val="758A0614"/>
    <w:rsid w:val="75903B44"/>
    <w:rsid w:val="7596DC54"/>
    <w:rsid w:val="75BD2F6C"/>
    <w:rsid w:val="75F23203"/>
    <w:rsid w:val="7613F065"/>
    <w:rsid w:val="77388DF5"/>
    <w:rsid w:val="77403796"/>
    <w:rsid w:val="77848113"/>
    <w:rsid w:val="7821A512"/>
    <w:rsid w:val="784297B3"/>
    <w:rsid w:val="786C54DA"/>
    <w:rsid w:val="793168A3"/>
    <w:rsid w:val="7936382B"/>
    <w:rsid w:val="797E62C4"/>
    <w:rsid w:val="79FDC03C"/>
    <w:rsid w:val="7A45F383"/>
    <w:rsid w:val="7B01D797"/>
    <w:rsid w:val="7B5C60D4"/>
    <w:rsid w:val="7B6F39D0"/>
    <w:rsid w:val="7B8444E3"/>
    <w:rsid w:val="7BAE06C0"/>
    <w:rsid w:val="7BDA49F8"/>
    <w:rsid w:val="7BF9C924"/>
    <w:rsid w:val="7BFD4D9A"/>
    <w:rsid w:val="7C571D42"/>
    <w:rsid w:val="7C7AE14B"/>
    <w:rsid w:val="7CAEDA9C"/>
    <w:rsid w:val="7CBD4647"/>
    <w:rsid w:val="7CDDEC63"/>
    <w:rsid w:val="7CF4A893"/>
    <w:rsid w:val="7D2B71CE"/>
    <w:rsid w:val="7D46D0E2"/>
    <w:rsid w:val="7DC87B1D"/>
    <w:rsid w:val="7DCE2677"/>
    <w:rsid w:val="7E095AF3"/>
    <w:rsid w:val="7EFF8FC0"/>
    <w:rsid w:val="7F36B128"/>
    <w:rsid w:val="7FE8D47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80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unhideWhenUsed="1"/>
    <w:lsdException w:name="Closing" w:semiHidden="1"/>
    <w:lsdException w:name="Signature" w:semiHidden="1"/>
    <w:lsdException w:name="Default Paragraph Font" w:semiHidden="1" w:uiPriority="1" w:unhideWhenUsed="1"/>
    <w:lsdException w:name="Body Text" w:semiHidden="1" w:uiPriority="4" w:unhideWhenUsed="1"/>
    <w:lsdException w:name="Body Text Indent" w:semiHidden="1" w:uiPriority="9"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2"/>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5"/>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0AE"/>
    <w:pPr>
      <w:spacing w:before="120" w:after="160"/>
      <w:jc w:val="both"/>
    </w:pPr>
    <w:rPr>
      <w:rFonts w:ascii="Franklin Gothic Book" w:hAnsi="Franklin Gothic Book"/>
    </w:rPr>
  </w:style>
  <w:style w:type="paragraph" w:styleId="Heading1">
    <w:name w:val="heading 1"/>
    <w:next w:val="MSACESParagraph"/>
    <w:link w:val="Heading1Char"/>
    <w:uiPriority w:val="9"/>
    <w:qFormat/>
    <w:rsid w:val="005C2085"/>
    <w:pPr>
      <w:keepNext/>
      <w:keepLines/>
      <w:numPr>
        <w:numId w:val="1"/>
      </w:numPr>
      <w:spacing w:before="400" w:after="120" w:line="259" w:lineRule="auto"/>
      <w:outlineLvl w:val="0"/>
    </w:pPr>
    <w:rPr>
      <w:rFonts w:ascii="Calibri" w:eastAsiaTheme="majorEastAsia" w:hAnsi="Calibri" w:cstheme="majorBidi"/>
      <w:b/>
      <w:sz w:val="32"/>
      <w:szCs w:val="28"/>
    </w:rPr>
  </w:style>
  <w:style w:type="paragraph" w:styleId="Heading2">
    <w:name w:val="heading 2"/>
    <w:basedOn w:val="Normal"/>
    <w:next w:val="Normal"/>
    <w:link w:val="Heading2Char"/>
    <w:uiPriority w:val="3"/>
    <w:qFormat/>
    <w:rsid w:val="004A5746"/>
    <w:pPr>
      <w:keepNext/>
      <w:keepLines/>
      <w:numPr>
        <w:ilvl w:val="3"/>
        <w:numId w:val="1"/>
      </w:numPr>
      <w:suppressAutoHyphens w:val="0"/>
      <w:spacing w:before="360" w:after="120"/>
      <w:jc w:val="left"/>
      <w:outlineLvl w:val="1"/>
    </w:pPr>
    <w:rPr>
      <w:rFonts w:ascii="Arial" w:eastAsiaTheme="majorEastAsia" w:hAnsi="Arial" w:cstheme="majorBidi"/>
      <w:b/>
      <w:i/>
      <w:sz w:val="28"/>
      <w:szCs w:val="28"/>
    </w:rPr>
  </w:style>
  <w:style w:type="paragraph" w:styleId="Heading3">
    <w:name w:val="heading 3"/>
    <w:basedOn w:val="Normal"/>
    <w:next w:val="Normal"/>
    <w:link w:val="Heading3Char"/>
    <w:uiPriority w:val="3"/>
    <w:qFormat/>
    <w:rsid w:val="00186307"/>
    <w:pPr>
      <w:keepNext/>
      <w:keepLines/>
      <w:numPr>
        <w:ilvl w:val="5"/>
        <w:numId w:val="1"/>
      </w:numPr>
      <w:suppressAutoHyphens w:val="0"/>
      <w:spacing w:after="120"/>
      <w:outlineLvl w:val="2"/>
    </w:pPr>
    <w:rPr>
      <w:rFonts w:eastAsiaTheme="majorEastAsia" w:cstheme="majorBidi"/>
      <w:b/>
      <w:sz w:val="28"/>
      <w:szCs w:val="28"/>
    </w:rPr>
  </w:style>
  <w:style w:type="paragraph" w:styleId="Heading4">
    <w:name w:val="heading 4"/>
    <w:basedOn w:val="Heading1"/>
    <w:next w:val="Normal"/>
    <w:link w:val="Heading4Char"/>
    <w:autoRedefine/>
    <w:uiPriority w:val="3"/>
    <w:qFormat/>
    <w:rsid w:val="003D5832"/>
    <w:pPr>
      <w:numPr>
        <w:ilvl w:val="6"/>
      </w:numPr>
      <w:suppressAutoHyphens w:val="0"/>
      <w:spacing w:before="240" w:after="0"/>
      <w:outlineLvl w:val="3"/>
    </w:pPr>
    <w:rPr>
      <w:rFonts w:asciiTheme="minorHAnsi" w:hAnsiTheme="minorHAnsi"/>
      <w:bCs/>
      <w:color w:val="000000" w:themeColor="text1"/>
      <w:sz w:val="24"/>
    </w:rPr>
  </w:style>
  <w:style w:type="paragraph" w:styleId="Heading5">
    <w:name w:val="heading 5"/>
    <w:aliases w:val="Heading 2 - Body"/>
    <w:basedOn w:val="Heading2"/>
    <w:next w:val="Normal"/>
    <w:link w:val="Heading5Char"/>
    <w:uiPriority w:val="10"/>
    <w:semiHidden/>
    <w:rsid w:val="003B095E"/>
    <w:pPr>
      <w:numPr>
        <w:ilvl w:val="0"/>
        <w:numId w:val="0"/>
      </w:numPr>
      <w:outlineLvl w:val="4"/>
    </w:pPr>
    <w:rPr>
      <w:b w:val="0"/>
      <w:i w:val="0"/>
      <w:snapToGrid w:val="0"/>
    </w:rPr>
  </w:style>
  <w:style w:type="paragraph" w:styleId="Heading6">
    <w:name w:val="heading 6"/>
    <w:aliases w:val="Heading 3 - Body"/>
    <w:basedOn w:val="Heading3"/>
    <w:next w:val="Normal"/>
    <w:link w:val="Heading6Char"/>
    <w:uiPriority w:val="12"/>
    <w:semiHidden/>
    <w:rsid w:val="00624315"/>
    <w:pPr>
      <w:numPr>
        <w:numId w:val="0"/>
      </w:numPr>
      <w:outlineLvl w:val="5"/>
    </w:pPr>
    <w:rPr>
      <w:b w:val="0"/>
      <w:sz w:val="24"/>
    </w:rPr>
  </w:style>
  <w:style w:type="paragraph" w:styleId="Heading7">
    <w:name w:val="heading 7"/>
    <w:basedOn w:val="Heading1"/>
    <w:next w:val="Normal"/>
    <w:link w:val="Heading7Char"/>
    <w:uiPriority w:val="12"/>
    <w:semiHidden/>
    <w:rsid w:val="00472D4D"/>
    <w:pPr>
      <w:numPr>
        <w:numId w:val="0"/>
      </w:numPr>
      <w:suppressAutoHyphens w:val="0"/>
      <w:spacing w:before="120"/>
      <w:ind w:left="1296" w:hanging="1296"/>
      <w:outlineLvl w:val="6"/>
    </w:pPr>
    <w:rPr>
      <w:rFonts w:asciiTheme="minorHAnsi" w:hAnsiTheme="minorHAnsi"/>
      <w:b w:val="0"/>
      <w:i/>
      <w:sz w:val="24"/>
      <w:szCs w:val="24"/>
    </w:rPr>
  </w:style>
  <w:style w:type="paragraph" w:styleId="Heading8">
    <w:name w:val="heading 8"/>
    <w:basedOn w:val="Normal"/>
    <w:next w:val="Normal"/>
    <w:link w:val="Heading8Char"/>
    <w:uiPriority w:val="7"/>
    <w:semiHidden/>
    <w:qFormat/>
    <w:rsid w:val="002B5D74"/>
    <w:pPr>
      <w:keepNext/>
      <w:keepLines/>
      <w:numPr>
        <w:ilvl w:val="7"/>
        <w:numId w:val="1"/>
      </w:numPr>
      <w:suppressAutoHyphens w:val="0"/>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semiHidden/>
    <w:rsid w:val="002A4503"/>
    <w:pPr>
      <w:numPr>
        <w:numId w:val="0"/>
      </w:numPr>
      <w:suppressAutoHyphens w:val="0"/>
      <w:ind w:left="432" w:hanging="432"/>
      <w:outlineLvl w:val="8"/>
    </w:pPr>
    <w:rPr>
      <w:rFonts w:asciiTheme="minorHAnsi" w:hAnsiTheme="minorHAnsi"/>
      <w:b w:val="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qFormat/>
    <w:rsid w:val="00394C83"/>
    <w:rPr>
      <w:rFonts w:ascii="Calibri" w:eastAsiaTheme="majorEastAsia" w:hAnsi="Calibri" w:cstheme="majorBidi"/>
      <w:b/>
      <w:sz w:val="32"/>
      <w:szCs w:val="28"/>
    </w:rPr>
  </w:style>
  <w:style w:type="character" w:customStyle="1" w:styleId="Heading2Char">
    <w:name w:val="Heading 2 Char"/>
    <w:basedOn w:val="DefaultParagraphFont"/>
    <w:link w:val="Heading2"/>
    <w:uiPriority w:val="3"/>
    <w:qFormat/>
    <w:rsid w:val="00245AD1"/>
    <w:rPr>
      <w:rFonts w:ascii="Arial" w:eastAsiaTheme="majorEastAsia" w:hAnsi="Arial" w:cstheme="majorBidi"/>
      <w:b/>
      <w:i/>
      <w:sz w:val="28"/>
      <w:szCs w:val="28"/>
    </w:rPr>
  </w:style>
  <w:style w:type="character" w:customStyle="1" w:styleId="Heading3Char">
    <w:name w:val="Heading 3 Char"/>
    <w:basedOn w:val="DefaultParagraphFont"/>
    <w:link w:val="Heading3"/>
    <w:uiPriority w:val="3"/>
    <w:qFormat/>
    <w:rsid w:val="00245AD1"/>
    <w:rPr>
      <w:rFonts w:eastAsiaTheme="majorEastAsia" w:cstheme="majorBidi"/>
      <w:b/>
      <w:sz w:val="28"/>
      <w:szCs w:val="28"/>
    </w:rPr>
  </w:style>
  <w:style w:type="character" w:customStyle="1" w:styleId="Heading4Char">
    <w:name w:val="Heading 4 Char"/>
    <w:basedOn w:val="DefaultParagraphFont"/>
    <w:link w:val="Heading4"/>
    <w:uiPriority w:val="3"/>
    <w:qFormat/>
    <w:rsid w:val="00245AD1"/>
    <w:rPr>
      <w:rFonts w:eastAsiaTheme="majorEastAsia" w:cstheme="majorBidi"/>
      <w:b/>
      <w:bCs/>
      <w:color w:val="000000" w:themeColor="text1"/>
      <w:sz w:val="24"/>
      <w:szCs w:val="28"/>
    </w:rPr>
  </w:style>
  <w:style w:type="character" w:customStyle="1" w:styleId="Heading5Char">
    <w:name w:val="Heading 5 Char"/>
    <w:aliases w:val="Heading 2 - Body Char"/>
    <w:basedOn w:val="DefaultParagraphFont"/>
    <w:link w:val="Heading5"/>
    <w:uiPriority w:val="10"/>
    <w:semiHidden/>
    <w:qFormat/>
    <w:rsid w:val="00481549"/>
    <w:rPr>
      <w:rFonts w:ascii="Arial" w:eastAsiaTheme="majorEastAsia" w:hAnsi="Arial" w:cstheme="majorBidi"/>
      <w:snapToGrid w:val="0"/>
      <w:sz w:val="28"/>
      <w:szCs w:val="28"/>
    </w:rPr>
  </w:style>
  <w:style w:type="character" w:customStyle="1" w:styleId="Heading6Char">
    <w:name w:val="Heading 6 Char"/>
    <w:aliases w:val="Heading 3 - Body Char"/>
    <w:basedOn w:val="DefaultParagraphFont"/>
    <w:link w:val="Heading6"/>
    <w:uiPriority w:val="12"/>
    <w:semiHidden/>
    <w:qFormat/>
    <w:rsid w:val="00481549"/>
    <w:rPr>
      <w:rFonts w:eastAsiaTheme="majorEastAsia" w:cstheme="majorBidi"/>
      <w:sz w:val="24"/>
      <w:szCs w:val="28"/>
    </w:rPr>
  </w:style>
  <w:style w:type="character" w:customStyle="1" w:styleId="Heading7Char">
    <w:name w:val="Heading 7 Char"/>
    <w:basedOn w:val="DefaultParagraphFont"/>
    <w:link w:val="Heading7"/>
    <w:uiPriority w:val="12"/>
    <w:semiHidden/>
    <w:qFormat/>
    <w:rsid w:val="00481549"/>
    <w:rPr>
      <w:rFonts w:eastAsiaTheme="majorEastAsia" w:cstheme="majorBidi"/>
      <w:i/>
      <w:sz w:val="24"/>
      <w:szCs w:val="24"/>
    </w:rPr>
  </w:style>
  <w:style w:type="character" w:customStyle="1" w:styleId="Heading8Char">
    <w:name w:val="Heading 8 Char"/>
    <w:basedOn w:val="DefaultParagraphFont"/>
    <w:link w:val="Heading8"/>
    <w:uiPriority w:val="7"/>
    <w:semiHidden/>
    <w:qFormat/>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semiHidden/>
    <w:qFormat/>
    <w:rsid w:val="00645AB3"/>
    <w:rPr>
      <w:rFonts w:eastAsiaTheme="majorEastAsia" w:cstheme="majorBidi"/>
      <w:sz w:val="36"/>
      <w:szCs w:val="28"/>
    </w:rPr>
  </w:style>
  <w:style w:type="character" w:customStyle="1" w:styleId="BalloonTextChar">
    <w:name w:val="Balloon Text Char"/>
    <w:basedOn w:val="DefaultParagraphFont"/>
    <w:link w:val="BalloonText"/>
    <w:uiPriority w:val="9"/>
    <w:semiHidden/>
    <w:qFormat/>
    <w:rsid w:val="00F0542E"/>
    <w:rPr>
      <w:rFonts w:ascii="Segoe UI" w:hAnsi="Segoe UI" w:cs="Segoe UI"/>
      <w:sz w:val="18"/>
      <w:szCs w:val="18"/>
    </w:rPr>
  </w:style>
  <w:style w:type="character" w:styleId="Hyperlink">
    <w:name w:val="Hyperlink"/>
    <w:basedOn w:val="DefaultParagraphFont"/>
    <w:uiPriority w:val="99"/>
    <w:semiHidden/>
    <w:rsid w:val="00BA3306"/>
    <w:rPr>
      <w:color w:val="00B0F0"/>
      <w:u w:val="single"/>
    </w:rPr>
  </w:style>
  <w:style w:type="character" w:customStyle="1" w:styleId="FootnoteTextChar">
    <w:name w:val="Footnote Text Char"/>
    <w:basedOn w:val="DefaultParagraphFont"/>
    <w:link w:val="FootnoteText"/>
    <w:uiPriority w:val="99"/>
    <w:semiHidden/>
    <w:qFormat/>
    <w:rsid w:val="00481549"/>
    <w:rPr>
      <w:sz w:val="18"/>
      <w:szCs w:val="20"/>
    </w:rPr>
  </w:style>
  <w:style w:type="character" w:customStyle="1" w:styleId="FootnoteCharacters">
    <w:name w:val="Footnote Characters"/>
    <w:basedOn w:val="DefaultParagraphFont"/>
    <w:uiPriority w:val="99"/>
    <w:semiHidden/>
    <w:qFormat/>
    <w:rsid w:val="00BA3306"/>
    <w:rPr>
      <w:vertAlign w:val="superscript"/>
    </w:rPr>
  </w:style>
  <w:style w:type="character" w:styleId="FootnoteReference">
    <w:name w:val="footnote reference"/>
    <w:basedOn w:val="DefaultParagraphFont"/>
    <w:uiPriority w:val="99"/>
    <w:semiHidden/>
    <w:rsid w:val="00BA3306"/>
    <w:rPr>
      <w:vertAlign w:val="superscript"/>
    </w:rPr>
  </w:style>
  <w:style w:type="character" w:customStyle="1" w:styleId="CommentSubjectChar">
    <w:name w:val="Comment Subject Char"/>
    <w:basedOn w:val="DefaultParagraphFont"/>
    <w:link w:val="CommentSubject"/>
    <w:uiPriority w:val="99"/>
    <w:semiHidden/>
    <w:qFormat/>
    <w:rsid w:val="004E6CFF"/>
    <w:rPr>
      <w:b/>
      <w:bCs/>
      <w:sz w:val="20"/>
      <w:szCs w:val="20"/>
    </w:rPr>
  </w:style>
  <w:style w:type="character" w:customStyle="1" w:styleId="InstructionalTextChar">
    <w:name w:val="Instructional Text Char"/>
    <w:basedOn w:val="DefaultParagraphFont"/>
    <w:link w:val="InstructionalText"/>
    <w:uiPriority w:val="3"/>
    <w:qFormat/>
    <w:rsid w:val="00DD373C"/>
    <w:rPr>
      <w:rFonts w:cstheme="minorHAnsi"/>
      <w:color w:val="3366FF"/>
      <w:sz w:val="24"/>
    </w:rPr>
  </w:style>
  <w:style w:type="character" w:customStyle="1" w:styleId="CaptionChar">
    <w:name w:val="Caption Char"/>
    <w:aliases w:val="Table and Figure Char,Table Caption 1 Char,Figure caption Char,Figure caption1 Char Char Char,Figure Source Char,Caption Char1 Char Char,Caption Char Char Char Char,Caption Char1 Char1,Caption Table... Char,Caption Char1 + 8 pt Char,12 Char"/>
    <w:link w:val="Caption"/>
    <w:uiPriority w:val="35"/>
    <w:qFormat/>
    <w:rsid w:val="00AB52AD"/>
    <w:rPr>
      <w:rFonts w:ascii="Arial Narrow" w:eastAsiaTheme="majorEastAsia" w:hAnsi="Arial Narrow" w:cstheme="majorBidi"/>
      <w:b/>
      <w:bCs/>
      <w:iCs/>
      <w:sz w:val="20"/>
      <w:szCs w:val="18"/>
      <w:lang w:eastAsia="en-AU"/>
    </w:rPr>
  </w:style>
  <w:style w:type="character" w:customStyle="1" w:styleId="TableFooterChar">
    <w:name w:val="Table Footer Char"/>
    <w:link w:val="TableFooter"/>
    <w:qFormat/>
    <w:rsid w:val="00EA0D94"/>
    <w:rPr>
      <w:rFonts w:ascii="Arial Narrow" w:eastAsia="Times New Roman" w:hAnsi="Arial Narrow" w:cs="Arial"/>
      <w:sz w:val="18"/>
      <w:szCs w:val="20"/>
    </w:rPr>
  </w:style>
  <w:style w:type="character" w:customStyle="1" w:styleId="HeaderChar">
    <w:name w:val="Header Char"/>
    <w:aliases w:val="Page Header Char,Header title Char,he=header Char,cntr/bld Char"/>
    <w:basedOn w:val="DefaultParagraphFont"/>
    <w:link w:val="Header"/>
    <w:uiPriority w:val="99"/>
    <w:qFormat/>
    <w:rsid w:val="00481549"/>
    <w:rPr>
      <w:sz w:val="24"/>
    </w:rPr>
  </w:style>
  <w:style w:type="character" w:customStyle="1" w:styleId="FooterChar">
    <w:name w:val="Footer Char"/>
    <w:basedOn w:val="DefaultParagraphFont"/>
    <w:link w:val="Footer"/>
    <w:uiPriority w:val="99"/>
    <w:qFormat/>
    <w:rsid w:val="00481549"/>
    <w:rPr>
      <w:sz w:val="24"/>
    </w:rPr>
  </w:style>
  <w:style w:type="character" w:customStyle="1" w:styleId="ListParagraphChar">
    <w:name w:val="List Paragraph Char"/>
    <w:aliases w:val="PBAC ES numbered Paragraph Char,Body Text Bullet Points Char,Numbered para Char,BulletPoints Char,List Paragraph1 Char,Bullet point Char,List Paragraph11 Char,Recommendation Char,Section heading Char,Footnote Char,Figure_name Char"/>
    <w:basedOn w:val="DefaultParagraphFont"/>
    <w:link w:val="ListParagraph"/>
    <w:uiPriority w:val="72"/>
    <w:qFormat/>
    <w:locked/>
    <w:rsid w:val="00F12ED0"/>
    <w:rPr>
      <w:sz w:val="24"/>
      <w:lang w:eastAsia="en-AU"/>
    </w:rPr>
  </w:style>
  <w:style w:type="character" w:styleId="FollowedHyperlink">
    <w:name w:val="FollowedHyperlink"/>
    <w:basedOn w:val="DefaultParagraphFont"/>
    <w:uiPriority w:val="99"/>
    <w:semiHidden/>
    <w:rsid w:val="00177893"/>
    <w:rPr>
      <w:color w:val="954F72" w:themeColor="followedHyperlink"/>
      <w:u w:val="single"/>
    </w:rPr>
  </w:style>
  <w:style w:type="character" w:customStyle="1" w:styleId="Heading1subheadingChar">
    <w:name w:val="Heading 1 subheading Char"/>
    <w:basedOn w:val="Heading1Char"/>
    <w:link w:val="Heading1subheading"/>
    <w:uiPriority w:val="3"/>
    <w:qFormat/>
    <w:rsid w:val="00245AD1"/>
    <w:rPr>
      <w:rFonts w:ascii="Calibri" w:eastAsiaTheme="majorEastAsia" w:hAnsi="Calibri" w:cstheme="majorBidi"/>
      <w:b w:val="0"/>
      <w:caps/>
      <w:sz w:val="32"/>
      <w:szCs w:val="28"/>
    </w:rPr>
  </w:style>
  <w:style w:type="character" w:customStyle="1" w:styleId="Heading2SECTION2Char">
    <w:name w:val="Heading 2 SECTION 2 Char"/>
    <w:basedOn w:val="Heading2Char"/>
    <w:link w:val="Heading2SECTION2"/>
    <w:uiPriority w:val="3"/>
    <w:qFormat/>
    <w:rsid w:val="00394C83"/>
    <w:rPr>
      <w:rFonts w:ascii="Arial" w:eastAsiaTheme="majorEastAsia" w:hAnsi="Arial" w:cstheme="majorBidi"/>
      <w:b w:val="0"/>
      <w:i w:val="0"/>
      <w:snapToGrid w:val="0"/>
      <w:sz w:val="28"/>
      <w:szCs w:val="28"/>
    </w:rPr>
  </w:style>
  <w:style w:type="character" w:customStyle="1" w:styleId="CommentChar">
    <w:name w:val="Comment Char"/>
    <w:basedOn w:val="DefaultParagraphFont"/>
    <w:link w:val="Comment"/>
    <w:uiPriority w:val="4"/>
    <w:semiHidden/>
    <w:qFormat/>
    <w:rsid w:val="00481549"/>
    <w:rPr>
      <w:rFonts w:ascii="Calibri" w:eastAsia="Times New Roman" w:hAnsi="Calibri" w:cs="Tahoma"/>
      <w:i/>
      <w:color w:val="C00000"/>
      <w:lang w:eastAsia="en-AU"/>
    </w:rPr>
  </w:style>
  <w:style w:type="character" w:customStyle="1" w:styleId="TableTextChar">
    <w:name w:val="Table Text Char"/>
    <w:link w:val="TableText"/>
    <w:qFormat/>
    <w:rsid w:val="007D3BFB"/>
    <w:rPr>
      <w:rFonts w:ascii="Arial Narrow" w:hAnsi="Arial Narrow"/>
      <w:sz w:val="20"/>
    </w:rPr>
  </w:style>
  <w:style w:type="character" w:customStyle="1" w:styleId="PBACESHeading3Char">
    <w:name w:val="PBAC ES Heading 3 Char"/>
    <w:basedOn w:val="DefaultParagraphFont"/>
    <w:link w:val="PBACESHeading3"/>
    <w:uiPriority w:val="1"/>
    <w:qFormat/>
    <w:rsid w:val="00A21E43"/>
    <w:rPr>
      <w:rFonts w:asciiTheme="majorHAnsi" w:eastAsiaTheme="majorEastAsia" w:hAnsiTheme="majorHAnsi" w:cstheme="majorBidi"/>
      <w:b/>
      <w:sz w:val="24"/>
      <w:szCs w:val="28"/>
    </w:rPr>
  </w:style>
  <w:style w:type="character" w:customStyle="1" w:styleId="PBACESHeading2Char">
    <w:name w:val="PBAC ES Heading 2 Char"/>
    <w:basedOn w:val="Heading2Char"/>
    <w:link w:val="PBACESHeading2"/>
    <w:uiPriority w:val="1"/>
    <w:qFormat/>
    <w:rsid w:val="00133B1C"/>
    <w:rPr>
      <w:rFonts w:ascii="Arial" w:eastAsiaTheme="majorEastAsia" w:hAnsi="Arial" w:cstheme="majorBidi"/>
      <w:b/>
      <w:i/>
      <w:sz w:val="28"/>
      <w:szCs w:val="28"/>
    </w:rPr>
  </w:style>
  <w:style w:type="character" w:styleId="HTMLCite">
    <w:name w:val="HTML Cite"/>
    <w:basedOn w:val="DefaultParagraphFont"/>
    <w:uiPriority w:val="99"/>
    <w:semiHidden/>
    <w:rsid w:val="00D61F15"/>
    <w:rPr>
      <w:i/>
      <w:iCs/>
    </w:rPr>
  </w:style>
  <w:style w:type="character" w:customStyle="1" w:styleId="Heading2ClinicalChar">
    <w:name w:val="Heading 2 Clinical Char"/>
    <w:basedOn w:val="Heading4Char"/>
    <w:link w:val="Heading2Clinical"/>
    <w:uiPriority w:val="1"/>
    <w:semiHidden/>
    <w:qFormat/>
    <w:rsid w:val="00394C83"/>
    <w:rPr>
      <w:rFonts w:eastAsiaTheme="majorEastAsia" w:cstheme="majorBidi"/>
      <w:b/>
      <w:bCs/>
      <w:i/>
      <w:color w:val="000000" w:themeColor="text1"/>
      <w:sz w:val="28"/>
      <w:szCs w:val="28"/>
    </w:rPr>
  </w:style>
  <w:style w:type="character" w:customStyle="1" w:styleId="PBACESHeading1Char">
    <w:name w:val="PBAC ES Heading 1 Char"/>
    <w:basedOn w:val="Heading1Char"/>
    <w:link w:val="PBACESHeading1"/>
    <w:uiPriority w:val="1"/>
    <w:qFormat/>
    <w:rsid w:val="00245AD1"/>
    <w:rPr>
      <w:rFonts w:ascii="Calibri" w:eastAsia="Times New Roman" w:hAnsi="Calibri" w:cs="Arial"/>
      <w:b w:val="0"/>
      <w:sz w:val="32"/>
      <w:szCs w:val="32"/>
    </w:rPr>
  </w:style>
  <w:style w:type="character" w:customStyle="1" w:styleId="MSACHeading1Char">
    <w:name w:val="MSAC Heading 1 Char"/>
    <w:basedOn w:val="DefaultParagraphFont"/>
    <w:link w:val="MSACHeading1"/>
    <w:uiPriority w:val="1"/>
    <w:qFormat/>
    <w:rsid w:val="00245AD1"/>
    <w:rPr>
      <w:rFonts w:ascii="Arial" w:eastAsiaTheme="majorEastAsia" w:hAnsi="Arial" w:cstheme="majorBidi"/>
      <w:b/>
      <w:bCs/>
      <w:sz w:val="24"/>
      <w:szCs w:val="28"/>
    </w:rPr>
  </w:style>
  <w:style w:type="character" w:customStyle="1" w:styleId="TableNumberChar">
    <w:name w:val="Table Number Char"/>
    <w:basedOn w:val="TableTextChar"/>
    <w:link w:val="TableNumber"/>
    <w:qFormat/>
    <w:rsid w:val="007A0C94"/>
    <w:rPr>
      <w:rFonts w:ascii="Arial Narrow" w:hAnsi="Arial Narrow"/>
      <w:sz w:val="20"/>
    </w:rPr>
  </w:style>
  <w:style w:type="character" w:customStyle="1" w:styleId="MSACESParagraphChar">
    <w:name w:val="MSAC ES Paragraph Char"/>
    <w:basedOn w:val="DefaultParagraphFont"/>
    <w:link w:val="MSACESParagraph"/>
    <w:uiPriority w:val="1"/>
    <w:qFormat/>
    <w:rsid w:val="00EE0847"/>
    <w:rPr>
      <w:rFonts w:ascii="Calibri" w:eastAsia="Calibri" w:hAnsi="Calibri" w:cstheme="minorHAnsi"/>
      <w:sz w:val="24"/>
    </w:rPr>
  </w:style>
  <w:style w:type="character" w:customStyle="1" w:styleId="MainBodyBulletPointChar">
    <w:name w:val="MainBody Bullet Point Char"/>
    <w:basedOn w:val="DefaultParagraphFont"/>
    <w:link w:val="MainBodyBulletPoint"/>
    <w:uiPriority w:val="1"/>
    <w:qFormat/>
    <w:rsid w:val="00D81434"/>
    <w:rPr>
      <w:rFonts w:ascii="Calibri" w:hAnsi="Calibri" w:cstheme="minorHAnsi"/>
      <w:sz w:val="24"/>
    </w:rPr>
  </w:style>
  <w:style w:type="character" w:styleId="Emphasis">
    <w:name w:val="Emphasis"/>
    <w:basedOn w:val="DefaultParagraphFont"/>
    <w:uiPriority w:val="20"/>
    <w:semiHidden/>
    <w:rsid w:val="003D1FB3"/>
    <w:rPr>
      <w:i/>
      <w:iCs/>
    </w:rPr>
  </w:style>
  <w:style w:type="character" w:customStyle="1" w:styleId="TableRowHeaderChar">
    <w:name w:val="Table Row Header Char"/>
    <w:basedOn w:val="TableTextChar"/>
    <w:link w:val="TableRowHeader"/>
    <w:qFormat/>
    <w:rsid w:val="0015150F"/>
    <w:rPr>
      <w:rFonts w:ascii="Arial Narrow" w:hAnsi="Arial Narrow"/>
      <w:b/>
      <w:sz w:val="20"/>
    </w:rPr>
  </w:style>
  <w:style w:type="character" w:customStyle="1" w:styleId="3-BodyTextChar">
    <w:name w:val="3-Body Text Char"/>
    <w:basedOn w:val="ListParagraphChar"/>
    <w:link w:val="3-BodyText"/>
    <w:qFormat/>
    <w:rsid w:val="00C62BEB"/>
    <w:rPr>
      <w:sz w:val="24"/>
      <w:lang w:eastAsia="en-AU"/>
    </w:rPr>
  </w:style>
  <w:style w:type="character" w:customStyle="1" w:styleId="BodyTextChar">
    <w:name w:val="Body Text Char"/>
    <w:basedOn w:val="DefaultParagraphFont"/>
    <w:link w:val="BodyText"/>
    <w:uiPriority w:val="4"/>
    <w:semiHidden/>
    <w:qFormat/>
    <w:rsid w:val="009E2636"/>
    <w:rPr>
      <w:sz w:val="24"/>
    </w:rPr>
  </w:style>
  <w:style w:type="character" w:customStyle="1" w:styleId="4-SubsectionHeadingChar">
    <w:name w:val="4-Subsection Heading Char"/>
    <w:basedOn w:val="Heading2Char"/>
    <w:link w:val="4-SubsectionHeading"/>
    <w:qFormat/>
    <w:rsid w:val="00C15EDC"/>
    <w:rPr>
      <w:rFonts w:ascii="Arial" w:eastAsiaTheme="majorEastAsia" w:hAnsi="Arial" w:cstheme="majorBidi"/>
      <w:b/>
      <w:i/>
      <w:snapToGrid w:val="0"/>
      <w:spacing w:val="5"/>
      <w:kern w:val="2"/>
      <w:sz w:val="28"/>
      <w:szCs w:val="36"/>
      <w:lang w:eastAsia="en-AU"/>
    </w:rPr>
  </w:style>
  <w:style w:type="character" w:styleId="UnresolvedMention">
    <w:name w:val="Unresolved Mention"/>
    <w:basedOn w:val="DefaultParagraphFont"/>
    <w:uiPriority w:val="99"/>
    <w:semiHidden/>
    <w:unhideWhenUsed/>
    <w:rsid w:val="007C5313"/>
    <w:rPr>
      <w:color w:val="605E5C"/>
      <w:shd w:val="clear" w:color="auto" w:fill="E1DFDD"/>
    </w:rPr>
  </w:style>
  <w:style w:type="character" w:customStyle="1" w:styleId="1-MainHeadingChar">
    <w:name w:val="1-Main Heading Char"/>
    <w:basedOn w:val="DefaultParagraphFont"/>
    <w:link w:val="1-MainHeading"/>
    <w:qFormat/>
    <w:rsid w:val="006557E6"/>
    <w:rPr>
      <w:rFonts w:ascii="Calibri" w:eastAsiaTheme="majorEastAsia" w:hAnsi="Calibri" w:cstheme="majorBidi"/>
      <w:b/>
      <w:spacing w:val="5"/>
      <w:kern w:val="2"/>
      <w:sz w:val="36"/>
      <w:szCs w:val="36"/>
      <w:lang w:eastAsia="en-AU"/>
    </w:rPr>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aliases w:val="Table Title"/>
    <w:basedOn w:val="DefaultParagraphFont"/>
    <w:uiPriority w:val="99"/>
    <w:unhideWhenUsed/>
    <w:qFormat/>
    <w:rPr>
      <w:sz w:val="16"/>
      <w:szCs w:val="16"/>
    </w:rPr>
  </w:style>
  <w:style w:type="character" w:styleId="PlaceholderText">
    <w:name w:val="Placeholder Text"/>
    <w:basedOn w:val="DefaultParagraphFont"/>
    <w:uiPriority w:val="99"/>
    <w:semiHidden/>
    <w:rsid w:val="00150CD4"/>
    <w:rPr>
      <w:color w:val="666666"/>
    </w:rPr>
  </w:style>
  <w:style w:type="character" w:styleId="Mention">
    <w:name w:val="Mention"/>
    <w:basedOn w:val="DefaultParagraphFont"/>
    <w:uiPriority w:val="99"/>
    <w:unhideWhenUsed/>
    <w:rsid w:val="00697915"/>
    <w:rPr>
      <w:color w:val="2B579A"/>
      <w:shd w:val="clear" w:color="auto" w:fill="E1DFDD"/>
    </w:rPr>
  </w:style>
  <w:style w:type="character" w:styleId="LineNumber">
    <w:name w:val="line numbe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uiPriority w:val="4"/>
    <w:semiHidden/>
    <w:unhideWhenUsed/>
    <w:rsid w:val="009E2636"/>
    <w:pPr>
      <w:spacing w:after="120"/>
    </w:pPr>
  </w:style>
  <w:style w:type="paragraph" w:styleId="List">
    <w:name w:val="List"/>
    <w:basedOn w:val="BodyText"/>
    <w:rPr>
      <w:rFonts w:cs="Lucida Sans"/>
    </w:rPr>
  </w:style>
  <w:style w:type="paragraph" w:styleId="Caption">
    <w:name w:val="caption"/>
    <w:aliases w:val="Table and Figure,Table Caption 1,Figure caption,Figure caption1 Char Char,Figure Source,Caption Char1 Char,Caption Char Char Char,Caption Char1,Caption Table...,Caption Char1 + 8 pt,Not B....,Caption Table,...,Caption 3,figure,Caption-FUSA,12"/>
    <w:basedOn w:val="Normal"/>
    <w:next w:val="Normal"/>
    <w:link w:val="CaptionChar"/>
    <w:uiPriority w:val="35"/>
    <w:qFormat/>
    <w:rsid w:val="009E3169"/>
    <w:pPr>
      <w:keepNext/>
      <w:tabs>
        <w:tab w:val="left" w:pos="1418"/>
      </w:tabs>
      <w:spacing w:before="240" w:after="0"/>
      <w:ind w:left="1418" w:hanging="1418"/>
      <w:contextualSpacing/>
      <w:jc w:val="left"/>
    </w:pPr>
    <w:rPr>
      <w:rFonts w:ascii="Arial Narrow" w:eastAsiaTheme="majorEastAsia" w:hAnsi="Arial Narrow" w:cstheme="majorBidi"/>
      <w:b/>
      <w:bCs/>
      <w:iCs/>
      <w:sz w:val="20"/>
      <w:szCs w:val="18"/>
      <w:lang w:eastAsia="en-AU"/>
    </w:rPr>
  </w:style>
  <w:style w:type="paragraph" w:customStyle="1" w:styleId="Index">
    <w:name w:val="Index"/>
    <w:basedOn w:val="Normal"/>
    <w:qFormat/>
    <w:pPr>
      <w:suppressLineNumbers/>
    </w:pPr>
    <w:rPr>
      <w:rFonts w:cs="Lucida Sans"/>
    </w:rPr>
  </w:style>
  <w:style w:type="paragraph" w:styleId="ListParagraph">
    <w:name w:val="List Paragraph"/>
    <w:aliases w:val="PBAC ES numbered Paragraph,Body Text Bullet Points,Numbered para,BulletPoints,List Paragraph1,Bullet point,List Paragraph11,Recommendation,Section heading,Footnote,PBAC ES Paragraph,Figure_name,Numbered Indented Text,Bullet- First level,l"/>
    <w:basedOn w:val="Normal"/>
    <w:link w:val="ListParagraphChar"/>
    <w:uiPriority w:val="72"/>
    <w:qFormat/>
    <w:rsid w:val="00C00F9C"/>
    <w:pPr>
      <w:spacing w:before="60" w:after="60"/>
      <w:ind w:left="720" w:hanging="720"/>
    </w:pPr>
    <w:rPr>
      <w:lang w:eastAsia="en-AU"/>
    </w:rPr>
  </w:style>
  <w:style w:type="paragraph" w:styleId="BalloonText">
    <w:name w:val="Balloon Text"/>
    <w:basedOn w:val="Normal"/>
    <w:link w:val="BalloonTextChar"/>
    <w:uiPriority w:val="9"/>
    <w:semiHidden/>
    <w:unhideWhenUsed/>
    <w:rsid w:val="00F0542E"/>
    <w:pPr>
      <w:suppressAutoHyphens w:val="0"/>
      <w:spacing w:before="0" w:after="0"/>
    </w:pPr>
    <w:rPr>
      <w:rFonts w:ascii="Segoe UI" w:hAnsi="Segoe UI" w:cs="Segoe UI"/>
      <w:sz w:val="18"/>
      <w:szCs w:val="18"/>
    </w:rPr>
  </w:style>
  <w:style w:type="paragraph" w:customStyle="1" w:styleId="InstructionalText">
    <w:name w:val="Instructional Text"/>
    <w:basedOn w:val="MSACESParagraph"/>
    <w:link w:val="InstructionalTextChar"/>
    <w:uiPriority w:val="3"/>
    <w:qFormat/>
    <w:rsid w:val="00DD373C"/>
    <w:rPr>
      <w:color w:val="3366FF"/>
    </w:rPr>
  </w:style>
  <w:style w:type="paragraph" w:customStyle="1" w:styleId="TableText">
    <w:name w:val="Table Text"/>
    <w:basedOn w:val="Normal"/>
    <w:link w:val="TableTextChar"/>
    <w:qFormat/>
    <w:rsid w:val="007D3BFB"/>
    <w:pPr>
      <w:widowControl w:val="0"/>
      <w:spacing w:before="0" w:after="0"/>
      <w:jc w:val="left"/>
    </w:pPr>
    <w:rPr>
      <w:rFonts w:ascii="Arial Narrow" w:hAnsi="Arial Narrow"/>
      <w:sz w:val="20"/>
    </w:rPr>
  </w:style>
  <w:style w:type="paragraph" w:styleId="FootnoteText">
    <w:name w:val="footnote text"/>
    <w:basedOn w:val="Normal"/>
    <w:link w:val="FootnoteTextChar"/>
    <w:uiPriority w:val="99"/>
    <w:semiHidden/>
    <w:rsid w:val="00BA3306"/>
    <w:pPr>
      <w:spacing w:before="0" w:after="0"/>
    </w:pPr>
    <w:rPr>
      <w:sz w:val="18"/>
      <w:szCs w:val="20"/>
    </w:rPr>
  </w:style>
  <w:style w:type="paragraph" w:styleId="CommentSubject">
    <w:name w:val="annotation subject"/>
    <w:basedOn w:val="Normal"/>
    <w:link w:val="CommentSubjectChar"/>
    <w:uiPriority w:val="99"/>
    <w:semiHidden/>
    <w:rsid w:val="004E6CFF"/>
    <w:pPr>
      <w:suppressAutoHyphens w:val="0"/>
    </w:pPr>
    <w:rPr>
      <w:b/>
      <w:bCs/>
      <w:sz w:val="20"/>
      <w:szCs w:val="20"/>
    </w:rPr>
  </w:style>
  <w:style w:type="paragraph" w:customStyle="1" w:styleId="TableFooter">
    <w:name w:val="Table Footer"/>
    <w:basedOn w:val="Normal"/>
    <w:link w:val="TableFooterChar"/>
    <w:qFormat/>
    <w:rsid w:val="00EA0D94"/>
    <w:pPr>
      <w:widowControl w:val="0"/>
      <w:spacing w:before="0" w:after="0"/>
      <w:contextualSpacing/>
    </w:pPr>
    <w:rPr>
      <w:rFonts w:ascii="Arial Narrow" w:eastAsia="Times New Roman" w:hAnsi="Arial Narrow" w:cs="Arial"/>
      <w:sz w:val="18"/>
      <w:szCs w:val="20"/>
    </w:rPr>
  </w:style>
  <w:style w:type="paragraph" w:customStyle="1" w:styleId="HeaderandFooter">
    <w:name w:val="Header and Footer"/>
    <w:basedOn w:val="Normal"/>
    <w:qFormat/>
  </w:style>
  <w:style w:type="paragraph" w:styleId="Header">
    <w:name w:val="header"/>
    <w:aliases w:val="Page Header,Header title,he=header,cntr/bld"/>
    <w:basedOn w:val="Normal"/>
    <w:link w:val="HeaderChar"/>
    <w:uiPriority w:val="99"/>
    <w:rsid w:val="00C317F3"/>
    <w:pPr>
      <w:tabs>
        <w:tab w:val="center" w:pos="4513"/>
        <w:tab w:val="right" w:pos="9026"/>
      </w:tabs>
      <w:spacing w:before="0" w:after="0"/>
    </w:pPr>
  </w:style>
  <w:style w:type="paragraph" w:styleId="Footer">
    <w:name w:val="footer"/>
    <w:basedOn w:val="Normal"/>
    <w:link w:val="FooterChar"/>
    <w:uiPriority w:val="99"/>
    <w:rsid w:val="00C317F3"/>
    <w:pPr>
      <w:tabs>
        <w:tab w:val="center" w:pos="4513"/>
        <w:tab w:val="right" w:pos="9026"/>
      </w:tabs>
      <w:spacing w:before="0" w:after="0"/>
    </w:p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z w:val="20"/>
      <w:szCs w:val="20"/>
    </w:rPr>
  </w:style>
  <w:style w:type="paragraph" w:styleId="NoSpacing">
    <w:name w:val="No Spacing"/>
    <w:uiPriority w:val="10"/>
    <w:semiHidden/>
    <w:rsid w:val="00C317F3"/>
    <w:pPr>
      <w:widowControl w:val="0"/>
      <w:jc w:val="both"/>
    </w:pPr>
    <w:rPr>
      <w:rFonts w:ascii="Arial" w:eastAsia="Times New Roman" w:hAnsi="Arial"/>
      <w:szCs w:val="20"/>
    </w:rPr>
  </w:style>
  <w:style w:type="paragraph" w:styleId="NormalWeb">
    <w:name w:val="Normal (Web)"/>
    <w:basedOn w:val="Normal"/>
    <w:uiPriority w:val="99"/>
    <w:semiHidden/>
    <w:rsid w:val="00C317F3"/>
    <w:pPr>
      <w:suppressAutoHyphens w:val="0"/>
      <w:spacing w:before="100" w:after="100"/>
    </w:pPr>
    <w:rPr>
      <w:rFonts w:ascii="Times New Roman" w:eastAsia="Times New Roman" w:hAnsi="Times New Roman" w:cs="Times New Roman"/>
      <w:szCs w:val="20"/>
      <w:lang w:val="en-GB"/>
    </w:rPr>
  </w:style>
  <w:style w:type="paragraph" w:styleId="IndexHeading">
    <w:name w:val="index heading"/>
    <w:basedOn w:val="Heading"/>
  </w:style>
  <w:style w:type="paragraph" w:styleId="TOCHeading">
    <w:name w:val="TOC Heading"/>
    <w:basedOn w:val="Heading1"/>
    <w:next w:val="Normal"/>
    <w:uiPriority w:val="42"/>
    <w:semiHidden/>
    <w:rsid w:val="00C317F3"/>
    <w:pPr>
      <w:numPr>
        <w:numId w:val="0"/>
      </w:numPr>
      <w:suppressAutoHyphens w:val="0"/>
      <w:spacing w:before="480" w:after="0" w:line="276" w:lineRule="auto"/>
      <w:ind w:left="432" w:hanging="432"/>
      <w:outlineLvl w:val="9"/>
    </w:pPr>
    <w:rPr>
      <w:rFonts w:asciiTheme="majorHAnsi" w:hAnsiTheme="majorHAnsi"/>
      <w:b w:val="0"/>
      <w:bCs/>
      <w:caps/>
      <w:color w:val="2E74B5" w:themeColor="accent1" w:themeShade="BF"/>
      <w:sz w:val="28"/>
      <w:lang w:val="en-US" w:eastAsia="ja-JP"/>
    </w:rPr>
  </w:style>
  <w:style w:type="paragraph" w:styleId="TOC3">
    <w:name w:val="toc 3"/>
    <w:basedOn w:val="Normal"/>
    <w:next w:val="Normal"/>
    <w:autoRedefine/>
    <w:uiPriority w:val="39"/>
    <w:semiHidden/>
    <w:rsid w:val="00D93D75"/>
    <w:pPr>
      <w:widowControl w:val="0"/>
      <w:tabs>
        <w:tab w:val="right" w:pos="1134"/>
        <w:tab w:val="right" w:leader="dot" w:pos="9015"/>
      </w:tabs>
      <w:spacing w:after="0"/>
      <w:ind w:left="1758" w:hanging="879"/>
    </w:pPr>
    <w:rPr>
      <w:rFonts w:ascii="Arial" w:eastAsia="Times New Roman" w:hAnsi="Arial" w:cs="Arial"/>
      <w:sz w:val="20"/>
      <w:szCs w:val="20"/>
    </w:rPr>
  </w:style>
  <w:style w:type="paragraph" w:styleId="TOC4">
    <w:name w:val="toc 4"/>
    <w:basedOn w:val="Normal"/>
    <w:next w:val="Normal"/>
    <w:autoRedefine/>
    <w:uiPriority w:val="39"/>
    <w:semiHidden/>
    <w:rsid w:val="00C317F3"/>
    <w:pPr>
      <w:widowControl w:val="0"/>
      <w:spacing w:before="0" w:after="0"/>
      <w:ind w:left="660"/>
    </w:pPr>
    <w:rPr>
      <w:rFonts w:eastAsia="Times New Roman" w:cs="Arial"/>
      <w:sz w:val="20"/>
      <w:szCs w:val="20"/>
    </w:rPr>
  </w:style>
  <w:style w:type="paragraph" w:styleId="TOC5">
    <w:name w:val="toc 5"/>
    <w:basedOn w:val="Normal"/>
    <w:next w:val="Normal"/>
    <w:autoRedefine/>
    <w:uiPriority w:val="39"/>
    <w:semiHidden/>
    <w:rsid w:val="00C317F3"/>
    <w:pPr>
      <w:widowControl w:val="0"/>
      <w:spacing w:before="0" w:after="0"/>
      <w:ind w:left="880"/>
    </w:pPr>
    <w:rPr>
      <w:rFonts w:eastAsia="Times New Roman" w:cs="Arial"/>
      <w:sz w:val="20"/>
      <w:szCs w:val="20"/>
    </w:rPr>
  </w:style>
  <w:style w:type="paragraph" w:styleId="TOC6">
    <w:name w:val="toc 6"/>
    <w:basedOn w:val="Normal"/>
    <w:next w:val="Normal"/>
    <w:autoRedefine/>
    <w:uiPriority w:val="39"/>
    <w:semiHidden/>
    <w:rsid w:val="00C317F3"/>
    <w:pPr>
      <w:widowControl w:val="0"/>
      <w:spacing w:before="0" w:after="0"/>
      <w:ind w:left="1100"/>
    </w:pPr>
    <w:rPr>
      <w:rFonts w:eastAsia="Times New Roman" w:cs="Arial"/>
      <w:sz w:val="20"/>
      <w:szCs w:val="20"/>
    </w:rPr>
  </w:style>
  <w:style w:type="paragraph" w:styleId="TOC7">
    <w:name w:val="toc 7"/>
    <w:basedOn w:val="Normal"/>
    <w:next w:val="Normal"/>
    <w:autoRedefine/>
    <w:uiPriority w:val="39"/>
    <w:semiHidden/>
    <w:rsid w:val="00C317F3"/>
    <w:pPr>
      <w:widowControl w:val="0"/>
      <w:spacing w:before="0" w:after="0"/>
      <w:ind w:left="1320"/>
    </w:pPr>
    <w:rPr>
      <w:rFonts w:eastAsia="Times New Roman" w:cs="Arial"/>
      <w:sz w:val="20"/>
      <w:szCs w:val="20"/>
    </w:rPr>
  </w:style>
  <w:style w:type="paragraph" w:styleId="TOC8">
    <w:name w:val="toc 8"/>
    <w:basedOn w:val="Normal"/>
    <w:next w:val="Normal"/>
    <w:autoRedefine/>
    <w:uiPriority w:val="39"/>
    <w:semiHidden/>
    <w:rsid w:val="00C317F3"/>
    <w:pPr>
      <w:widowControl w:val="0"/>
      <w:spacing w:before="0" w:after="0"/>
      <w:ind w:left="1540"/>
    </w:pPr>
    <w:rPr>
      <w:rFonts w:eastAsia="Times New Roman" w:cs="Arial"/>
      <w:sz w:val="20"/>
      <w:szCs w:val="20"/>
    </w:rPr>
  </w:style>
  <w:style w:type="paragraph" w:styleId="TOC9">
    <w:name w:val="toc 9"/>
    <w:basedOn w:val="Normal"/>
    <w:next w:val="Normal"/>
    <w:autoRedefine/>
    <w:uiPriority w:val="9"/>
    <w:semiHidden/>
    <w:rsid w:val="00C317F3"/>
    <w:pPr>
      <w:widowControl w:val="0"/>
      <w:spacing w:before="0" w:after="0"/>
      <w:ind w:left="1760"/>
    </w:pPr>
    <w:rPr>
      <w:rFonts w:eastAsia="Times New Roman" w:cs="Arial"/>
      <w:sz w:val="20"/>
      <w:szCs w:val="20"/>
    </w:rPr>
  </w:style>
  <w:style w:type="paragraph" w:styleId="Revision">
    <w:name w:val="Revision"/>
    <w:hidden/>
    <w:uiPriority w:val="99"/>
    <w:semiHidden/>
    <w:rsid w:val="00C317F3"/>
    <w:rPr>
      <w:rFonts w:ascii="Arial" w:eastAsia="Times New Roman" w:hAnsi="Arial"/>
      <w:szCs w:val="20"/>
    </w:rPr>
  </w:style>
  <w:style w:type="paragraph" w:customStyle="1" w:styleId="PBACESHeading1">
    <w:name w:val="PBAC ES Heading 1"/>
    <w:basedOn w:val="Heading1"/>
    <w:next w:val="ListParagraph"/>
    <w:link w:val="PBACESHeading1Char"/>
    <w:uiPriority w:val="1"/>
    <w:qFormat/>
    <w:rsid w:val="009B3C30"/>
    <w:pPr>
      <w:numPr>
        <w:numId w:val="8"/>
      </w:numPr>
      <w:tabs>
        <w:tab w:val="left" w:pos="1077"/>
      </w:tabs>
      <w:suppressAutoHyphens w:val="0"/>
      <w:spacing w:before="240" w:line="240" w:lineRule="auto"/>
    </w:pPr>
    <w:rPr>
      <w:rFonts w:asciiTheme="minorHAnsi" w:eastAsia="Times New Roman" w:hAnsiTheme="minorHAnsi" w:cs="Arial"/>
      <w:b w:val="0"/>
      <w:szCs w:val="32"/>
    </w:rPr>
  </w:style>
  <w:style w:type="paragraph" w:customStyle="1" w:styleId="Heading1subheading">
    <w:name w:val="Heading 1 subheading"/>
    <w:basedOn w:val="Heading1"/>
    <w:next w:val="Normal"/>
    <w:link w:val="Heading1subheadingChar"/>
    <w:uiPriority w:val="3"/>
    <w:qFormat/>
    <w:rsid w:val="00225FCB"/>
    <w:pPr>
      <w:numPr>
        <w:numId w:val="0"/>
      </w:numPr>
      <w:suppressAutoHyphens w:val="0"/>
      <w:ind w:left="432" w:hanging="432"/>
    </w:pPr>
    <w:rPr>
      <w:rFonts w:asciiTheme="minorHAnsi" w:hAnsiTheme="minorHAnsi"/>
      <w:b w:val="0"/>
      <w:caps/>
    </w:rPr>
  </w:style>
  <w:style w:type="paragraph" w:customStyle="1" w:styleId="Heading2SECTION2">
    <w:name w:val="Heading 2 SECTION 2"/>
    <w:basedOn w:val="Heading2"/>
    <w:next w:val="Normal"/>
    <w:link w:val="Heading2SECTION2Char"/>
    <w:uiPriority w:val="3"/>
    <w:qFormat/>
    <w:rsid w:val="00C934DC"/>
    <w:pPr>
      <w:numPr>
        <w:numId w:val="0"/>
      </w:numPr>
      <w:tabs>
        <w:tab w:val="left" w:pos="1134"/>
      </w:tabs>
      <w:ind w:left="864" w:hanging="864"/>
    </w:pPr>
    <w:rPr>
      <w:b w:val="0"/>
      <w:i w:val="0"/>
      <w:snapToGrid w:val="0"/>
    </w:rPr>
  </w:style>
  <w:style w:type="paragraph" w:customStyle="1" w:styleId="Comment">
    <w:name w:val="Comment"/>
    <w:basedOn w:val="Normal"/>
    <w:link w:val="CommentChar"/>
    <w:uiPriority w:val="4"/>
    <w:semiHidden/>
    <w:rsid w:val="0048761C"/>
    <w:pPr>
      <w:tabs>
        <w:tab w:val="left" w:pos="720"/>
      </w:tabs>
      <w:suppressAutoHyphens w:val="0"/>
      <w:spacing w:before="0" w:after="240" w:line="312" w:lineRule="auto"/>
    </w:pPr>
    <w:rPr>
      <w:rFonts w:ascii="Calibri" w:eastAsia="Times New Roman" w:hAnsi="Calibri" w:cs="Tahoma"/>
      <w:i/>
      <w:color w:val="C00000"/>
      <w:lang w:eastAsia="en-AU"/>
    </w:rPr>
  </w:style>
  <w:style w:type="paragraph" w:customStyle="1" w:styleId="CommentTabletext">
    <w:name w:val="Comment Table text"/>
    <w:basedOn w:val="Normal"/>
    <w:uiPriority w:val="4"/>
    <w:semiHidden/>
    <w:rsid w:val="00900174"/>
    <w:pPr>
      <w:tabs>
        <w:tab w:val="left" w:pos="720"/>
      </w:tabs>
      <w:suppressAutoHyphens w:val="0"/>
      <w:spacing w:before="40" w:after="40"/>
      <w:ind w:left="720"/>
    </w:pPr>
    <w:rPr>
      <w:rFonts w:ascii="Arial Narrow" w:eastAsia="Times New Roman" w:hAnsi="Arial Narrow" w:cs="Tahoma"/>
      <w:i/>
      <w:sz w:val="20"/>
      <w:szCs w:val="20"/>
      <w:lang w:eastAsia="en-AU"/>
    </w:rPr>
  </w:style>
  <w:style w:type="paragraph" w:customStyle="1" w:styleId="PBACESHeading3">
    <w:name w:val="PBAC ES Heading 3"/>
    <w:basedOn w:val="Normal"/>
    <w:link w:val="PBACESHeading3Char"/>
    <w:uiPriority w:val="1"/>
    <w:qFormat/>
    <w:rsid w:val="00A21E43"/>
    <w:pPr>
      <w:keepNext/>
      <w:keepLines/>
      <w:spacing w:before="360" w:after="120"/>
      <w:ind w:left="1080" w:hanging="1080"/>
      <w:jc w:val="left"/>
      <w:outlineLvl w:val="1"/>
    </w:pPr>
    <w:rPr>
      <w:rFonts w:asciiTheme="majorHAnsi" w:eastAsiaTheme="majorEastAsia" w:hAnsiTheme="majorHAnsi" w:cstheme="majorBidi"/>
      <w:b/>
      <w:szCs w:val="28"/>
    </w:rPr>
  </w:style>
  <w:style w:type="paragraph" w:customStyle="1" w:styleId="Level1">
    <w:name w:val="Level 1"/>
    <w:basedOn w:val="Normal"/>
    <w:uiPriority w:val="3"/>
    <w:semiHidden/>
    <w:rsid w:val="001059D6"/>
    <w:pPr>
      <w:suppressAutoHyphens w:val="0"/>
    </w:pPr>
  </w:style>
  <w:style w:type="paragraph" w:customStyle="1" w:styleId="PBACESHeading2">
    <w:name w:val="PBAC ES Heading 2"/>
    <w:basedOn w:val="Heading2"/>
    <w:link w:val="PBACESHeading2Char"/>
    <w:uiPriority w:val="1"/>
    <w:qFormat/>
    <w:rsid w:val="007109D8"/>
    <w:pPr>
      <w:numPr>
        <w:ilvl w:val="0"/>
        <w:numId w:val="0"/>
      </w:numPr>
      <w:tabs>
        <w:tab w:val="num" w:pos="0"/>
      </w:tabs>
      <w:ind w:left="864" w:hanging="864"/>
    </w:p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paragraph" w:customStyle="1" w:styleId="Heading2Clinical">
    <w:name w:val="Heading 2 Clinical"/>
    <w:basedOn w:val="Heading3"/>
    <w:next w:val="Normal"/>
    <w:link w:val="Heading2ClinicalChar"/>
    <w:uiPriority w:val="1"/>
    <w:semiHidden/>
    <w:rsid w:val="000B35EA"/>
    <w:pPr>
      <w:numPr>
        <w:numId w:val="0"/>
      </w:numPr>
      <w:tabs>
        <w:tab w:val="left" w:pos="1418"/>
      </w:tabs>
    </w:pPr>
    <w:rPr>
      <w:b w:val="0"/>
      <w:i/>
    </w:rPr>
  </w:style>
  <w:style w:type="paragraph" w:customStyle="1" w:styleId="MSACHeading1">
    <w:name w:val="MSAC Heading 1"/>
    <w:basedOn w:val="Heading1"/>
    <w:next w:val="MSACESParagraph"/>
    <w:link w:val="MSACHeading1Char"/>
    <w:uiPriority w:val="1"/>
    <w:qFormat/>
    <w:rsid w:val="00A503CF"/>
    <w:pPr>
      <w:numPr>
        <w:numId w:val="12"/>
      </w:numPr>
      <w:suppressAutoHyphens w:val="0"/>
      <w:spacing w:before="160" w:after="240"/>
    </w:pPr>
    <w:rPr>
      <w:rFonts w:ascii="Arial" w:hAnsi="Arial"/>
      <w:bCs/>
      <w:sz w:val="24"/>
    </w:rPr>
  </w:style>
  <w:style w:type="paragraph" w:customStyle="1" w:styleId="MSACESParagraph">
    <w:name w:val="MSAC ES Paragraph"/>
    <w:link w:val="MSACESParagraphChar"/>
    <w:uiPriority w:val="1"/>
    <w:rsid w:val="00EE0847"/>
    <w:pPr>
      <w:spacing w:after="240"/>
      <w:jc w:val="both"/>
    </w:pPr>
    <w:rPr>
      <w:rFonts w:ascii="Calibri" w:eastAsia="Calibri" w:hAnsi="Calibri" w:cstheme="minorHAnsi"/>
      <w:sz w:val="24"/>
    </w:rPr>
  </w:style>
  <w:style w:type="paragraph" w:customStyle="1" w:styleId="ESHeading1">
    <w:name w:val="ES Heading 1"/>
    <w:basedOn w:val="Heading1"/>
    <w:next w:val="Heading1"/>
    <w:uiPriority w:val="8"/>
    <w:semiHidden/>
    <w:rsid w:val="00703418"/>
    <w:pPr>
      <w:numPr>
        <w:numId w:val="0"/>
      </w:numPr>
      <w:suppressAutoHyphens w:val="0"/>
      <w:spacing w:before="240" w:line="240" w:lineRule="auto"/>
      <w:ind w:left="720" w:hanging="720"/>
    </w:pPr>
    <w:rPr>
      <w:rFonts w:asciiTheme="minorHAnsi" w:eastAsia="Times New Roman" w:hAnsiTheme="minorHAnsi" w:cs="Arial"/>
      <w:b w:val="0"/>
      <w:szCs w:val="32"/>
    </w:rPr>
  </w:style>
  <w:style w:type="paragraph" w:customStyle="1" w:styleId="ESHeading2">
    <w:name w:val="ES Heading 2"/>
    <w:basedOn w:val="Heading2"/>
    <w:uiPriority w:val="8"/>
    <w:semiHidden/>
    <w:rsid w:val="00703418"/>
    <w:pPr>
      <w:numPr>
        <w:ilvl w:val="0"/>
        <w:numId w:val="0"/>
      </w:numPr>
      <w:ind w:left="720" w:hanging="720"/>
    </w:pPr>
    <w:rPr>
      <w:rFonts w:asciiTheme="majorHAnsi" w:hAnsiTheme="majorHAnsi"/>
      <w:b w:val="0"/>
      <w:i w:val="0"/>
      <w:snapToGrid w:val="0"/>
    </w:rPr>
  </w:style>
  <w:style w:type="paragraph" w:customStyle="1" w:styleId="ESHeadingCAPS">
    <w:name w:val="ES Heading CAPS"/>
    <w:basedOn w:val="ESHeading2"/>
    <w:uiPriority w:val="8"/>
    <w:semiHidden/>
    <w:rsid w:val="00703418"/>
    <w:rPr>
      <w:smallCaps/>
      <w:snapToGrid/>
      <w:sz w:val="32"/>
    </w:rPr>
  </w:style>
  <w:style w:type="paragraph" w:customStyle="1" w:styleId="ESHeading3">
    <w:name w:val="ES Heading 3"/>
    <w:basedOn w:val="ESHeading2"/>
    <w:uiPriority w:val="8"/>
    <w:semiHidden/>
    <w:rsid w:val="00703418"/>
    <w:pPr>
      <w:ind w:left="1080" w:hanging="1080"/>
    </w:pPr>
    <w:rPr>
      <w:snapToGrid/>
      <w:sz w:val="24"/>
    </w:rPr>
  </w:style>
  <w:style w:type="paragraph" w:customStyle="1" w:styleId="MainBodyBulletPoint">
    <w:name w:val="MainBody Bullet Point"/>
    <w:basedOn w:val="Normal"/>
    <w:link w:val="MainBodyBulletPointChar"/>
    <w:uiPriority w:val="1"/>
    <w:qFormat/>
    <w:rsid w:val="00D81434"/>
    <w:pPr>
      <w:numPr>
        <w:numId w:val="3"/>
      </w:numPr>
      <w:suppressAutoHyphens w:val="0"/>
      <w:spacing w:before="0" w:after="120"/>
      <w:jc w:val="left"/>
    </w:pPr>
    <w:rPr>
      <w:rFonts w:ascii="Calibri" w:hAnsi="Calibri" w:cstheme="minorHAnsi"/>
    </w:rPr>
  </w:style>
  <w:style w:type="paragraph" w:customStyle="1" w:styleId="In-tableHeading">
    <w:name w:val="In-table Heading"/>
    <w:qFormat/>
    <w:rsid w:val="000239BE"/>
    <w:pPr>
      <w:keepNext/>
    </w:pPr>
    <w:rPr>
      <w:rFonts w:ascii="Arial Narrow" w:eastAsiaTheme="majorEastAsia" w:hAnsi="Arial Narrow" w:cs="Times New Roman"/>
      <w:b/>
      <w:sz w:val="20"/>
      <w:szCs w:val="24"/>
      <w:lang w:val="en-US" w:eastAsia="en-AU"/>
    </w:rPr>
  </w:style>
  <w:style w:type="paragraph" w:customStyle="1" w:styleId="2-SectionHeading">
    <w:name w:val="2-Section Heading"/>
    <w:next w:val="3-BodyText"/>
    <w:qFormat/>
    <w:rsid w:val="00D611E5"/>
    <w:pPr>
      <w:keepNext/>
      <w:spacing w:before="240" w:after="120"/>
      <w:ind w:left="720" w:hanging="720"/>
      <w:outlineLvl w:val="0"/>
    </w:pPr>
    <w:rPr>
      <w:rFonts w:eastAsia="Times New Roman"/>
      <w:b/>
      <w:sz w:val="32"/>
      <w:szCs w:val="32"/>
      <w:lang w:eastAsia="en-AU"/>
    </w:rPr>
  </w:style>
  <w:style w:type="paragraph" w:customStyle="1" w:styleId="3-BodyText">
    <w:name w:val="3-Body Text"/>
    <w:link w:val="3-BodyTextChar"/>
    <w:qFormat/>
    <w:rsid w:val="00D611E5"/>
    <w:pPr>
      <w:numPr>
        <w:ilvl w:val="1"/>
        <w:numId w:val="2"/>
      </w:numPr>
      <w:spacing w:before="60" w:after="60"/>
      <w:jc w:val="both"/>
    </w:pPr>
    <w:rPr>
      <w:sz w:val="24"/>
      <w:lang w:eastAsia="en-AU"/>
    </w:rPr>
  </w:style>
  <w:style w:type="paragraph" w:customStyle="1" w:styleId="4-SubsectionHeading">
    <w:name w:val="4-Subsection Heading"/>
    <w:basedOn w:val="Heading2"/>
    <w:next w:val="3-BodyText"/>
    <w:link w:val="4-SubsectionHeadingChar"/>
    <w:qFormat/>
    <w:rsid w:val="00C13426"/>
    <w:pPr>
      <w:keepLines w:val="0"/>
      <w:numPr>
        <w:ilvl w:val="0"/>
        <w:numId w:val="0"/>
      </w:numPr>
      <w:spacing w:before="120"/>
      <w:jc w:val="both"/>
    </w:pPr>
    <w:rPr>
      <w:snapToGrid w:val="0"/>
      <w:spacing w:val="5"/>
      <w:kern w:val="2"/>
      <w:szCs w:val="36"/>
      <w:lang w:eastAsia="en-AU"/>
    </w:rPr>
  </w:style>
  <w:style w:type="paragraph" w:customStyle="1" w:styleId="1-MainHeading">
    <w:name w:val="1-Main Heading"/>
    <w:next w:val="Normal"/>
    <w:link w:val="1-MainHeadingChar"/>
    <w:qFormat/>
    <w:rsid w:val="00D611E5"/>
    <w:pPr>
      <w:keepNext/>
      <w:spacing w:before="120" w:after="160"/>
      <w:ind w:left="720" w:hanging="720"/>
      <w:outlineLvl w:val="0"/>
    </w:pPr>
    <w:rPr>
      <w:rFonts w:ascii="Calibri" w:eastAsiaTheme="majorEastAsia" w:hAnsi="Calibri" w:cstheme="majorBidi"/>
      <w:b/>
      <w:spacing w:val="5"/>
      <w:kern w:val="2"/>
      <w:sz w:val="36"/>
      <w:szCs w:val="36"/>
      <w:lang w:eastAsia="en-AU"/>
    </w:rPr>
  </w:style>
  <w:style w:type="paragraph" w:styleId="ListBullet">
    <w:name w:val="List Bullet"/>
    <w:basedOn w:val="Normal"/>
    <w:uiPriority w:val="99"/>
    <w:semiHidden/>
    <w:rsid w:val="002E18C1"/>
    <w:pPr>
      <w:numPr>
        <w:numId w:val="4"/>
      </w:numPr>
      <w:contextualSpacing/>
    </w:pPr>
  </w:style>
  <w:style w:type="paragraph" w:styleId="CommentText">
    <w:name w:val="annotation text"/>
    <w:basedOn w:val="Normal"/>
    <w:link w:val="CommentTextChar"/>
    <w:uiPriority w:val="99"/>
    <w:unhideWhenUsed/>
    <w:rPr>
      <w:sz w:val="20"/>
      <w:szCs w:val="20"/>
    </w:rPr>
  </w:style>
  <w:style w:type="paragraph" w:customStyle="1" w:styleId="Bulletpoints">
    <w:name w:val="Bullet points"/>
    <w:basedOn w:val="Normal"/>
    <w:rsid w:val="00F97B2E"/>
    <w:pPr>
      <w:suppressAutoHyphens w:val="0"/>
      <w:spacing w:before="0" w:after="120"/>
      <w:ind w:left="720"/>
      <w:contextualSpacing/>
    </w:pPr>
    <w:rPr>
      <w:rFonts w:ascii="Calibri" w:eastAsia="Times New Roman" w:hAnsi="Calibri" w:cs="Arial"/>
      <w:szCs w:val="24"/>
      <w:lang w:eastAsia="en-AU"/>
    </w:rPr>
  </w:style>
  <w:style w:type="paragraph" w:customStyle="1" w:styleId="PBACESHeadingCAPS">
    <w:name w:val="PBAC ES Heading CAPS"/>
    <w:basedOn w:val="PBACESHeading2"/>
    <w:uiPriority w:val="1"/>
    <w:qFormat/>
    <w:rsid w:val="0026322F"/>
    <w:pPr>
      <w:tabs>
        <w:tab w:val="clear" w:pos="0"/>
        <w:tab w:val="left" w:pos="360"/>
      </w:tabs>
      <w:ind w:left="0" w:firstLine="0"/>
    </w:pPr>
    <w:rPr>
      <w:rFonts w:asciiTheme="majorHAnsi" w:hAnsiTheme="majorHAnsi"/>
      <w:b w:val="0"/>
      <w:i w:val="0"/>
      <w:smallCaps/>
      <w:snapToGrid w:val="0"/>
      <w:sz w:val="32"/>
    </w:rPr>
  </w:style>
  <w:style w:type="paragraph" w:customStyle="1" w:styleId="MSACESHeading2">
    <w:name w:val="MSAC ES Heading 2"/>
    <w:basedOn w:val="Heading2"/>
    <w:next w:val="Normal"/>
    <w:uiPriority w:val="1"/>
    <w:rsid w:val="0026322F"/>
    <w:pPr>
      <w:numPr>
        <w:ilvl w:val="0"/>
        <w:numId w:val="0"/>
      </w:numPr>
      <w:tabs>
        <w:tab w:val="left" w:pos="360"/>
      </w:tabs>
    </w:pPr>
    <w:rPr>
      <w:rFonts w:ascii="Cambria" w:hAnsi="Cambria"/>
      <w:b w:val="0"/>
      <w:i w:val="0"/>
      <w:snapToGrid w:val="0"/>
      <w:sz w:val="24"/>
    </w:rPr>
  </w:style>
  <w:style w:type="paragraph" w:customStyle="1" w:styleId="FrameContents">
    <w:name w:val="Frame Contents"/>
    <w:basedOn w:val="Normal"/>
    <w:qFormat/>
  </w:style>
  <w:style w:type="numbering" w:customStyle="1" w:styleId="Headings">
    <w:name w:val="Headings"/>
    <w:uiPriority w:val="99"/>
    <w:qFormat/>
    <w:rsid w:val="00C317F3"/>
    <w:pPr>
      <w:numPr>
        <w:numId w:val="9"/>
      </w:numPr>
    </w:pPr>
  </w:style>
  <w:style w:type="numbering" w:customStyle="1" w:styleId="MSACESBulletpoints">
    <w:name w:val="MSAC ES Bullet points"/>
    <w:uiPriority w:val="99"/>
    <w:qFormat/>
    <w:rsid w:val="00FA1A77"/>
  </w:style>
  <w:style w:type="numbering" w:customStyle="1" w:styleId="Style1">
    <w:name w:val="Style1"/>
    <w:uiPriority w:val="99"/>
    <w:qFormat/>
    <w:rsid w:val="009A580E"/>
    <w:pPr>
      <w:numPr>
        <w:numId w:val="10"/>
      </w:numPr>
    </w:pPr>
  </w:style>
  <w:style w:type="numbering" w:customStyle="1" w:styleId="Style2">
    <w:name w:val="Style2"/>
    <w:uiPriority w:val="99"/>
    <w:qFormat/>
    <w:rsid w:val="002A391F"/>
    <w:pPr>
      <w:numPr>
        <w:numId w:val="11"/>
      </w:numPr>
    </w:pPr>
  </w:style>
  <w:style w:type="numbering" w:customStyle="1" w:styleId="Style3">
    <w:name w:val="Style3"/>
    <w:uiPriority w:val="99"/>
    <w:qFormat/>
    <w:rsid w:val="0076446C"/>
  </w:style>
  <w:style w:type="table" w:styleId="TableGrid">
    <w:name w:val="Table Grid"/>
    <w:aliases w:val="Summary box,Table Gridbeth,CMA Table Template,ASD Table,MSD Table Grid,RTI AMCP Table,new style,PBAC table,Table Grid nm,HTAtableplain,HealthConsult,Dossier table,Section 3- footnotes,Summary Table"/>
    <w:basedOn w:val="TableNormal"/>
    <w:uiPriority w:val="39"/>
    <w:rsid w:val="004033BF"/>
    <w:rPr>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rPr>
      <w:tblPr/>
      <w:tcPr>
        <w:shd w:val="clear" w:color="auto" w:fill="F2F2F2" w:themeFill="background1" w:themeFillShade="F2"/>
      </w:tcPr>
    </w:tblStylePr>
  </w:style>
  <w:style w:type="table" w:customStyle="1" w:styleId="PBACTableStyle">
    <w:name w:val="PBAC Table Style"/>
    <w:basedOn w:val="TableGrid1"/>
    <w:uiPriority w:val="99"/>
    <w:rsid w:val="004A5746"/>
    <w:pPr>
      <w:jc w:val="center"/>
    </w:pPr>
    <w:rPr>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pPr>
        <w:wordWrap/>
        <w:spacing w:beforeLines="0" w:before="0" w:afterLines="0" w:after="0" w:line="240" w:lineRule="auto"/>
        <w:ind w:rightChars="0" w:right="57"/>
        <w:jc w:val="center"/>
      </w:pPr>
      <w:rPr>
        <w:b/>
        <w:sz w:val="20"/>
      </w:rPr>
    </w:tblStylePr>
    <w:tblStylePr w:type="lastRow">
      <w:rPr>
        <w:i/>
      </w:rPr>
      <w:tblPr/>
      <w:tcPr>
        <w:tcBorders>
          <w:tl2br w:val="none" w:sz="0" w:space="0" w:color="auto"/>
          <w:tr2bl w:val="none" w:sz="0" w:space="0" w:color="auto"/>
        </w:tcBorders>
      </w:tcPr>
    </w:tblStylePr>
    <w:tblStylePr w:type="firstCol">
      <w:pPr>
        <w:wordWrap/>
        <w:spacing w:beforeLines="0" w:before="0" w:afterLines="0" w:after="0" w:line="240" w:lineRule="auto"/>
        <w:ind w:rightChars="0" w:right="0"/>
        <w:jc w:val="left"/>
      </w:pPr>
      <w:rPr>
        <w:sz w:val="20"/>
      </w:rPr>
    </w:tblStylePr>
    <w:tblStylePr w:type="lastCol">
      <w:pPr>
        <w:wordWrap/>
        <w:spacing w:beforeLines="0" w:before="0" w:afterLines="0" w:after="0" w:line="240" w:lineRule="auto"/>
        <w:ind w:rightChars="0" w:right="0"/>
      </w:pPr>
      <w:rPr>
        <w:i/>
        <w:sz w:val="20"/>
      </w:rPr>
      <w:tblPr/>
      <w:tcPr>
        <w:tcBorders>
          <w:tl2br w:val="none" w:sz="0" w:space="0" w:color="auto"/>
          <w:tr2bl w:val="none" w:sz="0" w:space="0" w:color="auto"/>
        </w:tcBorders>
      </w:tcPr>
    </w:tblStylePr>
  </w:style>
  <w:style w:type="table" w:styleId="ListTable1Light">
    <w:name w:val="List Table 1 Light"/>
    <w:basedOn w:val="TableNormal"/>
    <w:uiPriority w:val="46"/>
    <w:rsid w:val="00062018"/>
    <w:tblPr>
      <w:tblStyleRowBandSize w:val="1"/>
      <w:tblStyleColBandSize w:val="1"/>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urfulAccent6">
    <w:name w:val="List Table 7 Colorful Accent 6"/>
    <w:basedOn w:val="TableNormal"/>
    <w:uiPriority w:val="52"/>
    <w:rsid w:val="00062018"/>
    <w:rPr>
      <w:color w:val="538135" w:themeColor="accent6"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1">
    <w:name w:val="Table Grid 1"/>
    <w:basedOn w:val="TableNormal"/>
    <w:uiPriority w:val="99"/>
    <w:semiHidden/>
    <w:unhideWhenUsed/>
    <w:rsid w:val="00264773"/>
    <w:pPr>
      <w:spacing w:before="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ListTable1Light1">
    <w:name w:val="List Table 1 Light1"/>
    <w:basedOn w:val="TableNormal"/>
    <w:uiPriority w:val="46"/>
    <w:rsid w:val="00104A1D"/>
    <w:tblPr>
      <w:tblStyleRowBandSize w:val="1"/>
      <w:tblStyleColBandSize w:val="1"/>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rPr>
      <w:color w:val="538135" w:themeColor="accent6" w:themeShade="BF"/>
    </w:rPr>
    <w:tblPr>
      <w:tblStyleRowBandSize w:val="1"/>
      <w:tblStyleColBandSize w:val="1"/>
    </w:tblPr>
    <w:tblStylePr w:type="firstRow">
      <w:rPr>
        <w:rFonts w:asciiTheme="majorHAnsi" w:eastAsiaTheme="majorEastAsia" w:hAnsiTheme="majorHAnsi" w:cstheme="majorBidi"/>
        <w:i/>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SDTable1">
    <w:name w:val="ASD Table1"/>
    <w:basedOn w:val="TableNormal"/>
    <w:uiPriority w:val="39"/>
    <w:rsid w:val="00CD7A48"/>
    <w:rPr>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TATableshaded">
    <w:name w:val="HTA Table shaded"/>
    <w:basedOn w:val="TableNormal"/>
    <w:rsid w:val="0075031C"/>
    <w:pPr>
      <w:spacing w:before="40" w:after="20"/>
    </w:pPr>
    <w:rPr>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val="0"/>
        <w:sz w:val="18"/>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styleId="PlainTable2">
    <w:name w:val="Plain Table 2"/>
    <w:basedOn w:val="TableNormal"/>
    <w:uiPriority w:val="42"/>
    <w:rsid w:val="00275F25"/>
    <w:rPr>
      <w:lang w:val="de-D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BACTableStyle1">
    <w:name w:val="PBAC Table Style1"/>
    <w:basedOn w:val="TableGrid1"/>
    <w:uiPriority w:val="99"/>
    <w:rsid w:val="00876B12"/>
    <w:pPr>
      <w:jc w:val="center"/>
    </w:pPr>
    <w:rPr>
      <w:color w:val="000000" w:themeColor="text1"/>
      <w:sz w:val="20"/>
      <w:szCs w:val="20"/>
      <w:lang w:val="en-US" w:eastAsia="en-AU"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0" w:afterLines="0" w:after="0" w:line="240" w:lineRule="auto"/>
        <w:ind w:rightChars="0" w:right="57"/>
        <w:jc w:val="center"/>
      </w:pPr>
      <w:rPr>
        <w:b/>
        <w:sz w:val="20"/>
      </w:rPr>
    </w:tblStylePr>
    <w:tblStylePr w:type="lastRow">
      <w:rPr>
        <w:i/>
      </w:rPr>
      <w:tblPr/>
      <w:tcPr>
        <w:tcBorders>
          <w:tl2br w:val="none" w:sz="0" w:space="0" w:color="auto"/>
          <w:tr2bl w:val="none" w:sz="0" w:space="0" w:color="auto"/>
        </w:tcBorders>
      </w:tcPr>
    </w:tblStylePr>
    <w:tblStylePr w:type="firstCol">
      <w:pPr>
        <w:wordWrap/>
        <w:spacing w:beforeLines="0" w:before="0" w:afterLines="0" w:after="0" w:line="240" w:lineRule="auto"/>
        <w:ind w:rightChars="0" w:right="0"/>
        <w:jc w:val="left"/>
      </w:pPr>
      <w:rPr>
        <w:sz w:val="20"/>
      </w:rPr>
    </w:tblStylePr>
    <w:tblStylePr w:type="lastCol">
      <w:pPr>
        <w:wordWrap/>
        <w:spacing w:beforeLines="0" w:before="0" w:afterLines="0" w:after="0" w:line="240" w:lineRule="auto"/>
        <w:ind w:rightChars="0" w:right="0"/>
      </w:pPr>
      <w:rPr>
        <w:i/>
        <w:sz w:val="20"/>
      </w:rPr>
      <w:tblPr/>
      <w:tcPr>
        <w:tcBorders>
          <w:tl2br w:val="none" w:sz="0" w:space="0" w:color="auto"/>
          <w:tr2bl w:val="none" w:sz="0" w:space="0" w:color="auto"/>
        </w:tcBorders>
      </w:tcPr>
    </w:tblStylePr>
  </w:style>
  <w:style w:type="character" w:customStyle="1" w:styleId="cf01">
    <w:name w:val="cf01"/>
    <w:basedOn w:val="DefaultParagraphFont"/>
    <w:rsid w:val="00476A25"/>
    <w:rPr>
      <w:rFonts w:ascii="Segoe UI" w:hAnsi="Segoe UI" w:cs="Segoe UI" w:hint="default"/>
      <w:sz w:val="18"/>
      <w:szCs w:val="18"/>
    </w:rPr>
  </w:style>
  <w:style w:type="paragraph" w:customStyle="1" w:styleId="Nnumberedlist">
    <w:name w:val="Nnumbered list"/>
    <w:basedOn w:val="Normal"/>
    <w:rsid w:val="00EC43BF"/>
    <w:pPr>
      <w:numPr>
        <w:numId w:val="14"/>
      </w:numPr>
      <w:suppressAutoHyphens w:val="0"/>
      <w:spacing w:line="259" w:lineRule="auto"/>
    </w:pPr>
    <w:rPr>
      <w:rFonts w:ascii="Calibri" w:eastAsia="Times New Roman" w:hAnsi="Calibri" w:cs="Tahoma"/>
      <w:lang w:eastAsia="en-AU"/>
    </w:rPr>
  </w:style>
  <w:style w:type="table" w:customStyle="1" w:styleId="Section3-footnot1">
    <w:name w:val="Section 3- footnot1"/>
    <w:basedOn w:val="TableNormal"/>
    <w:next w:val="TableGrid"/>
    <w:uiPriority w:val="59"/>
    <w:rsid w:val="00EC43BF"/>
    <w:pPr>
      <w:suppressAutoHyphens w:val="0"/>
    </w:pPr>
    <w:tblPr/>
  </w:style>
  <w:style w:type="table" w:customStyle="1" w:styleId="HTAtableplain1">
    <w:name w:val="HTAtableplain1"/>
    <w:basedOn w:val="TableNormal"/>
    <w:next w:val="TableGrid"/>
    <w:rsid w:val="00A43E3D"/>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BeforeDash">
    <w:name w:val="BulletBeforeDash"/>
    <w:basedOn w:val="Normal"/>
    <w:rsid w:val="002362D5"/>
    <w:pPr>
      <w:numPr>
        <w:numId w:val="24"/>
      </w:numPr>
      <w:suppressAutoHyphens w:val="0"/>
      <w:spacing w:before="0" w:after="0"/>
      <w:ind w:left="720"/>
      <w:jc w:val="left"/>
    </w:pPr>
    <w:rPr>
      <w:rFonts w:ascii="Times New Roman" w:eastAsia="Times New Roman" w:hAnsi="Times New Roman" w:cs="Times New Roman"/>
      <w:color w:val="000000"/>
      <w:szCs w:val="20"/>
      <w:lang w:eastAsia="en-AU"/>
    </w:rPr>
  </w:style>
  <w:style w:type="paragraph" w:customStyle="1" w:styleId="Bullet">
    <w:name w:val="Bullet"/>
    <w:basedOn w:val="BulletBeforeDash"/>
    <w:qFormat/>
    <w:rsid w:val="002362D5"/>
    <w:pPr>
      <w:spacing w:after="120"/>
    </w:pPr>
    <w:rPr>
      <w:rFonts w:ascii="Franklin Gothic Book" w:hAnsi="Franklin Gothic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478154052">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sac.gov.au/applications/1721"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msac.gov.au/applications/1152" TargetMode="External"/><Relationship Id="rId17" Type="http://schemas.openxmlformats.org/officeDocument/2006/relationships/hyperlink" Target="http://msac.gov.au/internet/msac/publishing.nsf/Content/Home-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9.health.gov.au/mbs/fullDisplay.cfm?type=note&amp;qt=NoteID&amp;q=PN.1.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ac.gov.au/"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canceraustralia.gov.au/cancer-types/thyroid-cancer/thyroid-cancer-australia-statistics" TargetMode="External"/><Relationship Id="rId2" Type="http://schemas.openxmlformats.org/officeDocument/2006/relationships/hyperlink" Target="https://www.msac.gov.au/sites/default/files/2025-03/1750_final_psd_-_november_2024_-_redacted.pdf" TargetMode="External"/><Relationship Id="rId1" Type="http://schemas.openxmlformats.org/officeDocument/2006/relationships/hyperlink" Target="https://www.canceraustralia.gov.au/cancer-types/thyroid-cancer/types-thyroid-cancer"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7d54a9e-4aca-451b-99db-b94fe438e987">
      <UserInfo>
        <DisplayName/>
        <AccountId xsi:nil="true"/>
        <AccountType/>
      </UserInfo>
    </SharedWithUsers>
    <lcf76f155ced4ddcb4097134ff3c332f xmlns="7513b557-581c-46d3-8cc7-77c65017dc6f">
      <Terms xmlns="http://schemas.microsoft.com/office/infopath/2007/PartnerControls"/>
    </lcf76f155ced4ddcb4097134ff3c332f>
    <TaxCatchAll xmlns="e7d54a9e-4aca-451b-99db-b94fe438e987"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E4A37BE997BE34FBB7D5057D341D123" ma:contentTypeVersion="14" ma:contentTypeDescription="Create a new document." ma:contentTypeScope="" ma:versionID="d0803639e3b14a1b5fe5efce3e9a7be0">
  <xsd:schema xmlns:xsd="http://www.w3.org/2001/XMLSchema" xmlns:xs="http://www.w3.org/2001/XMLSchema" xmlns:p="http://schemas.microsoft.com/office/2006/metadata/properties" xmlns:ns2="7513b557-581c-46d3-8cc7-77c65017dc6f" xmlns:ns3="e7d54a9e-4aca-451b-99db-b94fe438e987" targetNamespace="http://schemas.microsoft.com/office/2006/metadata/properties" ma:root="true" ma:fieldsID="124831d27a8e0cd56fbacb95874fe705" ns2:_="" ns3:_="">
    <xsd:import namespace="7513b557-581c-46d3-8cc7-77c65017dc6f"/>
    <xsd:import namespace="e7d54a9e-4aca-451b-99db-b94fe438e9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13b557-581c-46d3-8cc7-77c65017d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d54a9e-4aca-451b-99db-b94fe438e9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b094059-5103-4cd0-8820-a17a44f45f06}" ma:internalName="TaxCatchAll" ma:showField="CatchAllData" ma:web="e7d54a9e-4aca-451b-99db-b94fe438e9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141256-7DE6-4FC2-891C-95A52E06EF42}">
  <ds:schemaRefs>
    <ds:schemaRef ds:uri="http://schemas.microsoft.com/office/2006/metadata/properties"/>
    <ds:schemaRef ds:uri="http://schemas.microsoft.com/office/infopath/2007/PartnerControls"/>
    <ds:schemaRef ds:uri="e7d54a9e-4aca-451b-99db-b94fe438e987"/>
    <ds:schemaRef ds:uri="7513b557-581c-46d3-8cc7-77c65017dc6f"/>
  </ds:schemaRefs>
</ds:datastoreItem>
</file>

<file path=customXml/itemProps2.xml><?xml version="1.0" encoding="utf-8"?>
<ds:datastoreItem xmlns:ds="http://schemas.openxmlformats.org/officeDocument/2006/customXml" ds:itemID="{649C239F-1674-44D9-9079-07753DDDE27E}">
  <ds:schemaRefs>
    <ds:schemaRef ds:uri="http://schemas.openxmlformats.org/officeDocument/2006/bibliography"/>
  </ds:schemaRefs>
</ds:datastoreItem>
</file>

<file path=customXml/itemProps3.xml><?xml version="1.0" encoding="utf-8"?>
<ds:datastoreItem xmlns:ds="http://schemas.openxmlformats.org/officeDocument/2006/customXml" ds:itemID="{CBC427CC-FB56-486C-B293-37D25205C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13b557-581c-46d3-8cc7-77c65017dc6f"/>
    <ds:schemaRef ds:uri="e7d54a9e-4aca-451b-99db-b94fe438e9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FEFD3-0798-4461-8DF2-B901CF8D19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19349</Words>
  <Characters>106036</Characters>
  <Application>Microsoft Office Word</Application>
  <DocSecurity>0</DocSecurity>
  <Lines>2209</Lines>
  <Paragraphs>1129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124256</CharactersWithSpaces>
  <SharedDoc>false</SharedDoc>
  <HLinks>
    <vt:vector size="48" baseType="variant">
      <vt:variant>
        <vt:i4>6684716</vt:i4>
      </vt:variant>
      <vt:variant>
        <vt:i4>125</vt:i4>
      </vt:variant>
      <vt:variant>
        <vt:i4>0</vt:i4>
      </vt:variant>
      <vt:variant>
        <vt:i4>5</vt:i4>
      </vt:variant>
      <vt:variant>
        <vt:lpwstr>http://msac.gov.au/internet/msac/publishing.nsf/Content/Home-1</vt:lpwstr>
      </vt:variant>
      <vt:variant>
        <vt:lpwstr/>
      </vt:variant>
      <vt:variant>
        <vt:i4>3211304</vt:i4>
      </vt:variant>
      <vt:variant>
        <vt:i4>122</vt:i4>
      </vt:variant>
      <vt:variant>
        <vt:i4>0</vt:i4>
      </vt:variant>
      <vt:variant>
        <vt:i4>5</vt:i4>
      </vt:variant>
      <vt:variant>
        <vt:lpwstr>http://www9.health.gov.au/mbs/fullDisplay.cfm?type=note&amp;qt=NoteID&amp;q=PN.1.2</vt:lpwstr>
      </vt:variant>
      <vt:variant>
        <vt:lpwstr/>
      </vt:variant>
      <vt:variant>
        <vt:i4>1245264</vt:i4>
      </vt:variant>
      <vt:variant>
        <vt:i4>9</vt:i4>
      </vt:variant>
      <vt:variant>
        <vt:i4>0</vt:i4>
      </vt:variant>
      <vt:variant>
        <vt:i4>5</vt:i4>
      </vt:variant>
      <vt:variant>
        <vt:lpwstr>https://www.msac.gov.au/applications/1721</vt:lpwstr>
      </vt:variant>
      <vt:variant>
        <vt:lpwstr/>
      </vt:variant>
      <vt:variant>
        <vt:i4>1310806</vt:i4>
      </vt:variant>
      <vt:variant>
        <vt:i4>6</vt:i4>
      </vt:variant>
      <vt:variant>
        <vt:i4>0</vt:i4>
      </vt:variant>
      <vt:variant>
        <vt:i4>5</vt:i4>
      </vt:variant>
      <vt:variant>
        <vt:lpwstr>https://www.msac.gov.au/applications/1152</vt:lpwstr>
      </vt:variant>
      <vt:variant>
        <vt:lpwstr/>
      </vt:variant>
      <vt:variant>
        <vt:i4>3997744</vt:i4>
      </vt:variant>
      <vt:variant>
        <vt:i4>0</vt:i4>
      </vt:variant>
      <vt:variant>
        <vt:i4>0</vt:i4>
      </vt:variant>
      <vt:variant>
        <vt:i4>5</vt:i4>
      </vt:variant>
      <vt:variant>
        <vt:lpwstr>http://www.msac.gov.au/</vt:lpwstr>
      </vt:variant>
      <vt:variant>
        <vt:lpwstr/>
      </vt:variant>
      <vt:variant>
        <vt:i4>8192115</vt:i4>
      </vt:variant>
      <vt:variant>
        <vt:i4>6</vt:i4>
      </vt:variant>
      <vt:variant>
        <vt:i4>0</vt:i4>
      </vt:variant>
      <vt:variant>
        <vt:i4>5</vt:i4>
      </vt:variant>
      <vt:variant>
        <vt:lpwstr>https://www.canceraustralia.gov.au/cancer-types/thyroid-cancer/thyroid-cancer-australia-statistics</vt:lpwstr>
      </vt:variant>
      <vt:variant>
        <vt:lpwstr/>
      </vt:variant>
      <vt:variant>
        <vt:i4>3932231</vt:i4>
      </vt:variant>
      <vt:variant>
        <vt:i4>3</vt:i4>
      </vt:variant>
      <vt:variant>
        <vt:i4>0</vt:i4>
      </vt:variant>
      <vt:variant>
        <vt:i4>5</vt:i4>
      </vt:variant>
      <vt:variant>
        <vt:lpwstr>https://www.msac.gov.au/sites/default/files/2025-03/1750_final_psd_-_november_2024_-_redacted.pdf</vt:lpwstr>
      </vt:variant>
      <vt:variant>
        <vt:lpwstr/>
      </vt:variant>
      <vt:variant>
        <vt:i4>2031708</vt:i4>
      </vt:variant>
      <vt:variant>
        <vt:i4>0</vt:i4>
      </vt:variant>
      <vt:variant>
        <vt:i4>0</vt:i4>
      </vt:variant>
      <vt:variant>
        <vt:i4>5</vt:i4>
      </vt:variant>
      <vt:variant>
        <vt:lpwstr>https://www.canceraustralia.gov.au/cancer-types/thyroid-cancer/types-thyroid-cancer</vt:lpwstr>
      </vt:variant>
      <vt:variant>
        <vt:lpwstr>references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2026-07-06T22:09:00Z</dcterms:created>
  <dcterms:modified xsi:type="dcterms:W3CDTF">2026-07-14T03:27:00Z</dcterms:modified>
  <cp:contentStatus>Final</cp:contentStatus>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7af5932e,411d1c1c,1ca37233</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2bb8a424,69569be2,135a621</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2026-07-06T05:10:55Z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372990bc-9683-4365-bea4-a2589d7ff105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Order">
    <vt:r8>6893200</vt:r8>
  </property>
  <property fmtid="{D5CDD505-2E9C-101B-9397-08002B2CF9AE}" pid="17" name="MediaServiceImageTags">
    <vt:lpwstr/>
  </property>
  <property fmtid="{D5CDD505-2E9C-101B-9397-08002B2CF9AE}" pid="18" name="xd_ProgID">
    <vt:lpwstr/>
  </property>
  <property fmtid="{D5CDD505-2E9C-101B-9397-08002B2CF9AE}" pid="19" name="ContentTypeId">
    <vt:lpwstr>0x0101005E4A37BE997BE34FBB7D5057D341D123</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docLang">
    <vt:lpwstr>en</vt:lpwstr>
  </property>
  <property fmtid="{D5CDD505-2E9C-101B-9397-08002B2CF9AE}" pid="24" name="xd_Signature">
    <vt:bool>false</vt:bool>
  </property>
  <property fmtid="{D5CDD505-2E9C-101B-9397-08002B2CF9AE}" pid="25" name="TriggerFlowInfo">
    <vt:lpwstr/>
  </property>
  <property fmtid="{D5CDD505-2E9C-101B-9397-08002B2CF9AE}" pid="26" name="_MarkAsFinal">
    <vt:bool>true</vt:bool>
  </property>
</Properties>
</file>