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38CC7182" w:rsidR="006478E7" w:rsidRPr="00490FBB" w:rsidRDefault="006478E7" w:rsidP="006478E7">
      <w:pPr>
        <w:spacing w:before="120" w:after="120" w:line="312" w:lineRule="auto"/>
        <w:jc w:val="center"/>
      </w:pPr>
    </w:p>
    <w:p w14:paraId="50B6D781" w14:textId="57A1A1AD" w:rsidR="006478E7" w:rsidRPr="00490FBB" w:rsidRDefault="00BB0FFB" w:rsidP="00BB0FFB">
      <w:pPr>
        <w:pStyle w:val="Heading10"/>
        <w:spacing w:before="2880"/>
        <w:jc w:val="center"/>
        <w:rPr>
          <w:sz w:val="48"/>
          <w:szCs w:val="48"/>
        </w:rPr>
      </w:pPr>
      <w:r>
        <w:rPr>
          <w:sz w:val="48"/>
          <w:szCs w:val="48"/>
        </w:rPr>
        <w:t xml:space="preserve">MSAC </w:t>
      </w:r>
      <w:r w:rsidR="006478E7" w:rsidRPr="00490FBB">
        <w:rPr>
          <w:sz w:val="48"/>
          <w:szCs w:val="48"/>
        </w:rPr>
        <w:t xml:space="preserve">Application </w:t>
      </w:r>
      <w:r w:rsidR="00BD4EE1">
        <w:rPr>
          <w:sz w:val="48"/>
          <w:szCs w:val="48"/>
        </w:rPr>
        <w:t>1825</w:t>
      </w:r>
    </w:p>
    <w:p w14:paraId="11765312" w14:textId="20F418A2" w:rsidR="006478E7" w:rsidRPr="00C42875" w:rsidRDefault="00647F9E" w:rsidP="006478E7">
      <w:pPr>
        <w:pStyle w:val="Heading10"/>
        <w:jc w:val="center"/>
        <w:rPr>
          <w:color w:val="002060"/>
          <w:sz w:val="48"/>
          <w:szCs w:val="48"/>
        </w:rPr>
      </w:pPr>
      <w:r w:rsidRPr="00647F9E">
        <w:rPr>
          <w:color w:val="002060"/>
          <w:sz w:val="48"/>
          <w:szCs w:val="48"/>
        </w:rPr>
        <w:t xml:space="preserve">Transcranial Doppler bubble test </w:t>
      </w:r>
      <w:r w:rsidR="0035076F">
        <w:rPr>
          <w:color w:val="002060"/>
          <w:sz w:val="48"/>
          <w:szCs w:val="48"/>
        </w:rPr>
        <w:br/>
      </w:r>
      <w:r w:rsidRPr="00647F9E">
        <w:rPr>
          <w:color w:val="002060"/>
          <w:sz w:val="48"/>
          <w:szCs w:val="48"/>
        </w:rPr>
        <w:t xml:space="preserve">for patent foramen </w:t>
      </w:r>
      <w:proofErr w:type="spellStart"/>
      <w:r w:rsidRPr="00647F9E">
        <w:rPr>
          <w:color w:val="002060"/>
          <w:sz w:val="48"/>
          <w:szCs w:val="48"/>
        </w:rPr>
        <w:t>ovale</w:t>
      </w:r>
      <w:proofErr w:type="spellEnd"/>
    </w:p>
    <w:p w14:paraId="44FD303D" w14:textId="49AE2C4F" w:rsidR="00477EE1" w:rsidRPr="00C42875" w:rsidRDefault="00D47F16" w:rsidP="00477EE1">
      <w:pPr>
        <w:pStyle w:val="Heading10"/>
        <w:jc w:val="center"/>
        <w:rPr>
          <w:color w:val="002060"/>
          <w:sz w:val="40"/>
          <w:szCs w:val="40"/>
        </w:rPr>
      </w:pPr>
      <w:r w:rsidRPr="00E24B22">
        <w:rPr>
          <w:color w:val="002060"/>
          <w:sz w:val="40"/>
          <w:szCs w:val="40"/>
        </w:rPr>
        <w:t xml:space="preserve">Applicant: </w:t>
      </w:r>
      <w:r w:rsidR="00922F87" w:rsidRPr="00922F87">
        <w:rPr>
          <w:color w:val="002060"/>
          <w:sz w:val="40"/>
          <w:szCs w:val="40"/>
        </w:rPr>
        <w:t>Australian and New Zealand Stroke Organisation Ltd.</w:t>
      </w:r>
    </w:p>
    <w:p w14:paraId="23900CA0" w14:textId="04105639" w:rsidR="006478E7" w:rsidRPr="00490FBB" w:rsidRDefault="006478E7" w:rsidP="00BB0FFB">
      <w:pPr>
        <w:pStyle w:val="Heading1"/>
      </w:pPr>
      <w:r w:rsidRPr="00490FBB">
        <w:t>PICO Confirmation</w:t>
      </w:r>
      <w:r w:rsidRPr="00490FBB">
        <w:br w:type="page"/>
      </w:r>
    </w:p>
    <w:p w14:paraId="219312C8" w14:textId="3F9F393A" w:rsidR="006478E7" w:rsidRPr="00D52956" w:rsidRDefault="006478E7" w:rsidP="00E81809">
      <w:pPr>
        <w:pStyle w:val="Heading2"/>
      </w:pPr>
      <w:r w:rsidRPr="00D52956">
        <w:lastRenderedPageBreak/>
        <w:t xml:space="preserve">Summary of </w:t>
      </w:r>
      <w:r w:rsidR="00235B21">
        <w:t xml:space="preserve">PPICO criteria to define </w:t>
      </w:r>
      <w:r w:rsidRPr="00D52956">
        <w:t>question(s) to be addressed in an Assessment Report to the Medical Services Advisory Committee (MSAC)</w:t>
      </w:r>
    </w:p>
    <w:p w14:paraId="475316DC" w14:textId="7EA700B7" w:rsidR="00F81FBC" w:rsidRDefault="009C55DB" w:rsidP="009C55DB">
      <w:pPr>
        <w:pStyle w:val="Caption"/>
      </w:pPr>
      <w:bookmarkStart w:id="0" w:name="_Ref69732160"/>
      <w:bookmarkStart w:id="1" w:name="_Ref69732155"/>
      <w:r>
        <w:t xml:space="preserve">Table </w:t>
      </w:r>
      <w:r>
        <w:fldChar w:fldCharType="begin"/>
      </w:r>
      <w:r>
        <w:instrText xml:space="preserve"> SEQ Table \* ARABIC </w:instrText>
      </w:r>
      <w:r>
        <w:fldChar w:fldCharType="separate"/>
      </w:r>
      <w:r w:rsidR="000E03E5">
        <w:rPr>
          <w:noProof/>
        </w:rPr>
        <w:t>1</w:t>
      </w:r>
      <w:r>
        <w:fldChar w:fldCharType="end"/>
      </w:r>
      <w:r w:rsidR="00F81FBC">
        <w:tab/>
      </w:r>
      <w:r w:rsidR="00F81FBC" w:rsidRPr="00B35590">
        <w:t>P</w:t>
      </w:r>
      <w:r w:rsidR="00B80C57">
        <w:t>P</w:t>
      </w:r>
      <w:r w:rsidR="00F81FBC" w:rsidRPr="00B35590">
        <w:t xml:space="preserve">ICO </w:t>
      </w:r>
      <w:r w:rsidR="00AD577A">
        <w:t>for t</w:t>
      </w:r>
      <w:r w:rsidR="00F81FBC" w:rsidRPr="00B35590">
        <w:t>ranscranial</w:t>
      </w:r>
      <w:r w:rsidR="00F81FBC">
        <w:t xml:space="preserve"> Doppler bubble test </w:t>
      </w:r>
      <w:r w:rsidR="00382F01" w:rsidRPr="0063745D">
        <w:t>as a</w:t>
      </w:r>
      <w:r w:rsidR="00F81FBC" w:rsidRPr="0063745D">
        <w:t xml:space="preserve"> </w:t>
      </w:r>
      <w:r w:rsidR="00133393" w:rsidRPr="0063745D">
        <w:t xml:space="preserve">triage test </w:t>
      </w:r>
      <w:r w:rsidR="003C130C">
        <w:t xml:space="preserve">within the diagnostic pathway for suspected </w:t>
      </w:r>
      <w:r w:rsidR="0057605F">
        <w:t>PFO</w:t>
      </w:r>
      <w:r w:rsidR="003C130C">
        <w:t>-associated stroke</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Caption w:val="PICO for transcranial Doppler bubble test as a triage test within the diagnostic pathway for suspected PFO-associated stroke"/>
        <w:tblDescription w:val="The table defines each of the PICO elements: population, prior tests, intervention, comparator, reference standard, outcomes. It also outlines the overarching assessment question, and the questions associated with the linked evidence approach outlined in the assessment framework."/>
      </w:tblPr>
      <w:tblGrid>
        <w:gridCol w:w="1923"/>
        <w:gridCol w:w="7643"/>
      </w:tblGrid>
      <w:tr w:rsidR="00F81FBC" w:rsidRPr="00490FBB" w14:paraId="30A1665D" w14:textId="77777777" w:rsidTr="5A3A89BB">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59A0BF0D" w14:textId="77777777" w:rsidR="00F81FBC" w:rsidRPr="00490FBB" w:rsidRDefault="00F81FBC" w:rsidP="00E1590E">
            <w:pPr>
              <w:pStyle w:val="TableHeading"/>
            </w:pPr>
            <w:r w:rsidRPr="00490FBB">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CE3A5B" w14:textId="77777777" w:rsidR="00F81FBC" w:rsidRPr="00490FBB" w:rsidRDefault="00F81FBC" w:rsidP="00E1590E">
            <w:pPr>
              <w:pStyle w:val="TableHeading"/>
            </w:pPr>
            <w:r w:rsidRPr="00490FBB">
              <w:t>Description</w:t>
            </w:r>
          </w:p>
        </w:tc>
      </w:tr>
      <w:tr w:rsidR="00F81FBC" w:rsidRPr="00490FBB" w14:paraId="32915FD9" w14:textId="77777777" w:rsidTr="5A3A89BB">
        <w:tc>
          <w:tcPr>
            <w:tcW w:w="1005" w:type="pct"/>
            <w:tcBorders>
              <w:top w:val="single" w:sz="8" w:space="0" w:color="auto"/>
              <w:left w:val="single" w:sz="8" w:space="0" w:color="auto"/>
              <w:bottom w:val="single" w:sz="4" w:space="0" w:color="auto"/>
              <w:right w:val="single" w:sz="4" w:space="0" w:color="auto"/>
            </w:tcBorders>
            <w:hideMark/>
          </w:tcPr>
          <w:p w14:paraId="3AE0C531" w14:textId="77777777" w:rsidR="00F81FBC" w:rsidRPr="00490FBB" w:rsidRDefault="00F81FBC" w:rsidP="00E1590E">
            <w:pPr>
              <w:pStyle w:val="TableText0"/>
            </w:pPr>
            <w:r>
              <w:t>Population</w:t>
            </w:r>
          </w:p>
        </w:tc>
        <w:tc>
          <w:tcPr>
            <w:tcW w:w="3995" w:type="pct"/>
            <w:tcBorders>
              <w:top w:val="single" w:sz="4" w:space="0" w:color="auto"/>
              <w:left w:val="single" w:sz="4" w:space="0" w:color="auto"/>
              <w:bottom w:val="single" w:sz="4" w:space="0" w:color="auto"/>
              <w:right w:val="single" w:sz="4" w:space="0" w:color="auto"/>
            </w:tcBorders>
          </w:tcPr>
          <w:p w14:paraId="18453866" w14:textId="33604344" w:rsidR="00B02A50" w:rsidRPr="000D25D4" w:rsidRDefault="0034045E" w:rsidP="00E1590E">
            <w:pPr>
              <w:pStyle w:val="TableText0"/>
              <w:rPr>
                <w:color w:val="000000" w:themeColor="text1"/>
              </w:rPr>
            </w:pPr>
            <w:r>
              <w:rPr>
                <w:color w:val="000000" w:themeColor="text1"/>
              </w:rPr>
              <w:t>Individual</w:t>
            </w:r>
            <w:r w:rsidR="00B02A50" w:rsidRPr="00B02A50">
              <w:rPr>
                <w:color w:val="000000" w:themeColor="text1"/>
              </w:rPr>
              <w:t>s with prior cryptogenic isch</w:t>
            </w:r>
            <w:r w:rsidR="00D740EA">
              <w:rPr>
                <w:color w:val="000000" w:themeColor="text1"/>
              </w:rPr>
              <w:t>a</w:t>
            </w:r>
            <w:r w:rsidR="00B02A50" w:rsidRPr="00B02A50">
              <w:rPr>
                <w:color w:val="000000" w:themeColor="text1"/>
              </w:rPr>
              <w:t xml:space="preserve">emic stroke </w:t>
            </w:r>
            <w:r w:rsidR="00EE4C1C">
              <w:rPr>
                <w:color w:val="000000" w:themeColor="text1"/>
              </w:rPr>
              <w:t xml:space="preserve">or embolic </w:t>
            </w:r>
            <w:r w:rsidR="00811E1D">
              <w:rPr>
                <w:color w:val="000000" w:themeColor="text1"/>
              </w:rPr>
              <w:t xml:space="preserve">stroke of undetermined source (ESUS) </w:t>
            </w:r>
            <w:r w:rsidR="00261A57">
              <w:rPr>
                <w:color w:val="000000" w:themeColor="text1"/>
              </w:rPr>
              <w:t>who are</w:t>
            </w:r>
            <w:r w:rsidR="00B02A50" w:rsidRPr="00B02A50">
              <w:rPr>
                <w:color w:val="000000" w:themeColor="text1"/>
              </w:rPr>
              <w:t xml:space="preserve"> undergoing evaluation for a potential patent foramen </w:t>
            </w:r>
            <w:proofErr w:type="spellStart"/>
            <w:r w:rsidR="00B02A50" w:rsidRPr="00B02A50">
              <w:rPr>
                <w:color w:val="000000" w:themeColor="text1"/>
              </w:rPr>
              <w:t>ovale</w:t>
            </w:r>
            <w:proofErr w:type="spellEnd"/>
            <w:r w:rsidR="00B02A50" w:rsidRPr="00B02A50">
              <w:rPr>
                <w:color w:val="000000" w:themeColor="text1"/>
              </w:rPr>
              <w:t xml:space="preserve"> (PFO)</w:t>
            </w:r>
            <w:r w:rsidR="002E44B2">
              <w:rPr>
                <w:color w:val="000000" w:themeColor="text1"/>
              </w:rPr>
              <w:t xml:space="preserve"> as an underlying cause</w:t>
            </w:r>
          </w:p>
        </w:tc>
      </w:tr>
      <w:tr w:rsidR="00F81FBC" w:rsidRPr="00490FBB" w14:paraId="5B2970DF" w14:textId="77777777" w:rsidTr="5A3A89BB">
        <w:tc>
          <w:tcPr>
            <w:tcW w:w="1005" w:type="pct"/>
            <w:tcBorders>
              <w:top w:val="single" w:sz="8" w:space="0" w:color="auto"/>
              <w:left w:val="single" w:sz="8" w:space="0" w:color="auto"/>
              <w:bottom w:val="single" w:sz="4" w:space="0" w:color="auto"/>
              <w:right w:val="single" w:sz="4" w:space="0" w:color="auto"/>
            </w:tcBorders>
            <w:hideMark/>
          </w:tcPr>
          <w:p w14:paraId="0E16C38E" w14:textId="77777777" w:rsidR="00F81FBC" w:rsidRPr="00490FBB" w:rsidRDefault="00F81FBC" w:rsidP="00E1590E">
            <w:pPr>
              <w:pStyle w:val="TableText0"/>
            </w:pPr>
            <w:r w:rsidRPr="00490FBB">
              <w:t>Prior tests</w:t>
            </w:r>
          </w:p>
        </w:tc>
        <w:tc>
          <w:tcPr>
            <w:tcW w:w="3995" w:type="pct"/>
            <w:tcBorders>
              <w:top w:val="single" w:sz="4" w:space="0" w:color="auto"/>
              <w:left w:val="single" w:sz="4" w:space="0" w:color="auto"/>
              <w:bottom w:val="single" w:sz="4" w:space="0" w:color="auto"/>
              <w:right w:val="single" w:sz="4" w:space="0" w:color="auto"/>
            </w:tcBorders>
          </w:tcPr>
          <w:p w14:paraId="1A58C926" w14:textId="0B7F60A9" w:rsidR="00F81FBC" w:rsidRPr="000D25D4" w:rsidRDefault="00D04588" w:rsidP="00E1590E">
            <w:pPr>
              <w:pStyle w:val="TableText0"/>
              <w:rPr>
                <w:color w:val="000000" w:themeColor="text1"/>
              </w:rPr>
            </w:pPr>
            <w:r w:rsidRPr="00D04588">
              <w:rPr>
                <w:color w:val="000000" w:themeColor="text1"/>
              </w:rPr>
              <w:t>Standard stroke wor</w:t>
            </w:r>
            <w:r w:rsidR="00D553F5">
              <w:rPr>
                <w:color w:val="000000" w:themeColor="text1"/>
              </w:rPr>
              <w:t>k-</w:t>
            </w:r>
            <w:r w:rsidRPr="00D04588">
              <w:rPr>
                <w:color w:val="000000" w:themeColor="text1"/>
              </w:rPr>
              <w:t>up including</w:t>
            </w:r>
            <w:r>
              <w:rPr>
                <w:color w:val="000000" w:themeColor="text1"/>
              </w:rPr>
              <w:t>:</w:t>
            </w:r>
            <w:r w:rsidRPr="00D04588">
              <w:rPr>
                <w:color w:val="000000" w:themeColor="text1"/>
              </w:rPr>
              <w:t xml:space="preserve"> brain imaging (e.g. </w:t>
            </w:r>
            <w:r w:rsidR="00F93424">
              <w:rPr>
                <w:color w:val="000000" w:themeColor="text1"/>
              </w:rPr>
              <w:t xml:space="preserve">magnetic resonance </w:t>
            </w:r>
            <w:r w:rsidR="007277B0">
              <w:rPr>
                <w:color w:val="000000" w:themeColor="text1"/>
              </w:rPr>
              <w:t>imaging [</w:t>
            </w:r>
            <w:r w:rsidRPr="00D04588">
              <w:rPr>
                <w:color w:val="000000" w:themeColor="text1"/>
              </w:rPr>
              <w:t>MRI</w:t>
            </w:r>
            <w:r w:rsidR="007277B0">
              <w:rPr>
                <w:color w:val="000000" w:themeColor="text1"/>
              </w:rPr>
              <w:t>]</w:t>
            </w:r>
            <w:r w:rsidRPr="00D04588">
              <w:rPr>
                <w:color w:val="000000" w:themeColor="text1"/>
              </w:rPr>
              <w:t>)</w:t>
            </w:r>
            <w:r w:rsidR="00320040">
              <w:rPr>
                <w:color w:val="000000" w:themeColor="text1"/>
              </w:rPr>
              <w:t>;</w:t>
            </w:r>
            <w:r w:rsidRPr="00D04588">
              <w:rPr>
                <w:color w:val="000000" w:themeColor="text1"/>
              </w:rPr>
              <w:t xml:space="preserve"> vascular imaging to exclude extracranial and intracranial arterial stenosis</w:t>
            </w:r>
            <w:r w:rsidR="00320040">
              <w:rPr>
                <w:color w:val="000000" w:themeColor="text1"/>
              </w:rPr>
              <w:t>;</w:t>
            </w:r>
            <w:r w:rsidRPr="00D04588">
              <w:rPr>
                <w:color w:val="000000" w:themeColor="text1"/>
              </w:rPr>
              <w:t xml:space="preserve"> cardiac rhythm monitoring to exclude atrial fibrillation</w:t>
            </w:r>
            <w:r w:rsidR="00652C91">
              <w:rPr>
                <w:color w:val="000000" w:themeColor="text1"/>
              </w:rPr>
              <w:t>;</w:t>
            </w:r>
            <w:r w:rsidRPr="00D04588">
              <w:rPr>
                <w:color w:val="000000" w:themeColor="text1"/>
              </w:rPr>
              <w:t xml:space="preserve"> blood tests (e.g. for vasculitis and thrombophilia)</w:t>
            </w:r>
            <w:r w:rsidR="00652C91">
              <w:rPr>
                <w:color w:val="000000" w:themeColor="text1"/>
              </w:rPr>
              <w:t>;</w:t>
            </w:r>
            <w:r w:rsidRPr="00D04588">
              <w:rPr>
                <w:color w:val="000000" w:themeColor="text1"/>
              </w:rPr>
              <w:t xml:space="preserve"> and other investigations as clinically indicated</w:t>
            </w:r>
          </w:p>
        </w:tc>
      </w:tr>
      <w:tr w:rsidR="00F81FBC" w:rsidRPr="00490FBB" w14:paraId="149820DA" w14:textId="77777777" w:rsidTr="5A3A89BB">
        <w:tc>
          <w:tcPr>
            <w:tcW w:w="1005" w:type="pct"/>
            <w:tcBorders>
              <w:top w:val="single" w:sz="4" w:space="0" w:color="auto"/>
              <w:left w:val="single" w:sz="8" w:space="0" w:color="auto"/>
              <w:bottom w:val="single" w:sz="4" w:space="0" w:color="auto"/>
              <w:right w:val="single" w:sz="4" w:space="0" w:color="auto"/>
            </w:tcBorders>
            <w:hideMark/>
          </w:tcPr>
          <w:p w14:paraId="5FDC1272" w14:textId="77777777" w:rsidR="00F81FBC" w:rsidRPr="00490FBB" w:rsidRDefault="00F81FBC" w:rsidP="00E1590E">
            <w:pPr>
              <w:pStyle w:val="TableText0"/>
            </w:pPr>
            <w:r w:rsidRPr="00490FBB">
              <w:t>Intervention</w:t>
            </w:r>
          </w:p>
        </w:tc>
        <w:tc>
          <w:tcPr>
            <w:tcW w:w="3995" w:type="pct"/>
            <w:tcBorders>
              <w:top w:val="single" w:sz="4" w:space="0" w:color="auto"/>
              <w:left w:val="single" w:sz="4" w:space="0" w:color="auto"/>
              <w:bottom w:val="single" w:sz="4" w:space="0" w:color="auto"/>
              <w:right w:val="single" w:sz="4" w:space="0" w:color="auto"/>
            </w:tcBorders>
          </w:tcPr>
          <w:p w14:paraId="43664006" w14:textId="62326B9A" w:rsidR="00FD7CA2" w:rsidRDefault="00DF0FB4" w:rsidP="00E1590E">
            <w:pPr>
              <w:pStyle w:val="TableText0"/>
              <w:rPr>
                <w:color w:val="000000" w:themeColor="text1"/>
              </w:rPr>
            </w:pPr>
            <w:r w:rsidRPr="00DF0FB4">
              <w:rPr>
                <w:color w:val="000000" w:themeColor="text1"/>
              </w:rPr>
              <w:t>Transcranial Doppler (TCD) bubble test (with provocati</w:t>
            </w:r>
            <w:r w:rsidR="009F5FCB">
              <w:rPr>
                <w:color w:val="000000" w:themeColor="text1"/>
              </w:rPr>
              <w:t>ve</w:t>
            </w:r>
            <w:r w:rsidRPr="00DF0FB4">
              <w:rPr>
                <w:color w:val="000000" w:themeColor="text1"/>
              </w:rPr>
              <w:t xml:space="preserve"> manoeuvre) used as a firs</w:t>
            </w:r>
            <w:r w:rsidR="00D553F5">
              <w:rPr>
                <w:color w:val="000000" w:themeColor="text1"/>
              </w:rPr>
              <w:t>t-</w:t>
            </w:r>
            <w:r w:rsidRPr="00DF0FB4">
              <w:rPr>
                <w:color w:val="000000" w:themeColor="text1"/>
              </w:rPr>
              <w:t>line triage test to detect righ</w:t>
            </w:r>
            <w:r w:rsidR="001C0BA5">
              <w:rPr>
                <w:color w:val="000000" w:themeColor="text1"/>
              </w:rPr>
              <w:t>t-</w:t>
            </w:r>
            <w:r w:rsidRPr="00DF0FB4">
              <w:rPr>
                <w:color w:val="000000" w:themeColor="text1"/>
              </w:rPr>
              <w:t>t</w:t>
            </w:r>
            <w:r w:rsidR="001C0BA5">
              <w:rPr>
                <w:color w:val="000000" w:themeColor="text1"/>
              </w:rPr>
              <w:t>o-</w:t>
            </w:r>
            <w:r w:rsidRPr="00DF0FB4">
              <w:rPr>
                <w:color w:val="000000" w:themeColor="text1"/>
              </w:rPr>
              <w:t>left shunting and identify patients for confirmatory testing</w:t>
            </w:r>
            <w:r w:rsidR="00935A21">
              <w:rPr>
                <w:color w:val="000000" w:themeColor="text1"/>
              </w:rPr>
              <w:t xml:space="preserve"> with </w:t>
            </w:r>
            <w:r w:rsidR="007D0882" w:rsidRPr="00DE3589">
              <w:rPr>
                <w:color w:val="000000" w:themeColor="text1"/>
              </w:rPr>
              <w:t>transoesophageal echocardiography</w:t>
            </w:r>
            <w:r w:rsidR="007D0882">
              <w:rPr>
                <w:color w:val="000000" w:themeColor="text1"/>
              </w:rPr>
              <w:t xml:space="preserve"> (</w:t>
            </w:r>
            <w:r w:rsidR="00935A21">
              <w:rPr>
                <w:color w:val="000000" w:themeColor="text1"/>
              </w:rPr>
              <w:t>TOE</w:t>
            </w:r>
            <w:r w:rsidR="007D0882">
              <w:rPr>
                <w:color w:val="000000" w:themeColor="text1"/>
              </w:rPr>
              <w:t>)</w:t>
            </w:r>
            <w:r w:rsidR="00771B9D">
              <w:rPr>
                <w:color w:val="000000" w:themeColor="text1"/>
              </w:rPr>
              <w:t>, performed using</w:t>
            </w:r>
            <w:r w:rsidR="00914FB4">
              <w:rPr>
                <w:color w:val="000000" w:themeColor="text1"/>
              </w:rPr>
              <w:t>:</w:t>
            </w:r>
          </w:p>
          <w:p w14:paraId="78ADE8D5" w14:textId="6CACA979" w:rsidR="00771B9D" w:rsidRDefault="00DA39B5" w:rsidP="00B56DC7">
            <w:pPr>
              <w:pStyle w:val="TableText0"/>
              <w:numPr>
                <w:ilvl w:val="0"/>
                <w:numId w:val="12"/>
              </w:numPr>
              <w:ind w:left="569" w:hanging="229"/>
              <w:rPr>
                <w:color w:val="000000" w:themeColor="text1"/>
              </w:rPr>
            </w:pPr>
            <w:r>
              <w:rPr>
                <w:color w:val="000000" w:themeColor="text1"/>
              </w:rPr>
              <w:t>a</w:t>
            </w:r>
            <w:r w:rsidR="00914FB4">
              <w:rPr>
                <w:color w:val="000000" w:themeColor="text1"/>
              </w:rPr>
              <w:t xml:space="preserve"> </w:t>
            </w:r>
            <w:r w:rsidR="000632FB">
              <w:rPr>
                <w:color w:val="000000" w:themeColor="text1"/>
              </w:rPr>
              <w:t xml:space="preserve">conventional </w:t>
            </w:r>
            <w:r w:rsidR="00914FB4">
              <w:rPr>
                <w:color w:val="000000" w:themeColor="text1"/>
              </w:rPr>
              <w:t>transcranial Doppler (</w:t>
            </w:r>
            <w:r w:rsidR="00771B9D">
              <w:rPr>
                <w:color w:val="000000" w:themeColor="text1"/>
              </w:rPr>
              <w:t>TCD</w:t>
            </w:r>
            <w:r w:rsidR="00914FB4">
              <w:rPr>
                <w:color w:val="000000" w:themeColor="text1"/>
              </w:rPr>
              <w:t>)</w:t>
            </w:r>
            <w:r w:rsidR="00771B9D">
              <w:rPr>
                <w:color w:val="000000" w:themeColor="text1"/>
              </w:rPr>
              <w:t xml:space="preserve"> </w:t>
            </w:r>
            <w:r w:rsidR="00914FB4">
              <w:rPr>
                <w:color w:val="000000" w:themeColor="text1"/>
              </w:rPr>
              <w:t>system</w:t>
            </w:r>
            <w:r>
              <w:rPr>
                <w:color w:val="000000" w:themeColor="text1"/>
              </w:rPr>
              <w:t>, or</w:t>
            </w:r>
          </w:p>
          <w:p w14:paraId="18BC8DC9" w14:textId="7BE670C4" w:rsidR="0053560B" w:rsidRPr="000D25D4" w:rsidRDefault="00DA39B5" w:rsidP="00B56DC7">
            <w:pPr>
              <w:pStyle w:val="TableText0"/>
              <w:numPr>
                <w:ilvl w:val="0"/>
                <w:numId w:val="12"/>
              </w:numPr>
              <w:ind w:left="569" w:hanging="229"/>
              <w:rPr>
                <w:color w:val="000000" w:themeColor="text1"/>
              </w:rPr>
            </w:pPr>
            <w:r>
              <w:rPr>
                <w:color w:val="000000" w:themeColor="text1"/>
              </w:rPr>
              <w:t xml:space="preserve">a </w:t>
            </w:r>
            <w:r w:rsidR="00771B9D">
              <w:rPr>
                <w:color w:val="000000" w:themeColor="text1"/>
              </w:rPr>
              <w:t>transcranial colour-coded duplex sonography</w:t>
            </w:r>
            <w:r>
              <w:rPr>
                <w:color w:val="000000" w:themeColor="text1"/>
              </w:rPr>
              <w:t xml:space="preserve"> (TCCD) system</w:t>
            </w:r>
          </w:p>
        </w:tc>
      </w:tr>
      <w:tr w:rsidR="00F81FBC" w:rsidRPr="00490FBB" w14:paraId="1FC2F6DF" w14:textId="77777777" w:rsidTr="5A3A89BB">
        <w:tc>
          <w:tcPr>
            <w:tcW w:w="1005" w:type="pct"/>
            <w:tcBorders>
              <w:top w:val="single" w:sz="4" w:space="0" w:color="auto"/>
              <w:left w:val="single" w:sz="8" w:space="0" w:color="auto"/>
              <w:bottom w:val="single" w:sz="4" w:space="0" w:color="auto"/>
              <w:right w:val="single" w:sz="4" w:space="0" w:color="auto"/>
            </w:tcBorders>
            <w:hideMark/>
          </w:tcPr>
          <w:p w14:paraId="2B3113F4" w14:textId="3CA78B68" w:rsidR="00F81FBC" w:rsidRPr="00490FBB" w:rsidRDefault="00F81FBC" w:rsidP="00E1590E">
            <w:pPr>
              <w:pStyle w:val="TableText0"/>
            </w:pPr>
            <w:r w:rsidRPr="00490FBB">
              <w:t>Comparator</w:t>
            </w:r>
          </w:p>
        </w:tc>
        <w:tc>
          <w:tcPr>
            <w:tcW w:w="3995" w:type="pct"/>
            <w:tcBorders>
              <w:top w:val="single" w:sz="4" w:space="0" w:color="auto"/>
              <w:left w:val="single" w:sz="4" w:space="0" w:color="auto"/>
              <w:bottom w:val="single" w:sz="4" w:space="0" w:color="auto"/>
              <w:right w:val="single" w:sz="4" w:space="0" w:color="auto"/>
            </w:tcBorders>
          </w:tcPr>
          <w:p w14:paraId="14D7396E" w14:textId="5B0A59FF" w:rsidR="00F81FBC" w:rsidRPr="00E74E1A" w:rsidRDefault="00DE3589" w:rsidP="00E74E1A">
            <w:pPr>
              <w:pStyle w:val="TableText0"/>
              <w:rPr>
                <w:color w:val="000000" w:themeColor="text1"/>
              </w:rPr>
            </w:pPr>
            <w:r w:rsidRPr="00DE3589">
              <w:rPr>
                <w:color w:val="000000" w:themeColor="text1"/>
              </w:rPr>
              <w:t>Transthoracic echocardiography (TTE) with bubble contrast (with provocati</w:t>
            </w:r>
            <w:r w:rsidR="009F5FCB">
              <w:rPr>
                <w:color w:val="000000" w:themeColor="text1"/>
              </w:rPr>
              <w:t>ve</w:t>
            </w:r>
            <w:r w:rsidRPr="00DE3589">
              <w:rPr>
                <w:color w:val="000000" w:themeColor="text1"/>
              </w:rPr>
              <w:t xml:space="preserve"> manoeuvre) used as an alternative firs</w:t>
            </w:r>
            <w:r w:rsidR="00D553F5">
              <w:rPr>
                <w:color w:val="000000" w:themeColor="text1"/>
              </w:rPr>
              <w:t>t-</w:t>
            </w:r>
            <w:r w:rsidRPr="00DE3589">
              <w:rPr>
                <w:color w:val="000000" w:themeColor="text1"/>
              </w:rPr>
              <w:t>line triage test</w:t>
            </w:r>
            <w:r w:rsidR="00935A21">
              <w:rPr>
                <w:color w:val="000000" w:themeColor="text1"/>
              </w:rPr>
              <w:t xml:space="preserve"> to detect right-to-left shunting and identify patients for confirmatory testing with TOE</w:t>
            </w:r>
          </w:p>
        </w:tc>
      </w:tr>
      <w:tr w:rsidR="00F81FBC" w:rsidRPr="00490FBB" w14:paraId="6B1843AA" w14:textId="77777777" w:rsidTr="5A3A89BB">
        <w:tc>
          <w:tcPr>
            <w:tcW w:w="1005" w:type="pct"/>
            <w:tcBorders>
              <w:top w:val="single" w:sz="4" w:space="0" w:color="auto"/>
              <w:left w:val="single" w:sz="8" w:space="0" w:color="auto"/>
              <w:bottom w:val="single" w:sz="4" w:space="0" w:color="auto"/>
              <w:right w:val="single" w:sz="4" w:space="0" w:color="auto"/>
            </w:tcBorders>
          </w:tcPr>
          <w:p w14:paraId="15858E8C" w14:textId="77777777" w:rsidR="00F81FBC" w:rsidRPr="00490FBB" w:rsidRDefault="00F81FBC" w:rsidP="00E1590E">
            <w:pPr>
              <w:pStyle w:val="TableText0"/>
            </w:pPr>
            <w:r w:rsidRPr="00490FBB">
              <w:t>Reference standard</w:t>
            </w:r>
          </w:p>
        </w:tc>
        <w:tc>
          <w:tcPr>
            <w:tcW w:w="3995" w:type="pct"/>
            <w:tcBorders>
              <w:top w:val="single" w:sz="4" w:space="0" w:color="auto"/>
              <w:left w:val="single" w:sz="4" w:space="0" w:color="auto"/>
              <w:bottom w:val="single" w:sz="4" w:space="0" w:color="auto"/>
              <w:right w:val="single" w:sz="4" w:space="0" w:color="auto"/>
            </w:tcBorders>
          </w:tcPr>
          <w:p w14:paraId="761FC39C" w14:textId="55EBF1BC" w:rsidR="00DE3589" w:rsidRDefault="00DE3589" w:rsidP="00DE3589">
            <w:pPr>
              <w:pStyle w:val="TableText0"/>
              <w:rPr>
                <w:color w:val="000000" w:themeColor="text1"/>
              </w:rPr>
            </w:pPr>
            <w:r w:rsidRPr="00DE3589">
              <w:rPr>
                <w:b/>
                <w:bCs/>
                <w:color w:val="000000" w:themeColor="text1"/>
              </w:rPr>
              <w:t>Highe</w:t>
            </w:r>
            <w:r w:rsidR="00D553F5">
              <w:rPr>
                <w:b/>
                <w:bCs/>
                <w:color w:val="000000" w:themeColor="text1"/>
              </w:rPr>
              <w:t>r-</w:t>
            </w:r>
            <w:r w:rsidRPr="00DE3589">
              <w:rPr>
                <w:b/>
                <w:bCs/>
                <w:color w:val="000000" w:themeColor="text1"/>
              </w:rPr>
              <w:t xml:space="preserve">order </w:t>
            </w:r>
            <w:r w:rsidR="00D71C80">
              <w:rPr>
                <w:b/>
                <w:bCs/>
                <w:color w:val="000000" w:themeColor="text1"/>
              </w:rPr>
              <w:t xml:space="preserve">anatomical </w:t>
            </w:r>
            <w:r w:rsidRPr="00DE3589">
              <w:rPr>
                <w:b/>
                <w:bCs/>
                <w:color w:val="000000" w:themeColor="text1"/>
              </w:rPr>
              <w:t xml:space="preserve">reference standard (where </w:t>
            </w:r>
            <w:r w:rsidR="008F6970">
              <w:rPr>
                <w:b/>
                <w:bCs/>
                <w:color w:val="000000" w:themeColor="text1"/>
              </w:rPr>
              <w:t xml:space="preserve">evidence </w:t>
            </w:r>
            <w:r w:rsidRPr="00DE3589">
              <w:rPr>
                <w:b/>
                <w:bCs/>
                <w:color w:val="000000" w:themeColor="text1"/>
              </w:rPr>
              <w:t>available):</w:t>
            </w:r>
            <w:r w:rsidRPr="00DE3589">
              <w:rPr>
                <w:color w:val="000000" w:themeColor="text1"/>
              </w:rPr>
              <w:t xml:space="preserve"> right heart catheterisation with documentation of guidewire passage across the atrial septum</w:t>
            </w:r>
          </w:p>
          <w:p w14:paraId="3FBA59EA" w14:textId="09528E18" w:rsidR="001B225C" w:rsidRPr="001B225C" w:rsidRDefault="00DE3589" w:rsidP="00DE3589">
            <w:pPr>
              <w:pStyle w:val="TableText0"/>
              <w:rPr>
                <w:color w:val="000000" w:themeColor="text1"/>
              </w:rPr>
            </w:pPr>
            <w:r w:rsidRPr="00DE3589">
              <w:rPr>
                <w:b/>
                <w:bCs/>
                <w:color w:val="000000" w:themeColor="text1"/>
              </w:rPr>
              <w:t>Pragmatic reference standard:</w:t>
            </w:r>
            <w:r w:rsidRPr="00DE3589">
              <w:rPr>
                <w:color w:val="000000" w:themeColor="text1"/>
              </w:rPr>
              <w:t xml:space="preserve"> TOE with bubble contrast (with provocat</w:t>
            </w:r>
            <w:r w:rsidR="009F5FCB">
              <w:rPr>
                <w:color w:val="000000" w:themeColor="text1"/>
              </w:rPr>
              <w:t>ive</w:t>
            </w:r>
            <w:r w:rsidRPr="00DE3589">
              <w:rPr>
                <w:color w:val="000000" w:themeColor="text1"/>
              </w:rPr>
              <w:t xml:space="preserve"> manoeuvre)</w:t>
            </w:r>
          </w:p>
        </w:tc>
      </w:tr>
      <w:tr w:rsidR="00F81FBC" w:rsidRPr="00490FBB" w14:paraId="5399DD0D" w14:textId="77777777" w:rsidTr="5A3A89BB">
        <w:tc>
          <w:tcPr>
            <w:tcW w:w="1005" w:type="pct"/>
            <w:tcBorders>
              <w:top w:val="single" w:sz="4" w:space="0" w:color="auto"/>
              <w:left w:val="single" w:sz="8" w:space="0" w:color="auto"/>
              <w:bottom w:val="single" w:sz="4" w:space="0" w:color="auto"/>
              <w:right w:val="single" w:sz="4" w:space="0" w:color="auto"/>
            </w:tcBorders>
            <w:hideMark/>
          </w:tcPr>
          <w:p w14:paraId="1CE8D2E9" w14:textId="77777777" w:rsidR="00F81FBC" w:rsidRPr="005376D8" w:rsidRDefault="00F81FBC" w:rsidP="00E1590E">
            <w:pPr>
              <w:pStyle w:val="TableText0"/>
            </w:pPr>
            <w:r w:rsidRPr="005376D8">
              <w:t>Outcomes</w:t>
            </w:r>
          </w:p>
        </w:tc>
        <w:tc>
          <w:tcPr>
            <w:tcW w:w="3995" w:type="pct"/>
            <w:tcBorders>
              <w:top w:val="single" w:sz="4" w:space="0" w:color="auto"/>
              <w:left w:val="single" w:sz="4" w:space="0" w:color="auto"/>
              <w:bottom w:val="single" w:sz="4" w:space="0" w:color="auto"/>
              <w:right w:val="single" w:sz="4" w:space="0" w:color="auto"/>
            </w:tcBorders>
          </w:tcPr>
          <w:p w14:paraId="0D94F191" w14:textId="0F25A91C" w:rsidR="008E1A5B" w:rsidRPr="005376D8" w:rsidRDefault="008E1A5B" w:rsidP="00E1590E">
            <w:pPr>
              <w:pStyle w:val="TableText0"/>
              <w:rPr>
                <w:b/>
                <w:bCs/>
                <w:color w:val="000000" w:themeColor="text1"/>
              </w:rPr>
            </w:pPr>
            <w:r w:rsidRPr="005376D8">
              <w:rPr>
                <w:b/>
                <w:bCs/>
                <w:color w:val="000000" w:themeColor="text1"/>
              </w:rPr>
              <w:t>Safety</w:t>
            </w:r>
          </w:p>
          <w:p w14:paraId="2603F4B6" w14:textId="6F4E2C2D" w:rsidR="008E1A5B" w:rsidRPr="005376D8" w:rsidRDefault="008E1A5B" w:rsidP="007C7FC0">
            <w:pPr>
              <w:pStyle w:val="TableText0"/>
              <w:numPr>
                <w:ilvl w:val="0"/>
                <w:numId w:val="12"/>
              </w:numPr>
              <w:ind w:left="569" w:hanging="229"/>
              <w:rPr>
                <w:color w:val="000000" w:themeColor="text1"/>
              </w:rPr>
            </w:pPr>
            <w:r w:rsidRPr="005376D8">
              <w:rPr>
                <w:color w:val="000000" w:themeColor="text1"/>
              </w:rPr>
              <w:t xml:space="preserve">harms from </w:t>
            </w:r>
            <w:r w:rsidR="00E1590E" w:rsidRPr="005376D8">
              <w:rPr>
                <w:color w:val="000000" w:themeColor="text1"/>
              </w:rPr>
              <w:t xml:space="preserve">the </w:t>
            </w:r>
            <w:r w:rsidR="00830D4F">
              <w:rPr>
                <w:color w:val="000000" w:themeColor="text1"/>
              </w:rPr>
              <w:t xml:space="preserve">triage </w:t>
            </w:r>
            <w:r w:rsidR="00E1590E" w:rsidRPr="005376D8">
              <w:rPr>
                <w:color w:val="000000" w:themeColor="text1"/>
              </w:rPr>
              <w:t>test procedure</w:t>
            </w:r>
          </w:p>
          <w:p w14:paraId="00CFA3F7" w14:textId="4A1D15E9" w:rsidR="008E1A5B" w:rsidRPr="005376D8" w:rsidRDefault="008E1A5B" w:rsidP="007C7FC0">
            <w:pPr>
              <w:pStyle w:val="TableText0"/>
              <w:numPr>
                <w:ilvl w:val="0"/>
                <w:numId w:val="12"/>
              </w:numPr>
              <w:ind w:left="569" w:hanging="229"/>
              <w:rPr>
                <w:color w:val="000000" w:themeColor="text1"/>
              </w:rPr>
            </w:pPr>
            <w:r w:rsidRPr="005376D8">
              <w:rPr>
                <w:color w:val="000000" w:themeColor="text1"/>
              </w:rPr>
              <w:t xml:space="preserve">harms associated with false positive </w:t>
            </w:r>
            <w:r w:rsidR="00894D8D">
              <w:rPr>
                <w:color w:val="000000" w:themeColor="text1"/>
              </w:rPr>
              <w:t>(FP) and</w:t>
            </w:r>
            <w:r w:rsidRPr="005376D8">
              <w:rPr>
                <w:color w:val="000000" w:themeColor="text1"/>
              </w:rPr>
              <w:t xml:space="preserve"> false negative</w:t>
            </w:r>
            <w:r w:rsidR="00FE1828">
              <w:rPr>
                <w:color w:val="000000" w:themeColor="text1"/>
              </w:rPr>
              <w:t xml:space="preserve"> </w:t>
            </w:r>
            <w:r w:rsidR="00894D8D">
              <w:rPr>
                <w:color w:val="000000" w:themeColor="text1"/>
              </w:rPr>
              <w:t>(FN)</w:t>
            </w:r>
            <w:r w:rsidRPr="005376D8">
              <w:rPr>
                <w:color w:val="000000" w:themeColor="text1"/>
              </w:rPr>
              <w:t xml:space="preserve"> results</w:t>
            </w:r>
            <w:r w:rsidR="00BF56D5">
              <w:rPr>
                <w:color w:val="000000" w:themeColor="text1"/>
              </w:rPr>
              <w:t xml:space="preserve">, </w:t>
            </w:r>
            <w:r w:rsidR="00BF56D5" w:rsidRPr="00894D8D">
              <w:rPr>
                <w:color w:val="000000" w:themeColor="text1"/>
              </w:rPr>
              <w:t xml:space="preserve">including complications </w:t>
            </w:r>
            <w:r w:rsidR="004C3CE4">
              <w:rPr>
                <w:color w:val="000000" w:themeColor="text1"/>
              </w:rPr>
              <w:t>from</w:t>
            </w:r>
            <w:r w:rsidR="00BF56D5" w:rsidRPr="00894D8D">
              <w:rPr>
                <w:color w:val="000000" w:themeColor="text1"/>
              </w:rPr>
              <w:t xml:space="preserve"> </w:t>
            </w:r>
            <w:r w:rsidR="00BF56D5">
              <w:rPr>
                <w:color w:val="000000" w:themeColor="text1"/>
              </w:rPr>
              <w:t>potentially avoidable</w:t>
            </w:r>
            <w:r w:rsidR="00BF56D5" w:rsidRPr="00894D8D">
              <w:rPr>
                <w:color w:val="000000" w:themeColor="text1"/>
              </w:rPr>
              <w:t xml:space="preserve"> TOE </w:t>
            </w:r>
            <w:r w:rsidR="004C3CE4">
              <w:rPr>
                <w:color w:val="000000" w:themeColor="text1"/>
              </w:rPr>
              <w:t>and</w:t>
            </w:r>
            <w:r w:rsidR="00BF56D5" w:rsidRPr="00894D8D">
              <w:rPr>
                <w:color w:val="000000" w:themeColor="text1"/>
              </w:rPr>
              <w:t xml:space="preserve"> missed </w:t>
            </w:r>
            <w:r w:rsidR="00D33D3A">
              <w:rPr>
                <w:color w:val="000000" w:themeColor="text1"/>
              </w:rPr>
              <w:t xml:space="preserve">or delayed </w:t>
            </w:r>
            <w:r w:rsidR="00263DF9">
              <w:rPr>
                <w:color w:val="000000" w:themeColor="text1"/>
              </w:rPr>
              <w:t>identification</w:t>
            </w:r>
            <w:r w:rsidR="00BF56D5">
              <w:rPr>
                <w:color w:val="000000" w:themeColor="text1"/>
              </w:rPr>
              <w:t xml:space="preserve"> of a causally related </w:t>
            </w:r>
            <w:r w:rsidR="00BF56D5" w:rsidRPr="00894D8D">
              <w:rPr>
                <w:color w:val="000000" w:themeColor="text1"/>
              </w:rPr>
              <w:t>PFO</w:t>
            </w:r>
          </w:p>
          <w:p w14:paraId="10794654" w14:textId="77777777" w:rsidR="00D34970" w:rsidRDefault="00D33D3A" w:rsidP="007C7FC0">
            <w:pPr>
              <w:pStyle w:val="TableText0"/>
              <w:numPr>
                <w:ilvl w:val="0"/>
                <w:numId w:val="12"/>
              </w:numPr>
              <w:ind w:left="569" w:hanging="229"/>
              <w:rPr>
                <w:color w:val="000000" w:themeColor="text1"/>
              </w:rPr>
            </w:pPr>
            <w:r>
              <w:rPr>
                <w:color w:val="000000" w:themeColor="text1"/>
              </w:rPr>
              <w:t>harms associated with TOE with bubble contrast</w:t>
            </w:r>
          </w:p>
          <w:p w14:paraId="55060912" w14:textId="3F7A7E54" w:rsidR="00821781" w:rsidRPr="005376D8" w:rsidRDefault="00894D8D" w:rsidP="007C7FC0">
            <w:pPr>
              <w:pStyle w:val="TableText0"/>
              <w:numPr>
                <w:ilvl w:val="0"/>
                <w:numId w:val="12"/>
              </w:numPr>
              <w:ind w:left="569" w:hanging="229"/>
              <w:rPr>
                <w:color w:val="000000" w:themeColor="text1"/>
              </w:rPr>
            </w:pPr>
            <w:r>
              <w:rPr>
                <w:color w:val="000000" w:themeColor="text1"/>
              </w:rPr>
              <w:t>d</w:t>
            </w:r>
            <w:r w:rsidRPr="00894D8D">
              <w:rPr>
                <w:color w:val="000000" w:themeColor="text1"/>
              </w:rPr>
              <w:t xml:space="preserve">ownstream harms </w:t>
            </w:r>
            <w:r w:rsidR="00D34970">
              <w:rPr>
                <w:color w:val="000000" w:themeColor="text1"/>
              </w:rPr>
              <w:t xml:space="preserve">associated with </w:t>
            </w:r>
            <w:r w:rsidR="00542846">
              <w:rPr>
                <w:color w:val="000000" w:themeColor="text1"/>
              </w:rPr>
              <w:t xml:space="preserve">subsequent </w:t>
            </w:r>
            <w:r w:rsidR="00A11C10">
              <w:rPr>
                <w:color w:val="000000" w:themeColor="text1"/>
              </w:rPr>
              <w:t>treatment</w:t>
            </w:r>
            <w:r w:rsidR="001A57AE">
              <w:rPr>
                <w:color w:val="000000" w:themeColor="text1"/>
              </w:rPr>
              <w:t xml:space="preserve"> decisions</w:t>
            </w:r>
            <w:r w:rsidR="00A11C10">
              <w:rPr>
                <w:color w:val="000000" w:themeColor="text1"/>
              </w:rPr>
              <w:t>, including</w:t>
            </w:r>
            <w:r w:rsidRPr="00894D8D">
              <w:rPr>
                <w:color w:val="000000" w:themeColor="text1"/>
              </w:rPr>
              <w:t xml:space="preserve"> inappropriate</w:t>
            </w:r>
            <w:r w:rsidR="00D34970">
              <w:rPr>
                <w:color w:val="000000" w:themeColor="text1"/>
              </w:rPr>
              <w:t>,</w:t>
            </w:r>
            <w:r w:rsidR="007A7E5F">
              <w:rPr>
                <w:color w:val="000000" w:themeColor="text1"/>
              </w:rPr>
              <w:t xml:space="preserve"> </w:t>
            </w:r>
            <w:r w:rsidRPr="00894D8D">
              <w:rPr>
                <w:color w:val="000000" w:themeColor="text1"/>
              </w:rPr>
              <w:t xml:space="preserve">delayed </w:t>
            </w:r>
            <w:r w:rsidR="007A7E5F">
              <w:rPr>
                <w:color w:val="000000" w:themeColor="text1"/>
              </w:rPr>
              <w:t xml:space="preserve">or foregone </w:t>
            </w:r>
            <w:r w:rsidRPr="00894D8D">
              <w:rPr>
                <w:color w:val="000000" w:themeColor="text1"/>
              </w:rPr>
              <w:t>treatment</w:t>
            </w:r>
            <w:r w:rsidR="00DC18B9">
              <w:rPr>
                <w:color w:val="000000" w:themeColor="text1"/>
              </w:rPr>
              <w:t>, and adverse events related to PFO closure or medical management</w:t>
            </w:r>
          </w:p>
          <w:p w14:paraId="69F9A9EC" w14:textId="3A89A064" w:rsidR="008E1A5B" w:rsidRPr="005376D8" w:rsidRDefault="008E1A5B" w:rsidP="000F02D9">
            <w:pPr>
              <w:pStyle w:val="TableText0"/>
              <w:spacing w:before="120"/>
              <w:rPr>
                <w:b/>
                <w:bCs/>
                <w:color w:val="000000" w:themeColor="text1"/>
              </w:rPr>
            </w:pPr>
            <w:r w:rsidRPr="005376D8">
              <w:rPr>
                <w:b/>
                <w:bCs/>
                <w:color w:val="000000" w:themeColor="text1"/>
              </w:rPr>
              <w:t>Clinical effectiveness</w:t>
            </w:r>
          </w:p>
          <w:p w14:paraId="29F8BC45" w14:textId="28DBFE6D" w:rsidR="008E1A5B" w:rsidRPr="00F20FC6" w:rsidRDefault="008E1A5B" w:rsidP="00E1590E">
            <w:pPr>
              <w:pStyle w:val="TableText0"/>
              <w:rPr>
                <w:b/>
                <w:bCs/>
                <w:i/>
                <w:iCs/>
                <w:color w:val="000000" w:themeColor="text1"/>
              </w:rPr>
            </w:pPr>
            <w:r w:rsidRPr="00F20FC6">
              <w:rPr>
                <w:b/>
                <w:bCs/>
                <w:i/>
                <w:iCs/>
                <w:color w:val="000000" w:themeColor="text1"/>
              </w:rPr>
              <w:t>Test performance</w:t>
            </w:r>
          </w:p>
          <w:p w14:paraId="465B6E5F" w14:textId="4E9C2122" w:rsidR="008E1A5B" w:rsidRDefault="008E1A5B" w:rsidP="007C7FC0">
            <w:pPr>
              <w:pStyle w:val="TableText0"/>
              <w:numPr>
                <w:ilvl w:val="0"/>
                <w:numId w:val="12"/>
              </w:numPr>
              <w:ind w:left="569" w:hanging="229"/>
              <w:rPr>
                <w:color w:val="000000" w:themeColor="text1"/>
              </w:rPr>
            </w:pPr>
            <w:r w:rsidRPr="005376D8">
              <w:rPr>
                <w:color w:val="000000" w:themeColor="text1"/>
              </w:rPr>
              <w:t>diagnostic accuracy (sensitivity</w:t>
            </w:r>
            <w:r w:rsidR="00894D8D">
              <w:rPr>
                <w:color w:val="000000" w:themeColor="text1"/>
              </w:rPr>
              <w:t>,</w:t>
            </w:r>
            <w:r w:rsidRPr="005376D8">
              <w:rPr>
                <w:color w:val="000000" w:themeColor="text1"/>
              </w:rPr>
              <w:t xml:space="preserve"> specificity</w:t>
            </w:r>
            <w:r w:rsidR="003B10AE">
              <w:rPr>
                <w:color w:val="000000" w:themeColor="text1"/>
              </w:rPr>
              <w:t xml:space="preserve">, positive </w:t>
            </w:r>
            <w:r w:rsidR="00126ABC">
              <w:rPr>
                <w:color w:val="000000" w:themeColor="text1"/>
              </w:rPr>
              <w:t>and</w:t>
            </w:r>
            <w:r w:rsidR="003B10AE">
              <w:rPr>
                <w:color w:val="000000" w:themeColor="text1"/>
              </w:rPr>
              <w:t xml:space="preserve"> negative predictive value</w:t>
            </w:r>
            <w:r w:rsidR="00126ABC">
              <w:rPr>
                <w:color w:val="000000" w:themeColor="text1"/>
              </w:rPr>
              <w:t>s</w:t>
            </w:r>
            <w:r w:rsidRPr="005376D8">
              <w:rPr>
                <w:color w:val="000000" w:themeColor="text1"/>
              </w:rPr>
              <w:t>)</w:t>
            </w:r>
          </w:p>
          <w:p w14:paraId="3CA5FB0B" w14:textId="738C7C12" w:rsidR="008E1A5B" w:rsidRPr="005376D8" w:rsidRDefault="008E1A5B" w:rsidP="007C7FC0">
            <w:pPr>
              <w:pStyle w:val="TableText0"/>
              <w:numPr>
                <w:ilvl w:val="0"/>
                <w:numId w:val="12"/>
              </w:numPr>
              <w:ind w:left="569" w:hanging="229"/>
              <w:rPr>
                <w:color w:val="000000" w:themeColor="text1"/>
              </w:rPr>
            </w:pPr>
            <w:r w:rsidRPr="005376D8">
              <w:rPr>
                <w:color w:val="000000" w:themeColor="text1"/>
              </w:rPr>
              <w:t>concordance</w:t>
            </w:r>
            <w:r w:rsidR="00B456A5">
              <w:rPr>
                <w:color w:val="000000" w:themeColor="text1"/>
              </w:rPr>
              <w:t xml:space="preserve"> </w:t>
            </w:r>
            <w:r w:rsidR="00E765F4">
              <w:rPr>
                <w:color w:val="000000" w:themeColor="text1"/>
              </w:rPr>
              <w:t>of TCD vs TCCD and TCD/TCCD vs TTE</w:t>
            </w:r>
          </w:p>
          <w:p w14:paraId="1C5220D3" w14:textId="30F721CF" w:rsidR="005656E3" w:rsidRPr="005376D8" w:rsidRDefault="008C3C07" w:rsidP="007C7FC0">
            <w:pPr>
              <w:pStyle w:val="TableText0"/>
              <w:numPr>
                <w:ilvl w:val="0"/>
                <w:numId w:val="12"/>
              </w:numPr>
              <w:ind w:left="569" w:hanging="229"/>
              <w:rPr>
                <w:color w:val="000000" w:themeColor="text1"/>
              </w:rPr>
            </w:pPr>
            <w:r>
              <w:rPr>
                <w:color w:val="000000" w:themeColor="text1"/>
              </w:rPr>
              <w:t>rate of inconclusive or technically inadequate studies</w:t>
            </w:r>
          </w:p>
          <w:p w14:paraId="1FFA43F1" w14:textId="52A05C61" w:rsidR="008E1A5B" w:rsidRPr="00F20FC6" w:rsidRDefault="00032322" w:rsidP="00E1590E">
            <w:pPr>
              <w:pStyle w:val="TableText0"/>
              <w:rPr>
                <w:b/>
                <w:bCs/>
                <w:i/>
                <w:iCs/>
                <w:color w:val="000000" w:themeColor="text1"/>
              </w:rPr>
            </w:pPr>
            <w:r w:rsidRPr="00F20FC6">
              <w:rPr>
                <w:b/>
                <w:bCs/>
                <w:i/>
                <w:iCs/>
                <w:color w:val="000000" w:themeColor="text1"/>
              </w:rPr>
              <w:t>Impact on clinical management</w:t>
            </w:r>
            <w:r w:rsidR="000F02D9" w:rsidRPr="00F20FC6">
              <w:rPr>
                <w:b/>
                <w:bCs/>
                <w:i/>
                <w:iCs/>
                <w:color w:val="000000" w:themeColor="text1"/>
              </w:rPr>
              <w:t>:</w:t>
            </w:r>
          </w:p>
          <w:p w14:paraId="188E71A8" w14:textId="77D82C8F" w:rsidR="008E1A5B" w:rsidRDefault="00032322" w:rsidP="007C7FC0">
            <w:pPr>
              <w:pStyle w:val="TableText0"/>
              <w:numPr>
                <w:ilvl w:val="0"/>
                <w:numId w:val="12"/>
              </w:numPr>
              <w:ind w:left="569" w:hanging="229"/>
              <w:rPr>
                <w:color w:val="000000" w:themeColor="text1"/>
              </w:rPr>
            </w:pPr>
            <w:r>
              <w:rPr>
                <w:color w:val="000000" w:themeColor="text1"/>
              </w:rPr>
              <w:t xml:space="preserve">proportion of patients referred for </w:t>
            </w:r>
            <w:r w:rsidR="000C3F9B">
              <w:rPr>
                <w:color w:val="000000" w:themeColor="text1"/>
              </w:rPr>
              <w:t xml:space="preserve">confirmatory </w:t>
            </w:r>
            <w:r>
              <w:rPr>
                <w:color w:val="000000" w:themeColor="text1"/>
              </w:rPr>
              <w:t>TOE</w:t>
            </w:r>
            <w:r w:rsidR="00336D86">
              <w:rPr>
                <w:color w:val="000000" w:themeColor="text1"/>
              </w:rPr>
              <w:t xml:space="preserve"> and other downstream investigations</w:t>
            </w:r>
          </w:p>
          <w:p w14:paraId="2E49B34B" w14:textId="7E317E32" w:rsidR="000637C3" w:rsidRDefault="000637C3" w:rsidP="007C7FC0">
            <w:pPr>
              <w:pStyle w:val="TableText0"/>
              <w:numPr>
                <w:ilvl w:val="0"/>
                <w:numId w:val="12"/>
              </w:numPr>
              <w:ind w:left="569" w:hanging="229"/>
              <w:rPr>
                <w:color w:val="000000" w:themeColor="text1"/>
              </w:rPr>
            </w:pPr>
            <w:r>
              <w:rPr>
                <w:color w:val="000000" w:themeColor="text1"/>
              </w:rPr>
              <w:t>appropriateness of referral for confirmatory testing</w:t>
            </w:r>
          </w:p>
          <w:p w14:paraId="13A4D073" w14:textId="61B2C7FF" w:rsidR="00A6417F" w:rsidRDefault="000F02D9" w:rsidP="007C7FC0">
            <w:pPr>
              <w:pStyle w:val="TableText0"/>
              <w:numPr>
                <w:ilvl w:val="0"/>
                <w:numId w:val="12"/>
              </w:numPr>
              <w:ind w:left="569" w:hanging="229"/>
              <w:rPr>
                <w:color w:val="000000" w:themeColor="text1"/>
              </w:rPr>
            </w:pPr>
            <w:r>
              <w:rPr>
                <w:color w:val="000000" w:themeColor="text1"/>
              </w:rPr>
              <w:t>time to diagnosis and definitive classification</w:t>
            </w:r>
            <w:r w:rsidR="00C20341">
              <w:rPr>
                <w:color w:val="000000" w:themeColor="text1"/>
              </w:rPr>
              <w:t xml:space="preserve"> (</w:t>
            </w:r>
            <w:r w:rsidR="00C20341" w:rsidRPr="00C20341">
              <w:rPr>
                <w:color w:val="000000" w:themeColor="text1"/>
              </w:rPr>
              <w:t>i.e. presence or absence of a causally related PFO)</w:t>
            </w:r>
          </w:p>
          <w:p w14:paraId="4237F392" w14:textId="64C44A9B" w:rsidR="00085D56" w:rsidRPr="00AB0A63" w:rsidRDefault="00EB3644" w:rsidP="007C7FC0">
            <w:pPr>
              <w:pStyle w:val="TableText0"/>
              <w:numPr>
                <w:ilvl w:val="0"/>
                <w:numId w:val="12"/>
              </w:numPr>
              <w:ind w:left="569" w:hanging="229"/>
              <w:rPr>
                <w:color w:val="000000" w:themeColor="text1"/>
              </w:rPr>
            </w:pPr>
            <w:r>
              <w:rPr>
                <w:color w:val="000000" w:themeColor="text1"/>
              </w:rPr>
              <w:t>a</w:t>
            </w:r>
            <w:r w:rsidR="00085D56" w:rsidRPr="00EB3644">
              <w:rPr>
                <w:color w:val="000000" w:themeColor="text1"/>
              </w:rPr>
              <w:t>ppropriateness of classification and subsequent management</w:t>
            </w:r>
          </w:p>
          <w:p w14:paraId="4F729115" w14:textId="6D04C602" w:rsidR="008E1A5B" w:rsidRPr="00F20FC6" w:rsidRDefault="008E1A5B" w:rsidP="00E1590E">
            <w:pPr>
              <w:pStyle w:val="TableText0"/>
              <w:rPr>
                <w:b/>
                <w:bCs/>
                <w:i/>
                <w:iCs/>
                <w:color w:val="000000" w:themeColor="text1"/>
              </w:rPr>
            </w:pPr>
            <w:r w:rsidRPr="00F20FC6">
              <w:rPr>
                <w:b/>
                <w:bCs/>
                <w:i/>
                <w:iCs/>
                <w:color w:val="000000" w:themeColor="text1"/>
              </w:rPr>
              <w:t>Patient health outcomes</w:t>
            </w:r>
            <w:r w:rsidR="000F02D9" w:rsidRPr="00F20FC6">
              <w:rPr>
                <w:b/>
                <w:bCs/>
                <w:i/>
                <w:iCs/>
                <w:color w:val="000000" w:themeColor="text1"/>
              </w:rPr>
              <w:t>:</w:t>
            </w:r>
          </w:p>
          <w:p w14:paraId="343892C2" w14:textId="0C096733" w:rsidR="008E1A5B" w:rsidRDefault="002A0F29" w:rsidP="007C7FC0">
            <w:pPr>
              <w:pStyle w:val="TableText0"/>
              <w:numPr>
                <w:ilvl w:val="0"/>
                <w:numId w:val="12"/>
              </w:numPr>
              <w:ind w:left="569" w:hanging="229"/>
              <w:rPr>
                <w:color w:val="000000" w:themeColor="text1"/>
              </w:rPr>
            </w:pPr>
            <w:r w:rsidRPr="005376D8">
              <w:rPr>
                <w:color w:val="000000" w:themeColor="text1"/>
              </w:rPr>
              <w:t>stroke</w:t>
            </w:r>
            <w:r w:rsidR="006F63E3" w:rsidRPr="005376D8">
              <w:rPr>
                <w:color w:val="000000" w:themeColor="text1"/>
              </w:rPr>
              <w:t xml:space="preserve"> recurrence</w:t>
            </w:r>
          </w:p>
          <w:p w14:paraId="15B3D5CA" w14:textId="76F2C9AC" w:rsidR="000F02D9" w:rsidRPr="005376D8" w:rsidRDefault="000F02D9" w:rsidP="007C7FC0">
            <w:pPr>
              <w:pStyle w:val="TableText0"/>
              <w:numPr>
                <w:ilvl w:val="0"/>
                <w:numId w:val="12"/>
              </w:numPr>
              <w:ind w:left="569" w:hanging="229"/>
              <w:rPr>
                <w:color w:val="000000" w:themeColor="text1"/>
              </w:rPr>
            </w:pPr>
            <w:r>
              <w:rPr>
                <w:color w:val="000000" w:themeColor="text1"/>
              </w:rPr>
              <w:t>mortality</w:t>
            </w:r>
          </w:p>
          <w:p w14:paraId="7962E7A0" w14:textId="6FA44363" w:rsidR="008E1A5B" w:rsidRPr="005376D8" w:rsidRDefault="008E1A5B" w:rsidP="007C7FC0">
            <w:pPr>
              <w:pStyle w:val="TableText0"/>
              <w:numPr>
                <w:ilvl w:val="0"/>
                <w:numId w:val="12"/>
              </w:numPr>
              <w:ind w:left="569" w:hanging="229"/>
              <w:rPr>
                <w:color w:val="000000" w:themeColor="text1"/>
              </w:rPr>
            </w:pPr>
            <w:r w:rsidRPr="005376D8">
              <w:rPr>
                <w:color w:val="000000" w:themeColor="text1"/>
              </w:rPr>
              <w:t>health-related quality of life</w:t>
            </w:r>
          </w:p>
          <w:p w14:paraId="2E1BF8C8" w14:textId="6647FE78" w:rsidR="003D6043" w:rsidRPr="005376D8" w:rsidRDefault="003D6043" w:rsidP="007E4AEF">
            <w:pPr>
              <w:pStyle w:val="TableText0"/>
              <w:keepNext/>
              <w:spacing w:before="120"/>
              <w:rPr>
                <w:b/>
                <w:bCs/>
                <w:color w:val="000000" w:themeColor="text1"/>
              </w:rPr>
            </w:pPr>
            <w:r w:rsidRPr="005376D8">
              <w:rPr>
                <w:b/>
                <w:bCs/>
                <w:color w:val="000000" w:themeColor="text1"/>
              </w:rPr>
              <w:lastRenderedPageBreak/>
              <w:t>Health care resource</w:t>
            </w:r>
            <w:r w:rsidR="00894D4D">
              <w:rPr>
                <w:b/>
                <w:bCs/>
                <w:color w:val="000000" w:themeColor="text1"/>
              </w:rPr>
              <w:t xml:space="preserve"> u</w:t>
            </w:r>
            <w:r w:rsidRPr="005376D8">
              <w:rPr>
                <w:b/>
                <w:bCs/>
                <w:color w:val="000000" w:themeColor="text1"/>
              </w:rPr>
              <w:t>s</w:t>
            </w:r>
            <w:r w:rsidR="00894D4D">
              <w:rPr>
                <w:b/>
                <w:bCs/>
                <w:color w:val="000000" w:themeColor="text1"/>
              </w:rPr>
              <w:t>e</w:t>
            </w:r>
          </w:p>
          <w:p w14:paraId="71538ABC" w14:textId="172B4992" w:rsidR="00D26E04" w:rsidRPr="00D26E04" w:rsidRDefault="00D26E04" w:rsidP="007C7FC0">
            <w:pPr>
              <w:pStyle w:val="TableText0"/>
              <w:numPr>
                <w:ilvl w:val="0"/>
                <w:numId w:val="12"/>
              </w:numPr>
              <w:ind w:left="512" w:hanging="229"/>
              <w:rPr>
                <w:color w:val="000000" w:themeColor="text1"/>
              </w:rPr>
            </w:pPr>
            <w:r>
              <w:rPr>
                <w:color w:val="000000" w:themeColor="text1"/>
              </w:rPr>
              <w:t>c</w:t>
            </w:r>
            <w:r w:rsidRPr="00D26E04">
              <w:rPr>
                <w:color w:val="000000" w:themeColor="text1"/>
              </w:rPr>
              <w:t>ost of initial triage testing (TCD</w:t>
            </w:r>
            <w:r w:rsidR="000402BE">
              <w:rPr>
                <w:color w:val="000000" w:themeColor="text1"/>
              </w:rPr>
              <w:t>/TCCD</w:t>
            </w:r>
            <w:r w:rsidRPr="00D26E04">
              <w:rPr>
                <w:color w:val="000000" w:themeColor="text1"/>
              </w:rPr>
              <w:t xml:space="preserve"> v</w:t>
            </w:r>
            <w:r w:rsidR="0030124E">
              <w:rPr>
                <w:color w:val="000000" w:themeColor="text1"/>
              </w:rPr>
              <w:t>ersu</w:t>
            </w:r>
            <w:r w:rsidRPr="00D26E04">
              <w:rPr>
                <w:color w:val="000000" w:themeColor="text1"/>
              </w:rPr>
              <w:t>s TTE)</w:t>
            </w:r>
          </w:p>
          <w:p w14:paraId="2CFE3254" w14:textId="5346FBA5" w:rsidR="00D26E04" w:rsidRPr="00D26E04" w:rsidRDefault="00D26E04" w:rsidP="007C7FC0">
            <w:pPr>
              <w:pStyle w:val="TableText0"/>
              <w:numPr>
                <w:ilvl w:val="0"/>
                <w:numId w:val="12"/>
              </w:numPr>
              <w:ind w:left="512" w:hanging="229"/>
              <w:rPr>
                <w:color w:val="000000" w:themeColor="text1"/>
              </w:rPr>
            </w:pPr>
            <w:r>
              <w:rPr>
                <w:color w:val="000000" w:themeColor="text1"/>
              </w:rPr>
              <w:t>n</w:t>
            </w:r>
            <w:r w:rsidRPr="00D26E04">
              <w:rPr>
                <w:color w:val="000000" w:themeColor="text1"/>
              </w:rPr>
              <w:t>umber and cost of subsequent investigations (e.g. TOE)</w:t>
            </w:r>
          </w:p>
          <w:p w14:paraId="038C085C" w14:textId="6C2CB816" w:rsidR="00D26E04" w:rsidRPr="00D26E04" w:rsidRDefault="00D26E04" w:rsidP="007C7FC0">
            <w:pPr>
              <w:pStyle w:val="TableText0"/>
              <w:numPr>
                <w:ilvl w:val="0"/>
                <w:numId w:val="12"/>
              </w:numPr>
              <w:ind w:left="512" w:hanging="229"/>
              <w:rPr>
                <w:color w:val="000000" w:themeColor="text1"/>
              </w:rPr>
            </w:pPr>
            <w:r>
              <w:rPr>
                <w:color w:val="000000" w:themeColor="text1"/>
              </w:rPr>
              <w:t>p</w:t>
            </w:r>
            <w:r w:rsidRPr="00D26E04">
              <w:rPr>
                <w:color w:val="000000" w:themeColor="text1"/>
              </w:rPr>
              <w:t>rocedures avoided or incurred, including:</w:t>
            </w:r>
          </w:p>
          <w:p w14:paraId="2E2961C1" w14:textId="6616C48C" w:rsidR="00D26E04" w:rsidRPr="00D26E04" w:rsidRDefault="00D26E04" w:rsidP="00F61F91">
            <w:pPr>
              <w:pStyle w:val="TableText0"/>
              <w:numPr>
                <w:ilvl w:val="1"/>
                <w:numId w:val="12"/>
              </w:numPr>
              <w:ind w:left="796" w:hanging="283"/>
              <w:rPr>
                <w:color w:val="000000" w:themeColor="text1"/>
              </w:rPr>
            </w:pPr>
            <w:r w:rsidRPr="00D26E04">
              <w:rPr>
                <w:color w:val="000000" w:themeColor="text1"/>
              </w:rPr>
              <w:t>TOE</w:t>
            </w:r>
          </w:p>
          <w:p w14:paraId="0497E2AA" w14:textId="16B23E89" w:rsidR="00D26E04" w:rsidRPr="00D26E04" w:rsidRDefault="00D26E04" w:rsidP="00D867D1">
            <w:pPr>
              <w:pStyle w:val="TableText0"/>
              <w:numPr>
                <w:ilvl w:val="1"/>
                <w:numId w:val="12"/>
              </w:numPr>
              <w:ind w:left="794" w:hanging="284"/>
              <w:rPr>
                <w:color w:val="000000" w:themeColor="text1"/>
              </w:rPr>
            </w:pPr>
            <w:r>
              <w:rPr>
                <w:color w:val="000000" w:themeColor="text1"/>
              </w:rPr>
              <w:t>r</w:t>
            </w:r>
            <w:r w:rsidRPr="00D26E04">
              <w:rPr>
                <w:color w:val="000000" w:themeColor="text1"/>
              </w:rPr>
              <w:t>epeat or duplicate testing</w:t>
            </w:r>
          </w:p>
          <w:p w14:paraId="6D634EA9" w14:textId="52E99964" w:rsidR="00D26E04" w:rsidRPr="00D26E04" w:rsidRDefault="00F61F91" w:rsidP="007C7FC0">
            <w:pPr>
              <w:pStyle w:val="TableText0"/>
              <w:keepNext/>
              <w:numPr>
                <w:ilvl w:val="0"/>
                <w:numId w:val="12"/>
              </w:numPr>
              <w:ind w:left="569" w:hanging="229"/>
              <w:rPr>
                <w:color w:val="000000" w:themeColor="text1"/>
              </w:rPr>
            </w:pPr>
            <w:r>
              <w:rPr>
                <w:color w:val="000000" w:themeColor="text1"/>
              </w:rPr>
              <w:t>c</w:t>
            </w:r>
            <w:r w:rsidR="00D26E04" w:rsidRPr="00D26E04">
              <w:rPr>
                <w:color w:val="000000" w:themeColor="text1"/>
              </w:rPr>
              <w:t>osts associated with adverse events, including:</w:t>
            </w:r>
          </w:p>
          <w:p w14:paraId="25450363" w14:textId="123094AE" w:rsidR="00667031" w:rsidRDefault="00667031" w:rsidP="00F61F91">
            <w:pPr>
              <w:pStyle w:val="TableText0"/>
              <w:numPr>
                <w:ilvl w:val="1"/>
                <w:numId w:val="12"/>
              </w:numPr>
              <w:ind w:left="796" w:hanging="283"/>
              <w:rPr>
                <w:color w:val="000000" w:themeColor="text1"/>
              </w:rPr>
            </w:pPr>
            <w:r>
              <w:rPr>
                <w:color w:val="000000" w:themeColor="text1"/>
              </w:rPr>
              <w:t>c</w:t>
            </w:r>
            <w:r w:rsidRPr="00D26E04">
              <w:rPr>
                <w:color w:val="000000" w:themeColor="text1"/>
              </w:rPr>
              <w:t xml:space="preserve">omplications </w:t>
            </w:r>
            <w:r>
              <w:rPr>
                <w:color w:val="000000" w:themeColor="text1"/>
              </w:rPr>
              <w:t>from triage testing</w:t>
            </w:r>
            <w:r w:rsidR="000048CC">
              <w:rPr>
                <w:color w:val="000000" w:themeColor="text1"/>
              </w:rPr>
              <w:t xml:space="preserve"> (TCD/TCCD</w:t>
            </w:r>
            <w:r w:rsidR="003E5377">
              <w:rPr>
                <w:color w:val="000000" w:themeColor="text1"/>
              </w:rPr>
              <w:t xml:space="preserve"> versus TTE</w:t>
            </w:r>
            <w:r w:rsidR="000048CC">
              <w:rPr>
                <w:color w:val="000000" w:themeColor="text1"/>
              </w:rPr>
              <w:t>)</w:t>
            </w:r>
          </w:p>
          <w:p w14:paraId="0E3DC0EA" w14:textId="161707C9" w:rsidR="00D26E04" w:rsidRPr="00D26E04" w:rsidRDefault="00F61F91" w:rsidP="00F61F91">
            <w:pPr>
              <w:pStyle w:val="TableText0"/>
              <w:numPr>
                <w:ilvl w:val="1"/>
                <w:numId w:val="12"/>
              </w:numPr>
              <w:ind w:left="796" w:hanging="283"/>
              <w:rPr>
                <w:color w:val="000000" w:themeColor="text1"/>
              </w:rPr>
            </w:pPr>
            <w:r>
              <w:rPr>
                <w:color w:val="000000" w:themeColor="text1"/>
              </w:rPr>
              <w:t>c</w:t>
            </w:r>
            <w:r w:rsidR="00D26E04" w:rsidRPr="00D26E04">
              <w:rPr>
                <w:color w:val="000000" w:themeColor="text1"/>
              </w:rPr>
              <w:t xml:space="preserve">omplications </w:t>
            </w:r>
            <w:r w:rsidR="00667031">
              <w:rPr>
                <w:color w:val="000000" w:themeColor="text1"/>
              </w:rPr>
              <w:t>from confirmatory</w:t>
            </w:r>
            <w:r w:rsidR="00D26E04" w:rsidRPr="00D26E04">
              <w:rPr>
                <w:color w:val="000000" w:themeColor="text1"/>
              </w:rPr>
              <w:t xml:space="preserve"> TOE</w:t>
            </w:r>
          </w:p>
          <w:p w14:paraId="721E95CA" w14:textId="20F8C20B" w:rsidR="00D26E04" w:rsidRPr="00D26E04" w:rsidRDefault="00F61F91" w:rsidP="00F61F91">
            <w:pPr>
              <w:pStyle w:val="TableText0"/>
              <w:numPr>
                <w:ilvl w:val="1"/>
                <w:numId w:val="12"/>
              </w:numPr>
              <w:ind w:left="796" w:hanging="283"/>
              <w:rPr>
                <w:color w:val="000000" w:themeColor="text1"/>
              </w:rPr>
            </w:pPr>
            <w:r>
              <w:rPr>
                <w:color w:val="000000" w:themeColor="text1"/>
              </w:rPr>
              <w:t>c</w:t>
            </w:r>
            <w:r w:rsidR="00D26E04" w:rsidRPr="00D26E04">
              <w:rPr>
                <w:color w:val="000000" w:themeColor="text1"/>
              </w:rPr>
              <w:t>onsequences of FP (</w:t>
            </w:r>
            <w:r w:rsidR="00157080">
              <w:rPr>
                <w:color w:val="000000" w:themeColor="text1"/>
              </w:rPr>
              <w:t>additional</w:t>
            </w:r>
            <w:r w:rsidR="00D26E04" w:rsidRPr="00D26E04">
              <w:rPr>
                <w:color w:val="000000" w:themeColor="text1"/>
              </w:rPr>
              <w:t xml:space="preserve"> procedures) and FN (missed treatment)</w:t>
            </w:r>
          </w:p>
          <w:p w14:paraId="0C1CA14E" w14:textId="77777777" w:rsidR="0012444C" w:rsidRPr="0012444C" w:rsidRDefault="0012444C" w:rsidP="007C7FC0">
            <w:pPr>
              <w:pStyle w:val="TableText0"/>
              <w:numPr>
                <w:ilvl w:val="0"/>
                <w:numId w:val="12"/>
              </w:numPr>
              <w:ind w:left="569" w:hanging="229"/>
              <w:rPr>
                <w:b/>
                <w:bCs/>
                <w:color w:val="000000" w:themeColor="text1"/>
              </w:rPr>
            </w:pPr>
            <w:r>
              <w:rPr>
                <w:color w:val="000000" w:themeColor="text1"/>
              </w:rPr>
              <w:t>costs associated with subsequent treatment (PFO closure or medical therapy)</w:t>
            </w:r>
          </w:p>
          <w:p w14:paraId="38159E2F" w14:textId="25579050" w:rsidR="00D26E04" w:rsidRPr="00D26E04" w:rsidRDefault="00F61F91" w:rsidP="007C7FC0">
            <w:pPr>
              <w:pStyle w:val="TableText0"/>
              <w:numPr>
                <w:ilvl w:val="0"/>
                <w:numId w:val="12"/>
              </w:numPr>
              <w:ind w:left="569" w:hanging="229"/>
              <w:rPr>
                <w:b/>
                <w:bCs/>
                <w:color w:val="000000" w:themeColor="text1"/>
              </w:rPr>
            </w:pPr>
            <w:r>
              <w:rPr>
                <w:color w:val="000000" w:themeColor="text1"/>
              </w:rPr>
              <w:t>c</w:t>
            </w:r>
            <w:r w:rsidR="00D26E04" w:rsidRPr="00D26E04">
              <w:rPr>
                <w:color w:val="000000" w:themeColor="text1"/>
              </w:rPr>
              <w:t>osts associated with stroke recurrence and hospitalisation</w:t>
            </w:r>
            <w:r w:rsidR="00FE708C">
              <w:rPr>
                <w:color w:val="000000" w:themeColor="text1"/>
              </w:rPr>
              <w:t xml:space="preserve"> </w:t>
            </w:r>
          </w:p>
          <w:p w14:paraId="7AB7A7DE" w14:textId="75491A54" w:rsidR="003D6043" w:rsidRDefault="003D6043" w:rsidP="00D26E04">
            <w:pPr>
              <w:pStyle w:val="TableText0"/>
              <w:spacing w:before="120"/>
              <w:rPr>
                <w:b/>
                <w:bCs/>
                <w:color w:val="000000" w:themeColor="text1"/>
              </w:rPr>
            </w:pPr>
            <w:r w:rsidRPr="005376D8">
              <w:rPr>
                <w:b/>
                <w:bCs/>
                <w:color w:val="000000" w:themeColor="text1"/>
              </w:rPr>
              <w:t>Cost-effectiveness</w:t>
            </w:r>
          </w:p>
          <w:p w14:paraId="6642CF67" w14:textId="4E6783A8" w:rsidR="00014E50" w:rsidRPr="00014E50" w:rsidRDefault="00DE1FB2" w:rsidP="007C7FC0">
            <w:pPr>
              <w:pStyle w:val="TableText0"/>
              <w:numPr>
                <w:ilvl w:val="0"/>
                <w:numId w:val="12"/>
              </w:numPr>
              <w:ind w:left="512" w:hanging="229"/>
              <w:rPr>
                <w:color w:val="000000" w:themeColor="text1"/>
              </w:rPr>
            </w:pPr>
            <w:r>
              <w:rPr>
                <w:color w:val="000000" w:themeColor="text1"/>
              </w:rPr>
              <w:t xml:space="preserve">incremental </w:t>
            </w:r>
            <w:r w:rsidR="00D3010D">
              <w:rPr>
                <w:color w:val="000000" w:themeColor="text1"/>
              </w:rPr>
              <w:t>c</w:t>
            </w:r>
            <w:r w:rsidR="00014E50" w:rsidRPr="00014E50">
              <w:rPr>
                <w:color w:val="000000" w:themeColor="text1"/>
              </w:rPr>
              <w:t xml:space="preserve">ost per </w:t>
            </w:r>
            <w:r w:rsidR="008B1465">
              <w:rPr>
                <w:color w:val="000000" w:themeColor="text1"/>
              </w:rPr>
              <w:t>quality-adjusted life year (QALY) gained</w:t>
            </w:r>
          </w:p>
          <w:p w14:paraId="3B3D9459" w14:textId="6B3AB983" w:rsidR="003D6043" w:rsidRDefault="00967C52" w:rsidP="00D26E04">
            <w:pPr>
              <w:pStyle w:val="TableText0"/>
              <w:spacing w:before="120"/>
              <w:rPr>
                <w:b/>
                <w:bCs/>
                <w:color w:val="000000" w:themeColor="text1"/>
              </w:rPr>
            </w:pPr>
            <w:r>
              <w:rPr>
                <w:b/>
                <w:bCs/>
                <w:color w:val="000000" w:themeColor="text1"/>
              </w:rPr>
              <w:t xml:space="preserve">Health </w:t>
            </w:r>
            <w:r w:rsidR="002E4A1A">
              <w:rPr>
                <w:b/>
                <w:bCs/>
                <w:color w:val="000000" w:themeColor="text1"/>
              </w:rPr>
              <w:t>system</w:t>
            </w:r>
            <w:r w:rsidR="003D6043" w:rsidRPr="005376D8">
              <w:rPr>
                <w:b/>
                <w:bCs/>
                <w:color w:val="000000" w:themeColor="text1"/>
              </w:rPr>
              <w:t xml:space="preserve"> costs</w:t>
            </w:r>
          </w:p>
          <w:p w14:paraId="3A22E23F" w14:textId="784D60FC" w:rsidR="002E4A1A" w:rsidRDefault="002E4A1A" w:rsidP="007C7FC0">
            <w:pPr>
              <w:pStyle w:val="TableText0"/>
              <w:numPr>
                <w:ilvl w:val="0"/>
                <w:numId w:val="12"/>
              </w:numPr>
              <w:ind w:left="569" w:hanging="229"/>
              <w:rPr>
                <w:color w:val="000000" w:themeColor="text1"/>
              </w:rPr>
            </w:pPr>
            <w:r>
              <w:rPr>
                <w:color w:val="000000" w:themeColor="text1"/>
              </w:rPr>
              <w:t>t</w:t>
            </w:r>
            <w:r w:rsidRPr="002E4A1A">
              <w:rPr>
                <w:color w:val="000000" w:themeColor="text1"/>
              </w:rPr>
              <w:t xml:space="preserve">otal </w:t>
            </w:r>
            <w:r w:rsidR="00FE1828">
              <w:rPr>
                <w:color w:val="000000" w:themeColor="text1"/>
              </w:rPr>
              <w:t xml:space="preserve">costs to the </w:t>
            </w:r>
            <w:r w:rsidR="00071E65">
              <w:rPr>
                <w:color w:val="000000" w:themeColor="text1"/>
              </w:rPr>
              <w:t>Medicare Benefits Schedule (</w:t>
            </w:r>
            <w:r w:rsidRPr="002E4A1A">
              <w:rPr>
                <w:color w:val="000000" w:themeColor="text1"/>
              </w:rPr>
              <w:t>MBS</w:t>
            </w:r>
            <w:r w:rsidR="00071E65">
              <w:rPr>
                <w:color w:val="000000" w:themeColor="text1"/>
              </w:rPr>
              <w:t>)</w:t>
            </w:r>
          </w:p>
          <w:p w14:paraId="70E176C8" w14:textId="620ADCC3" w:rsidR="00FE1828" w:rsidRDefault="00FE1828" w:rsidP="007C7FC0">
            <w:pPr>
              <w:pStyle w:val="TableText0"/>
              <w:numPr>
                <w:ilvl w:val="0"/>
                <w:numId w:val="12"/>
              </w:numPr>
              <w:ind w:left="569" w:hanging="229"/>
              <w:rPr>
                <w:color w:val="000000" w:themeColor="text1"/>
              </w:rPr>
            </w:pPr>
            <w:r>
              <w:rPr>
                <w:color w:val="000000" w:themeColor="text1"/>
              </w:rPr>
              <w:t xml:space="preserve">total costs to the </w:t>
            </w:r>
            <w:r w:rsidR="00071E65">
              <w:rPr>
                <w:color w:val="000000" w:themeColor="text1"/>
              </w:rPr>
              <w:t>Pharmaceutical Benefits Scheme (</w:t>
            </w:r>
            <w:r>
              <w:rPr>
                <w:color w:val="000000" w:themeColor="text1"/>
              </w:rPr>
              <w:t>PBS</w:t>
            </w:r>
            <w:r w:rsidR="00071E65">
              <w:rPr>
                <w:color w:val="000000" w:themeColor="text1"/>
              </w:rPr>
              <w:t>)</w:t>
            </w:r>
          </w:p>
          <w:p w14:paraId="16473C67" w14:textId="35A2F3EC" w:rsidR="005D6ED6" w:rsidRPr="002E4A1A" w:rsidRDefault="005D6ED6" w:rsidP="007C7FC0">
            <w:pPr>
              <w:pStyle w:val="TableText0"/>
              <w:numPr>
                <w:ilvl w:val="0"/>
                <w:numId w:val="12"/>
              </w:numPr>
              <w:ind w:left="569" w:hanging="229"/>
              <w:rPr>
                <w:color w:val="000000" w:themeColor="text1"/>
              </w:rPr>
            </w:pPr>
            <w:r>
              <w:rPr>
                <w:color w:val="000000" w:themeColor="text1"/>
              </w:rPr>
              <w:t>hospital and private sector costs (including procedures and admissions)</w:t>
            </w:r>
          </w:p>
          <w:p w14:paraId="2AEFFBC1" w14:textId="6364133D" w:rsidR="00967C52" w:rsidRPr="005376D8" w:rsidRDefault="005D6ED6" w:rsidP="007C7FC0">
            <w:pPr>
              <w:pStyle w:val="TableText0"/>
              <w:numPr>
                <w:ilvl w:val="0"/>
                <w:numId w:val="12"/>
              </w:numPr>
              <w:ind w:left="569" w:hanging="229"/>
              <w:rPr>
                <w:b/>
                <w:bCs/>
                <w:color w:val="000000" w:themeColor="text1"/>
              </w:rPr>
            </w:pPr>
            <w:r>
              <w:rPr>
                <w:color w:val="000000" w:themeColor="text1"/>
              </w:rPr>
              <w:t>overall Australian healthcare system costs</w:t>
            </w:r>
          </w:p>
        </w:tc>
      </w:tr>
      <w:tr w:rsidR="00F81FBC" w:rsidRPr="00490FBB" w14:paraId="7891B3AE" w14:textId="77777777" w:rsidTr="5A3A89BB">
        <w:tc>
          <w:tcPr>
            <w:tcW w:w="1005" w:type="pct"/>
            <w:tcBorders>
              <w:top w:val="single" w:sz="4" w:space="0" w:color="auto"/>
              <w:left w:val="single" w:sz="8" w:space="0" w:color="auto"/>
              <w:bottom w:val="single" w:sz="8" w:space="0" w:color="auto"/>
              <w:right w:val="single" w:sz="4" w:space="0" w:color="auto"/>
            </w:tcBorders>
          </w:tcPr>
          <w:p w14:paraId="50C20F91" w14:textId="77777777" w:rsidR="00F81FBC" w:rsidRPr="00490FBB" w:rsidRDefault="00F81FBC" w:rsidP="00E1590E">
            <w:pPr>
              <w:pStyle w:val="TableText0"/>
            </w:pPr>
            <w:r w:rsidRPr="00490FBB">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40644E21" w14:textId="1D1F915F" w:rsidR="00F81FBC" w:rsidRDefault="00F81FBC" w:rsidP="00E1590E">
            <w:pPr>
              <w:pStyle w:val="TableText0"/>
              <w:rPr>
                <w:color w:val="000000" w:themeColor="text1"/>
              </w:rPr>
            </w:pPr>
            <w:r w:rsidRPr="00FD4C65">
              <w:rPr>
                <w:color w:val="000000" w:themeColor="text1"/>
              </w:rPr>
              <w:t>What</w:t>
            </w:r>
            <w:r w:rsidRPr="00490FBB">
              <w:rPr>
                <w:color w:val="000000" w:themeColor="text1"/>
              </w:rPr>
              <w:t xml:space="preserve"> is the safety, effectiveness and cost-effectiveness of </w:t>
            </w:r>
            <w:r w:rsidR="00960BA0">
              <w:rPr>
                <w:color w:val="000000" w:themeColor="text1"/>
              </w:rPr>
              <w:t>TCD</w:t>
            </w:r>
            <w:r w:rsidR="000A73D3">
              <w:rPr>
                <w:color w:val="000000" w:themeColor="text1"/>
              </w:rPr>
              <w:t>/TCCD</w:t>
            </w:r>
            <w:r w:rsidR="00607647">
              <w:rPr>
                <w:color w:val="000000" w:themeColor="text1"/>
              </w:rPr>
              <w:t xml:space="preserve"> bubble test</w:t>
            </w:r>
            <w:r w:rsidR="00960BA0">
              <w:rPr>
                <w:color w:val="000000" w:themeColor="text1"/>
              </w:rPr>
              <w:t>ing</w:t>
            </w:r>
            <w:r w:rsidRPr="00490FBB">
              <w:rPr>
                <w:color w:val="000000" w:themeColor="text1"/>
              </w:rPr>
              <w:t xml:space="preserve"> </w:t>
            </w:r>
            <w:r w:rsidR="00DA6676">
              <w:rPr>
                <w:color w:val="000000" w:themeColor="text1"/>
              </w:rPr>
              <w:t>versus</w:t>
            </w:r>
            <w:r w:rsidR="00960BA0">
              <w:rPr>
                <w:color w:val="000000" w:themeColor="text1"/>
              </w:rPr>
              <w:t xml:space="preserve"> TTE with bubble </w:t>
            </w:r>
            <w:r w:rsidR="00C234D9">
              <w:rPr>
                <w:color w:val="000000" w:themeColor="text1"/>
              </w:rPr>
              <w:t>contrast</w:t>
            </w:r>
            <w:r w:rsidR="00C00DA0">
              <w:rPr>
                <w:color w:val="000000" w:themeColor="text1"/>
              </w:rPr>
              <w:t>, when used as a triage test</w:t>
            </w:r>
            <w:r w:rsidRPr="00490FBB">
              <w:rPr>
                <w:color w:val="000000" w:themeColor="text1"/>
              </w:rPr>
              <w:t xml:space="preserve"> </w:t>
            </w:r>
            <w:r w:rsidR="001D2FD2">
              <w:rPr>
                <w:color w:val="000000" w:themeColor="text1"/>
              </w:rPr>
              <w:t xml:space="preserve">before confirmatory TOE with bubble contrast </w:t>
            </w:r>
            <w:r w:rsidR="000446FC">
              <w:rPr>
                <w:color w:val="000000" w:themeColor="text1"/>
              </w:rPr>
              <w:t xml:space="preserve">in </w:t>
            </w:r>
            <w:r w:rsidR="0034045E">
              <w:rPr>
                <w:color w:val="000000" w:themeColor="text1"/>
              </w:rPr>
              <w:t>individual</w:t>
            </w:r>
            <w:r w:rsidR="000446FC" w:rsidRPr="000446FC">
              <w:rPr>
                <w:color w:val="000000" w:themeColor="text1"/>
              </w:rPr>
              <w:t>s with prior cryptogenic isch</w:t>
            </w:r>
            <w:r w:rsidR="00D740EA">
              <w:rPr>
                <w:color w:val="000000" w:themeColor="text1"/>
              </w:rPr>
              <w:t>a</w:t>
            </w:r>
            <w:r w:rsidR="000446FC" w:rsidRPr="000446FC">
              <w:rPr>
                <w:color w:val="000000" w:themeColor="text1"/>
              </w:rPr>
              <w:t xml:space="preserve">emic stroke undergoing evaluation for a </w:t>
            </w:r>
            <w:r w:rsidR="001B6B41">
              <w:rPr>
                <w:color w:val="000000" w:themeColor="text1"/>
              </w:rPr>
              <w:t>causally related</w:t>
            </w:r>
            <w:r w:rsidR="001B6B41" w:rsidRPr="000446FC">
              <w:rPr>
                <w:color w:val="000000" w:themeColor="text1"/>
              </w:rPr>
              <w:t xml:space="preserve"> </w:t>
            </w:r>
            <w:r w:rsidR="000446FC" w:rsidRPr="000446FC">
              <w:rPr>
                <w:color w:val="000000" w:themeColor="text1"/>
              </w:rPr>
              <w:t>PFO</w:t>
            </w:r>
            <w:r w:rsidRPr="00FD4C65">
              <w:rPr>
                <w:color w:val="000000" w:themeColor="text1"/>
              </w:rPr>
              <w:t>?</w:t>
            </w:r>
          </w:p>
          <w:p w14:paraId="6FF99E6E" w14:textId="5B55FB29" w:rsidR="00A52491" w:rsidRPr="0016030D" w:rsidRDefault="00A52491" w:rsidP="0016030D">
            <w:pPr>
              <w:pStyle w:val="TableText0"/>
              <w:spacing w:before="120"/>
              <w:rPr>
                <w:b/>
                <w:bCs/>
                <w:color w:val="000000" w:themeColor="text1"/>
              </w:rPr>
            </w:pPr>
            <w:r w:rsidRPr="0016030D">
              <w:rPr>
                <w:b/>
                <w:bCs/>
                <w:color w:val="000000" w:themeColor="text1"/>
              </w:rPr>
              <w:t>Direct evidenc</w:t>
            </w:r>
            <w:r w:rsidR="0016030D" w:rsidRPr="0016030D">
              <w:rPr>
                <w:b/>
                <w:bCs/>
                <w:color w:val="000000" w:themeColor="text1"/>
              </w:rPr>
              <w:t>e</w:t>
            </w:r>
          </w:p>
          <w:p w14:paraId="12DC5CD4" w14:textId="436C7A07" w:rsidR="003D7DB0" w:rsidRDefault="00A52491" w:rsidP="00A42538">
            <w:pPr>
              <w:pStyle w:val="TableText0"/>
              <w:numPr>
                <w:ilvl w:val="0"/>
                <w:numId w:val="35"/>
              </w:numPr>
              <w:ind w:left="369" w:hanging="369"/>
              <w:rPr>
                <w:color w:val="000000" w:themeColor="text1"/>
              </w:rPr>
            </w:pPr>
            <w:r w:rsidRPr="5A3A89BB">
              <w:rPr>
                <w:color w:val="000000" w:themeColor="text1"/>
              </w:rPr>
              <w:t>In patients with prior cryptogenic isch</w:t>
            </w:r>
            <w:r w:rsidR="002142E4" w:rsidRPr="5A3A89BB">
              <w:rPr>
                <w:color w:val="000000" w:themeColor="text1"/>
              </w:rPr>
              <w:t>a</w:t>
            </w:r>
            <w:r w:rsidRPr="5A3A89BB">
              <w:rPr>
                <w:color w:val="000000" w:themeColor="text1"/>
              </w:rPr>
              <w:t xml:space="preserve">emic stroke </w:t>
            </w:r>
            <w:r w:rsidR="002B0B0C" w:rsidRPr="5A3A89BB">
              <w:rPr>
                <w:color w:val="000000" w:themeColor="text1"/>
              </w:rPr>
              <w:t xml:space="preserve">or ESUS </w:t>
            </w:r>
            <w:r w:rsidRPr="5A3A89BB">
              <w:rPr>
                <w:color w:val="000000" w:themeColor="text1"/>
              </w:rPr>
              <w:t xml:space="preserve">undergoing evaluation for a </w:t>
            </w:r>
            <w:r w:rsidR="0024110D" w:rsidRPr="5A3A89BB">
              <w:rPr>
                <w:color w:val="000000" w:themeColor="text1"/>
              </w:rPr>
              <w:t xml:space="preserve">causally related </w:t>
            </w:r>
            <w:r w:rsidRPr="5A3A89BB">
              <w:rPr>
                <w:color w:val="000000" w:themeColor="text1"/>
              </w:rPr>
              <w:t>PFO, does the use of TCD</w:t>
            </w:r>
            <w:r w:rsidR="000A73D3" w:rsidRPr="5A3A89BB">
              <w:rPr>
                <w:color w:val="000000" w:themeColor="text1"/>
              </w:rPr>
              <w:t>/TCCD</w:t>
            </w:r>
            <w:r w:rsidRPr="5A3A89BB">
              <w:rPr>
                <w:color w:val="000000" w:themeColor="text1"/>
              </w:rPr>
              <w:t xml:space="preserve"> bubble testing</w:t>
            </w:r>
            <w:r w:rsidR="002C5B98" w:rsidRPr="5A3A89BB">
              <w:rPr>
                <w:color w:val="000000" w:themeColor="text1"/>
              </w:rPr>
              <w:t xml:space="preserve"> </w:t>
            </w:r>
            <w:r w:rsidR="002C5B98">
              <w:t>followed by TOE with bubble contrast</w:t>
            </w:r>
            <w:r w:rsidRPr="5A3A89BB">
              <w:rPr>
                <w:color w:val="000000" w:themeColor="text1"/>
              </w:rPr>
              <w:t>, compared with TTE with bubble contrast</w:t>
            </w:r>
            <w:r w:rsidR="002C5B98" w:rsidRPr="5A3A89BB">
              <w:rPr>
                <w:color w:val="000000" w:themeColor="text1"/>
              </w:rPr>
              <w:t xml:space="preserve"> </w:t>
            </w:r>
            <w:r w:rsidR="002C5B98">
              <w:t>followed by TOE with bubble contrast</w:t>
            </w:r>
            <w:r w:rsidRPr="5A3A89BB">
              <w:rPr>
                <w:color w:val="000000" w:themeColor="text1"/>
              </w:rPr>
              <w:t xml:space="preserve">, result in </w:t>
            </w:r>
            <w:r w:rsidR="003A3E03" w:rsidRPr="5A3A89BB">
              <w:rPr>
                <w:color w:val="000000" w:themeColor="text1"/>
              </w:rPr>
              <w:t xml:space="preserve">superior </w:t>
            </w:r>
            <w:r w:rsidRPr="5A3A89BB">
              <w:rPr>
                <w:color w:val="000000" w:themeColor="text1"/>
              </w:rPr>
              <w:t>health outcomes?</w:t>
            </w:r>
          </w:p>
          <w:p w14:paraId="604D68D1" w14:textId="7F9CF565" w:rsidR="004F3E21" w:rsidRPr="004F3E21" w:rsidRDefault="004F3E21" w:rsidP="004F3E21">
            <w:pPr>
              <w:pStyle w:val="TableText0"/>
              <w:spacing w:before="120"/>
              <w:rPr>
                <w:b/>
                <w:bCs/>
                <w:color w:val="000000" w:themeColor="text1"/>
              </w:rPr>
            </w:pPr>
            <w:r w:rsidRPr="004F3E21">
              <w:rPr>
                <w:b/>
                <w:bCs/>
                <w:color w:val="000000" w:themeColor="text1"/>
              </w:rPr>
              <w:t>Indirect evidence</w:t>
            </w:r>
          </w:p>
          <w:p w14:paraId="65926BAC" w14:textId="15644214" w:rsidR="004F3E21" w:rsidRDefault="0016030D" w:rsidP="00A42538">
            <w:pPr>
              <w:pStyle w:val="TableText0"/>
              <w:numPr>
                <w:ilvl w:val="0"/>
                <w:numId w:val="35"/>
              </w:numPr>
              <w:ind w:left="369" w:hanging="369"/>
              <w:rPr>
                <w:color w:val="000000" w:themeColor="text1"/>
              </w:rPr>
            </w:pPr>
            <w:r w:rsidRPr="003D7DB0">
              <w:rPr>
                <w:color w:val="000000" w:themeColor="text1"/>
              </w:rPr>
              <w:t>Does the use of TCD</w:t>
            </w:r>
            <w:r w:rsidR="000A73D3">
              <w:rPr>
                <w:color w:val="000000" w:themeColor="text1"/>
              </w:rPr>
              <w:t>/TCCD</w:t>
            </w:r>
            <w:r w:rsidRPr="003D7DB0">
              <w:rPr>
                <w:color w:val="000000" w:themeColor="text1"/>
              </w:rPr>
              <w:t xml:space="preserve"> bubble testing, compared with TTE with bubble contrast, reduce</w:t>
            </w:r>
            <w:r w:rsidR="000A1ED3">
              <w:rPr>
                <w:color w:val="000000" w:themeColor="text1"/>
              </w:rPr>
              <w:t xml:space="preserve"> the</w:t>
            </w:r>
            <w:r w:rsidRPr="003D7DB0">
              <w:rPr>
                <w:color w:val="000000" w:themeColor="text1"/>
              </w:rPr>
              <w:t xml:space="preserve"> time to </w:t>
            </w:r>
            <w:r w:rsidR="00C13ACF">
              <w:rPr>
                <w:color w:val="000000" w:themeColor="text1"/>
              </w:rPr>
              <w:t xml:space="preserve">final </w:t>
            </w:r>
            <w:r w:rsidR="00CA5993">
              <w:rPr>
                <w:color w:val="000000" w:themeColor="text1"/>
              </w:rPr>
              <w:t>classification</w:t>
            </w:r>
            <w:r w:rsidR="00CA5993" w:rsidRPr="003D7DB0">
              <w:rPr>
                <w:color w:val="000000" w:themeColor="text1"/>
              </w:rPr>
              <w:t xml:space="preserve"> </w:t>
            </w:r>
            <w:r w:rsidR="0067640F">
              <w:rPr>
                <w:color w:val="000000" w:themeColor="text1"/>
              </w:rPr>
              <w:t>of</w:t>
            </w:r>
            <w:r w:rsidR="0067640F" w:rsidRPr="0067640F">
              <w:rPr>
                <w:color w:val="000000" w:themeColor="text1"/>
              </w:rPr>
              <w:t xml:space="preserve"> </w:t>
            </w:r>
            <w:r w:rsidR="00623889">
              <w:rPr>
                <w:color w:val="000000" w:themeColor="text1"/>
              </w:rPr>
              <w:t xml:space="preserve">the </w:t>
            </w:r>
            <w:r w:rsidR="0067640F" w:rsidRPr="0067640F">
              <w:rPr>
                <w:color w:val="000000" w:themeColor="text1"/>
              </w:rPr>
              <w:t>presence or absence of a causally related PFO</w:t>
            </w:r>
            <w:r w:rsidR="0067640F">
              <w:rPr>
                <w:color w:val="000000" w:themeColor="text1"/>
              </w:rPr>
              <w:t xml:space="preserve">, </w:t>
            </w:r>
            <w:r w:rsidRPr="003D7DB0">
              <w:rPr>
                <w:color w:val="000000" w:themeColor="text1"/>
              </w:rPr>
              <w:t xml:space="preserve">and </w:t>
            </w:r>
            <w:r w:rsidR="00623889">
              <w:rPr>
                <w:color w:val="000000" w:themeColor="text1"/>
              </w:rPr>
              <w:t xml:space="preserve">to </w:t>
            </w:r>
            <w:r w:rsidRPr="003D7DB0">
              <w:rPr>
                <w:color w:val="000000" w:themeColor="text1"/>
              </w:rPr>
              <w:t>subsequent clinical decision-making?</w:t>
            </w:r>
          </w:p>
          <w:p w14:paraId="095167C3" w14:textId="156EA965" w:rsidR="001152AB" w:rsidRDefault="00BF7B44" w:rsidP="00B87033">
            <w:pPr>
              <w:pStyle w:val="TableText0"/>
              <w:numPr>
                <w:ilvl w:val="0"/>
                <w:numId w:val="35"/>
              </w:numPr>
              <w:ind w:left="369" w:hanging="369"/>
              <w:rPr>
                <w:color w:val="000000" w:themeColor="text1"/>
              </w:rPr>
            </w:pPr>
            <w:r>
              <w:rPr>
                <w:color w:val="000000" w:themeColor="text1"/>
              </w:rPr>
              <w:t>a</w:t>
            </w:r>
            <w:r w:rsidR="00113133">
              <w:rPr>
                <w:color w:val="000000" w:themeColor="text1"/>
              </w:rPr>
              <w:t>)</w:t>
            </w:r>
            <w:r>
              <w:rPr>
                <w:color w:val="000000" w:themeColor="text1"/>
              </w:rPr>
              <w:t xml:space="preserve"> </w:t>
            </w:r>
            <w:r w:rsidR="00552B90" w:rsidRPr="00C76202">
              <w:rPr>
                <w:color w:val="000000" w:themeColor="text1"/>
              </w:rPr>
              <w:t xml:space="preserve">What is the comparative diagnostic accuracy of bubble testing </w:t>
            </w:r>
            <w:r w:rsidR="001152AB">
              <w:rPr>
                <w:color w:val="000000" w:themeColor="text1"/>
              </w:rPr>
              <w:t>using a TCD system compared with a TCCD system?</w:t>
            </w:r>
          </w:p>
          <w:p w14:paraId="0FBAA690" w14:textId="65A0746E" w:rsidR="00BF7B44" w:rsidRDefault="005D6893" w:rsidP="00C91155">
            <w:pPr>
              <w:pStyle w:val="TableText0"/>
              <w:ind w:left="369"/>
              <w:rPr>
                <w:color w:val="000000" w:themeColor="text1"/>
              </w:rPr>
            </w:pPr>
            <w:r>
              <w:rPr>
                <w:color w:val="000000" w:themeColor="text1"/>
              </w:rPr>
              <w:t xml:space="preserve">b) </w:t>
            </w:r>
            <w:r w:rsidR="00C76202" w:rsidRPr="00C76202">
              <w:rPr>
                <w:color w:val="000000" w:themeColor="text1"/>
              </w:rPr>
              <w:t>What is the comparative diagnostic accuracy of TCD</w:t>
            </w:r>
            <w:r w:rsidR="000A73D3">
              <w:rPr>
                <w:color w:val="000000" w:themeColor="text1"/>
              </w:rPr>
              <w:t>/TCCD</w:t>
            </w:r>
            <w:r w:rsidR="00C76202" w:rsidRPr="00C76202">
              <w:rPr>
                <w:color w:val="000000" w:themeColor="text1"/>
              </w:rPr>
              <w:t xml:space="preserve"> bubble testing compared with TTE with bubble contrast against the reference standard (TOE with bubble contrast)?</w:t>
            </w:r>
            <w:r w:rsidR="003874E4">
              <w:rPr>
                <w:color w:val="000000" w:themeColor="text1"/>
              </w:rPr>
              <w:t xml:space="preserve"> </w:t>
            </w:r>
            <w:r w:rsidR="003874E4" w:rsidRPr="003874E4">
              <w:rPr>
                <w:color w:val="000000" w:themeColor="text1"/>
              </w:rPr>
              <w:t>What is the concordance of TCD bubble testing compared to TTE with bubble contrast?</w:t>
            </w:r>
          </w:p>
          <w:p w14:paraId="02AE2FBB" w14:textId="539E4D19" w:rsidR="00027E3C" w:rsidRDefault="005D6893" w:rsidP="00C91155">
            <w:pPr>
              <w:pStyle w:val="TableText0"/>
              <w:ind w:left="369"/>
              <w:rPr>
                <w:color w:val="000000" w:themeColor="text1"/>
              </w:rPr>
            </w:pPr>
            <w:r>
              <w:rPr>
                <w:color w:val="000000" w:themeColor="text1"/>
              </w:rPr>
              <w:t>c</w:t>
            </w:r>
            <w:r w:rsidR="00B301DD">
              <w:rPr>
                <w:color w:val="000000" w:themeColor="text1"/>
              </w:rPr>
              <w:t xml:space="preserve">) </w:t>
            </w:r>
            <w:r w:rsidR="00B301DD" w:rsidRPr="0016030D">
              <w:rPr>
                <w:color w:val="000000" w:themeColor="text1"/>
              </w:rPr>
              <w:t xml:space="preserve">What are the clinical consequences of a false-negative triage </w:t>
            </w:r>
            <w:r w:rsidR="009B34D1">
              <w:rPr>
                <w:color w:val="000000" w:themeColor="text1"/>
              </w:rPr>
              <w:t xml:space="preserve">test </w:t>
            </w:r>
            <w:r w:rsidR="007D4492" w:rsidRPr="007D4492">
              <w:rPr>
                <w:color w:val="000000" w:themeColor="text1"/>
              </w:rPr>
              <w:t>(i.e. TCD</w:t>
            </w:r>
            <w:r w:rsidR="000A73D3">
              <w:rPr>
                <w:color w:val="000000" w:themeColor="text1"/>
              </w:rPr>
              <w:t>/TCCD</w:t>
            </w:r>
            <w:r w:rsidR="007D4492" w:rsidRPr="007D4492">
              <w:rPr>
                <w:color w:val="000000" w:themeColor="text1"/>
              </w:rPr>
              <w:t xml:space="preserve"> bubble test</w:t>
            </w:r>
            <w:r w:rsidR="009B34D1">
              <w:rPr>
                <w:color w:val="000000" w:themeColor="text1"/>
              </w:rPr>
              <w:t>ing</w:t>
            </w:r>
            <w:r w:rsidR="007D4492" w:rsidRPr="007D4492">
              <w:rPr>
                <w:color w:val="000000" w:themeColor="text1"/>
              </w:rPr>
              <w:t xml:space="preserve"> or TTE with bubble contrast)</w:t>
            </w:r>
            <w:r w:rsidR="007D4492">
              <w:rPr>
                <w:color w:val="000000" w:themeColor="text1"/>
              </w:rPr>
              <w:t xml:space="preserve"> </w:t>
            </w:r>
            <w:r w:rsidR="00B301DD" w:rsidRPr="0016030D">
              <w:rPr>
                <w:color w:val="000000" w:themeColor="text1"/>
              </w:rPr>
              <w:t>result?</w:t>
            </w:r>
          </w:p>
          <w:p w14:paraId="0D77F7EA" w14:textId="46A51EC8" w:rsidR="0016030D" w:rsidRDefault="00BB672B" w:rsidP="00A42538">
            <w:pPr>
              <w:pStyle w:val="TableText0"/>
              <w:numPr>
                <w:ilvl w:val="0"/>
                <w:numId w:val="35"/>
              </w:numPr>
              <w:ind w:left="369" w:hanging="369"/>
              <w:rPr>
                <w:color w:val="000000" w:themeColor="text1"/>
              </w:rPr>
            </w:pPr>
            <w:r>
              <w:rPr>
                <w:color w:val="000000" w:themeColor="text1"/>
              </w:rPr>
              <w:t>D</w:t>
            </w:r>
            <w:r w:rsidR="007C3063" w:rsidRPr="0016030D">
              <w:rPr>
                <w:color w:val="000000" w:themeColor="text1"/>
              </w:rPr>
              <w:t>oes the use of TCD</w:t>
            </w:r>
            <w:r w:rsidR="000A73D3">
              <w:rPr>
                <w:color w:val="000000" w:themeColor="text1"/>
              </w:rPr>
              <w:t>/TCCD</w:t>
            </w:r>
            <w:r w:rsidR="007C3063" w:rsidRPr="0016030D">
              <w:rPr>
                <w:color w:val="000000" w:themeColor="text1"/>
              </w:rPr>
              <w:t xml:space="preserve"> bubble testing, compared with TTE with bubble contrast, alter the proportion of patients referred for TOE?</w:t>
            </w:r>
          </w:p>
          <w:p w14:paraId="6971C3C1" w14:textId="479AC5FB" w:rsidR="0016030D" w:rsidRDefault="0016030D" w:rsidP="00A42538">
            <w:pPr>
              <w:pStyle w:val="TableText0"/>
              <w:numPr>
                <w:ilvl w:val="0"/>
                <w:numId w:val="35"/>
              </w:numPr>
              <w:ind w:left="369" w:hanging="369"/>
              <w:rPr>
                <w:color w:val="000000" w:themeColor="text1"/>
              </w:rPr>
            </w:pPr>
            <w:r w:rsidRPr="007C3063">
              <w:rPr>
                <w:color w:val="000000" w:themeColor="text1"/>
              </w:rPr>
              <w:t>Does the use of TCD</w:t>
            </w:r>
            <w:r w:rsidR="000A73D3">
              <w:rPr>
                <w:color w:val="000000" w:themeColor="text1"/>
              </w:rPr>
              <w:t>/TCCD</w:t>
            </w:r>
            <w:r w:rsidRPr="007C3063">
              <w:rPr>
                <w:color w:val="000000" w:themeColor="text1"/>
              </w:rPr>
              <w:t xml:space="preserve"> bubble testing </w:t>
            </w:r>
            <w:r w:rsidR="00E625FB" w:rsidRPr="00E625FB">
              <w:rPr>
                <w:color w:val="000000" w:themeColor="text1"/>
              </w:rPr>
              <w:t xml:space="preserve">(followed by TOE with bubble contrast) </w:t>
            </w:r>
            <w:r w:rsidRPr="007C3063">
              <w:rPr>
                <w:color w:val="000000" w:themeColor="text1"/>
              </w:rPr>
              <w:t>result in the same classification (i.e. presence or absence of a causally related PFO) compared with TTE with bubble contrast</w:t>
            </w:r>
            <w:r w:rsidR="00E625FB">
              <w:rPr>
                <w:color w:val="000000" w:themeColor="text1"/>
              </w:rPr>
              <w:t xml:space="preserve"> </w:t>
            </w:r>
            <w:r w:rsidR="00E625FB" w:rsidRPr="00E625FB">
              <w:rPr>
                <w:color w:val="000000" w:themeColor="text1"/>
              </w:rPr>
              <w:t>(followed by TOE with bubble contrast)</w:t>
            </w:r>
            <w:r w:rsidRPr="007C3063">
              <w:rPr>
                <w:color w:val="000000" w:themeColor="text1"/>
              </w:rPr>
              <w:t>?</w:t>
            </w:r>
          </w:p>
          <w:p w14:paraId="396DFED8" w14:textId="17AA1A88" w:rsidR="0087509C" w:rsidRDefault="00481576" w:rsidP="00A42538">
            <w:pPr>
              <w:pStyle w:val="TableText0"/>
              <w:numPr>
                <w:ilvl w:val="0"/>
                <w:numId w:val="35"/>
              </w:numPr>
              <w:ind w:left="369" w:hanging="369"/>
              <w:rPr>
                <w:color w:val="000000" w:themeColor="text1"/>
              </w:rPr>
            </w:pPr>
            <w:r>
              <w:rPr>
                <w:color w:val="000000" w:themeColor="text1"/>
              </w:rPr>
              <w:t>D</w:t>
            </w:r>
            <w:r w:rsidR="00AB7E90" w:rsidRPr="00AB7E90">
              <w:rPr>
                <w:color w:val="000000" w:themeColor="text1"/>
              </w:rPr>
              <w:t>o differences in the diagnostic performance of TCD</w:t>
            </w:r>
            <w:r w:rsidR="000A73D3">
              <w:rPr>
                <w:color w:val="000000" w:themeColor="text1"/>
              </w:rPr>
              <w:t>/TCCD</w:t>
            </w:r>
            <w:r w:rsidR="00AB7E90" w:rsidRPr="00AB7E90">
              <w:rPr>
                <w:color w:val="000000" w:themeColor="text1"/>
              </w:rPr>
              <w:t xml:space="preserve"> bubble testing and TTE with bubble contrast translate into differences in treatment selection (e.g. PFO closure or medical management) and subsequent health outcomes?</w:t>
            </w:r>
          </w:p>
          <w:p w14:paraId="0BF31269" w14:textId="1046E05F" w:rsidR="00E93C0E" w:rsidRDefault="00E93C0E" w:rsidP="00A42538">
            <w:pPr>
              <w:pStyle w:val="TableText0"/>
              <w:numPr>
                <w:ilvl w:val="0"/>
                <w:numId w:val="35"/>
              </w:numPr>
              <w:ind w:left="369" w:hanging="369"/>
              <w:rPr>
                <w:color w:val="000000" w:themeColor="text1"/>
              </w:rPr>
            </w:pPr>
            <w:r>
              <w:rPr>
                <w:color w:val="000000" w:themeColor="text1"/>
              </w:rPr>
              <w:t xml:space="preserve">a) </w:t>
            </w:r>
            <w:r w:rsidRPr="0016030D">
              <w:rPr>
                <w:color w:val="000000" w:themeColor="text1"/>
              </w:rPr>
              <w:t>What are the direct harms associated with TCD</w:t>
            </w:r>
            <w:r w:rsidR="000A73D3">
              <w:rPr>
                <w:color w:val="000000" w:themeColor="text1"/>
              </w:rPr>
              <w:t>/TCCD</w:t>
            </w:r>
            <w:r w:rsidRPr="0016030D">
              <w:rPr>
                <w:color w:val="000000" w:themeColor="text1"/>
              </w:rPr>
              <w:t xml:space="preserve"> bubble testing compared with TTE with bubble contrast?</w:t>
            </w:r>
          </w:p>
          <w:p w14:paraId="5F696813" w14:textId="64C16C69" w:rsidR="00A42538" w:rsidRDefault="00A42538" w:rsidP="00A42538">
            <w:pPr>
              <w:pStyle w:val="TableText0"/>
              <w:ind w:left="369"/>
              <w:rPr>
                <w:color w:val="000000" w:themeColor="text1"/>
              </w:rPr>
            </w:pPr>
            <w:r>
              <w:rPr>
                <w:color w:val="000000" w:themeColor="text1"/>
              </w:rPr>
              <w:t xml:space="preserve">b) </w:t>
            </w:r>
            <w:r w:rsidRPr="0016030D">
              <w:rPr>
                <w:color w:val="000000" w:themeColor="text1"/>
              </w:rPr>
              <w:t>What are the indirect harms</w:t>
            </w:r>
            <w:r w:rsidR="00AD28A9">
              <w:rPr>
                <w:color w:val="000000" w:themeColor="text1"/>
              </w:rPr>
              <w:t xml:space="preserve"> </w:t>
            </w:r>
            <w:r w:rsidR="00A17ABE">
              <w:rPr>
                <w:color w:val="000000" w:themeColor="text1"/>
              </w:rPr>
              <w:t>associated with</w:t>
            </w:r>
            <w:r w:rsidR="00AD28A9">
              <w:rPr>
                <w:color w:val="000000" w:themeColor="text1"/>
              </w:rPr>
              <w:t xml:space="preserve"> </w:t>
            </w:r>
            <w:r w:rsidR="00A17ABE">
              <w:rPr>
                <w:color w:val="000000" w:themeColor="text1"/>
              </w:rPr>
              <w:t>FP and FN results</w:t>
            </w:r>
            <w:r w:rsidRPr="0016030D">
              <w:rPr>
                <w:color w:val="000000" w:themeColor="text1"/>
              </w:rPr>
              <w:t>?</w:t>
            </w:r>
          </w:p>
          <w:p w14:paraId="57DB6A47" w14:textId="6F1AA6B6" w:rsidR="0016030D" w:rsidRDefault="00E93C0E" w:rsidP="00A42538">
            <w:pPr>
              <w:pStyle w:val="TableText0"/>
              <w:numPr>
                <w:ilvl w:val="0"/>
                <w:numId w:val="35"/>
              </w:numPr>
              <w:ind w:left="369" w:hanging="369"/>
              <w:rPr>
                <w:color w:val="000000" w:themeColor="text1"/>
              </w:rPr>
            </w:pPr>
            <w:r w:rsidRPr="0016030D">
              <w:rPr>
                <w:color w:val="000000" w:themeColor="text1"/>
              </w:rPr>
              <w:lastRenderedPageBreak/>
              <w:t>What are the harms associated with definitive</w:t>
            </w:r>
            <w:r w:rsidR="00755253">
              <w:rPr>
                <w:color w:val="000000" w:themeColor="text1"/>
              </w:rPr>
              <w:t>, semi-invasive</w:t>
            </w:r>
            <w:r w:rsidRPr="0016030D">
              <w:rPr>
                <w:color w:val="000000" w:themeColor="text1"/>
              </w:rPr>
              <w:t xml:space="preserve"> TOE with bubble contrast</w:t>
            </w:r>
            <w:r w:rsidR="00CE0C0A" w:rsidRPr="003A3932">
              <w:rPr>
                <w:color w:val="000000" w:themeColor="text1"/>
              </w:rPr>
              <w:t>, and do differences in the TCD</w:t>
            </w:r>
            <w:r w:rsidR="00CE0C0A">
              <w:rPr>
                <w:color w:val="000000" w:themeColor="text1"/>
              </w:rPr>
              <w:t>/TCCD</w:t>
            </w:r>
            <w:r w:rsidR="00CE0C0A" w:rsidRPr="003A3932">
              <w:rPr>
                <w:color w:val="000000" w:themeColor="text1"/>
              </w:rPr>
              <w:t xml:space="preserve"> and TTE diagnostic pathways result in differences in exposure to these harms</w:t>
            </w:r>
            <w:r w:rsidRPr="0016030D">
              <w:rPr>
                <w:color w:val="000000" w:themeColor="text1"/>
              </w:rPr>
              <w:t>?</w:t>
            </w:r>
          </w:p>
          <w:p w14:paraId="3FDC1155" w14:textId="2E7D3E67" w:rsidR="003A3932" w:rsidRPr="00A42538" w:rsidRDefault="003A3932" w:rsidP="00A42538">
            <w:pPr>
              <w:pStyle w:val="TableText0"/>
              <w:numPr>
                <w:ilvl w:val="0"/>
                <w:numId w:val="35"/>
              </w:numPr>
              <w:ind w:left="369" w:hanging="369"/>
              <w:rPr>
                <w:color w:val="000000" w:themeColor="text1"/>
              </w:rPr>
            </w:pPr>
            <w:r w:rsidRPr="003A3932">
              <w:rPr>
                <w:color w:val="000000" w:themeColor="text1"/>
              </w:rPr>
              <w:t>What are the harms associated with subsequent treatment (e.g. PFO closure or medical management), and do differences in the TCD</w:t>
            </w:r>
            <w:r w:rsidR="000A73D3">
              <w:rPr>
                <w:color w:val="000000" w:themeColor="text1"/>
              </w:rPr>
              <w:t>/TCCD</w:t>
            </w:r>
            <w:r w:rsidRPr="003A3932">
              <w:rPr>
                <w:color w:val="000000" w:themeColor="text1"/>
              </w:rPr>
              <w:t xml:space="preserve"> and TTE diagnostic pathways result in differences in exposure to these harms?</w:t>
            </w:r>
          </w:p>
        </w:tc>
      </w:tr>
      <w:bookmarkEnd w:id="0"/>
      <w:bookmarkEnd w:id="1"/>
    </w:tbl>
    <w:p w14:paraId="5D5376EF" w14:textId="13BDF1B6" w:rsidR="006478E7" w:rsidRPr="00490FBB" w:rsidRDefault="006478E7" w:rsidP="00E01349">
      <w:r w:rsidRPr="00490FBB">
        <w:lastRenderedPageBreak/>
        <w:br w:type="page"/>
      </w:r>
    </w:p>
    <w:p w14:paraId="53297713" w14:textId="19E68EB0" w:rsidR="00912660" w:rsidRDefault="00912660" w:rsidP="00E81809">
      <w:pPr>
        <w:pStyle w:val="Heading2"/>
      </w:pPr>
      <w:r>
        <w:lastRenderedPageBreak/>
        <w:t>Purpose of application</w:t>
      </w:r>
    </w:p>
    <w:p w14:paraId="0E65AD1B" w14:textId="23518D83" w:rsidR="004C2C5E" w:rsidRPr="009A3778" w:rsidRDefault="004C2C5E" w:rsidP="004C2C5E">
      <w:pPr>
        <w:spacing w:after="240"/>
        <w:rPr>
          <w:iCs/>
        </w:rPr>
      </w:pPr>
      <w:r w:rsidRPr="009A3778">
        <w:rPr>
          <w:iCs/>
        </w:rPr>
        <w:t xml:space="preserve">An application </w:t>
      </w:r>
      <w:r w:rsidRPr="000D25D4">
        <w:rPr>
          <w:iCs/>
        </w:rPr>
        <w:t>requesting Medicare Benefits Schedule (MBS) listing of</w:t>
      </w:r>
      <w:r w:rsidRPr="009A3778">
        <w:rPr>
          <w:iCs/>
        </w:rPr>
        <w:t xml:space="preserve"> transcranial </w:t>
      </w:r>
      <w:r w:rsidR="00751D4B">
        <w:rPr>
          <w:iCs/>
        </w:rPr>
        <w:t xml:space="preserve">Doppler </w:t>
      </w:r>
      <w:r w:rsidR="001049BE">
        <w:rPr>
          <w:iCs/>
        </w:rPr>
        <w:t xml:space="preserve">(TCD) </w:t>
      </w:r>
      <w:r w:rsidR="00751D4B">
        <w:rPr>
          <w:iCs/>
        </w:rPr>
        <w:t xml:space="preserve">bubble test </w:t>
      </w:r>
      <w:r w:rsidRPr="009A3778">
        <w:rPr>
          <w:iCs/>
        </w:rPr>
        <w:t xml:space="preserve">for </w:t>
      </w:r>
      <w:r w:rsidR="00751D4B">
        <w:rPr>
          <w:iCs/>
        </w:rPr>
        <w:t xml:space="preserve">patent </w:t>
      </w:r>
      <w:r w:rsidR="00640FEB">
        <w:rPr>
          <w:iCs/>
        </w:rPr>
        <w:t xml:space="preserve">foramen </w:t>
      </w:r>
      <w:proofErr w:type="spellStart"/>
      <w:r w:rsidR="00640FEB">
        <w:rPr>
          <w:iCs/>
        </w:rPr>
        <w:t>ovale</w:t>
      </w:r>
      <w:proofErr w:type="spellEnd"/>
      <w:r w:rsidR="007164E7">
        <w:rPr>
          <w:iCs/>
        </w:rPr>
        <w:t xml:space="preserve"> (PFO)</w:t>
      </w:r>
      <w:r w:rsidR="00640FEB">
        <w:rPr>
          <w:iCs/>
        </w:rPr>
        <w:t xml:space="preserve"> </w:t>
      </w:r>
      <w:r w:rsidRPr="009A3778">
        <w:rPr>
          <w:iCs/>
        </w:rPr>
        <w:t xml:space="preserve">was received from the </w:t>
      </w:r>
      <w:r w:rsidR="0082454C" w:rsidRPr="0082454C">
        <w:rPr>
          <w:iCs/>
        </w:rPr>
        <w:t>Australian and New Zealand Stroke Organisation Ltd</w:t>
      </w:r>
      <w:r w:rsidRPr="009A3778">
        <w:rPr>
          <w:iCs/>
        </w:rPr>
        <w:t xml:space="preserve"> by the </w:t>
      </w:r>
      <w:r w:rsidR="00015CD5" w:rsidRPr="0082454C">
        <w:rPr>
          <w:iCs/>
        </w:rPr>
        <w:t>Department of Health</w:t>
      </w:r>
      <w:r w:rsidR="0082454C" w:rsidRPr="0082454C">
        <w:rPr>
          <w:iCs/>
        </w:rPr>
        <w:t>, Disability and Ageing</w:t>
      </w:r>
      <w:r w:rsidRPr="009A3778">
        <w:rPr>
          <w:iCs/>
        </w:rPr>
        <w:t>.</w:t>
      </w:r>
    </w:p>
    <w:p w14:paraId="18E66948" w14:textId="19E568D3" w:rsidR="00D73332" w:rsidRPr="00FD4C65" w:rsidRDefault="00D73332" w:rsidP="00FD4C65">
      <w:pPr>
        <w:pStyle w:val="Heading2"/>
      </w:pPr>
      <w:r w:rsidRPr="00FD4C65">
        <w:t xml:space="preserve">PICO </w:t>
      </w:r>
      <w:r w:rsidR="00FD4E33" w:rsidRPr="00FD4C65">
        <w:t>criteria</w:t>
      </w:r>
    </w:p>
    <w:p w14:paraId="06B30611" w14:textId="77777777" w:rsidR="007D6B83" w:rsidRDefault="007D6B83" w:rsidP="00E970FD">
      <w:pPr>
        <w:pStyle w:val="Heading3"/>
      </w:pPr>
      <w:r w:rsidRPr="00713728">
        <w:t>Population</w:t>
      </w:r>
    </w:p>
    <w:p w14:paraId="1DB0201A" w14:textId="73573CE8" w:rsidR="00E03B64" w:rsidRDefault="00E03B64" w:rsidP="00E03B64">
      <w:r>
        <w:t xml:space="preserve">The proposed population consists of </w:t>
      </w:r>
      <w:r>
        <w:rPr>
          <w:color w:val="000000" w:themeColor="text1"/>
        </w:rPr>
        <w:t>individual</w:t>
      </w:r>
      <w:r w:rsidRPr="000446FC">
        <w:rPr>
          <w:color w:val="000000" w:themeColor="text1"/>
        </w:rPr>
        <w:t>s</w:t>
      </w:r>
      <w:r w:rsidRPr="00EC0D3E">
        <w:t xml:space="preserve"> with </w:t>
      </w:r>
      <w:r>
        <w:t xml:space="preserve">a </w:t>
      </w:r>
      <w:r w:rsidRPr="00EC0D3E">
        <w:t>prior cryptogenic isch</w:t>
      </w:r>
      <w:r>
        <w:t>a</w:t>
      </w:r>
      <w:r w:rsidRPr="00EC0D3E">
        <w:t xml:space="preserve">emic stroke </w:t>
      </w:r>
      <w:r w:rsidR="00041DFB">
        <w:t>or embolic stroke of undetermined source (ESUS)</w:t>
      </w:r>
      <w:r w:rsidRPr="00EC0D3E">
        <w:t xml:space="preserve"> </w:t>
      </w:r>
      <w:r>
        <w:t xml:space="preserve">who are </w:t>
      </w:r>
      <w:r w:rsidRPr="00EC0D3E">
        <w:t>undergoing evaluation for a potential PFO</w:t>
      </w:r>
      <w:r>
        <w:t xml:space="preserve"> as an underlying cause.</w:t>
      </w:r>
    </w:p>
    <w:p w14:paraId="0AAC071A" w14:textId="77777777" w:rsidR="00772702" w:rsidRDefault="00772702" w:rsidP="00772702">
      <w:r>
        <w:t xml:space="preserve">Ischaemic stroke refers to cerebral infarction resulting from interruption of blood flow to the brain. Embolic stroke is a subtype of ischaemic stroke caused by thrombotic material travelling from elsewhere in the circulation and lodging within a cerebral artery. Investigation for PFO is primarily relevant in patients with a suspected embolic stroke mechanism, as a PFO </w:t>
      </w:r>
      <w:r w:rsidRPr="004F4174">
        <w:t>may permit paradoxical embolism, whereby a venous thrombus passes from the right atrium to the left atrium through the PFO and subsequently enters the arterial circulation, potentially causing cerebral infarction</w:t>
      </w:r>
      <w:r>
        <w:t>.</w:t>
      </w:r>
    </w:p>
    <w:p w14:paraId="0DE9312B" w14:textId="3837F6E4" w:rsidR="004F579C" w:rsidRDefault="000F13EE" w:rsidP="0077087B">
      <w:r>
        <w:t>Cryptogenic stroke is defined as cerebral ischaemia that cannot be attributed to large artery atherosclerosis, small vessel disease, or a cardioembolic source despite comprehensive investigation.</w:t>
      </w:r>
      <w:r w:rsidR="006D4B60">
        <w:t xml:space="preserve"> </w:t>
      </w:r>
      <w:r w:rsidR="00554FCF" w:rsidRPr="00554FCF">
        <w:t>Small vessel disease refers to pathology affecting the small penetrating arteries of the brain and typically results in small, deep infarcts with a lacunar pattern on imaging. Distinguishing small vessel disease from an embolic stroke mechanism is relevant because PFO would not generally be expected to contribute to stroke arising from intrinsic small vessel pathology. However, stroke mechanisms cannot always be determined with certainty</w:t>
      </w:r>
      <w:r w:rsidR="0083558A">
        <w:t>,</w:t>
      </w:r>
      <w:r w:rsidR="00554FCF" w:rsidRPr="00554FCF">
        <w:t xml:space="preserve"> and some infarcts with an apparent lacunar pattern may represent embolic events</w:t>
      </w:r>
      <w:r w:rsidR="002B4681" w:rsidRPr="002B4681">
        <w:t>.</w:t>
      </w:r>
      <w:r w:rsidR="0083558A">
        <w:t xml:space="preserve"> </w:t>
      </w:r>
      <w:r w:rsidR="0083558A" w:rsidRPr="006C478E">
        <w:t xml:space="preserve">While clinical features such as younger age, fewer vascular risk factors, and the absence of an alternative stroke mechanism may increase suspicion of an embolic aetiology, </w:t>
      </w:r>
      <w:r w:rsidR="00F12F0D" w:rsidRPr="00F12F0D">
        <w:t>these characteristics are not sufficiently specific to reliably distinguish embolic stroke from small vessel disease</w:t>
      </w:r>
      <w:r w:rsidR="00970571">
        <w:t xml:space="preserve"> in individual patients</w:t>
      </w:r>
      <w:r w:rsidR="00F12F0D" w:rsidRPr="00F12F0D">
        <w:t>.</w:t>
      </w:r>
    </w:p>
    <w:p w14:paraId="0CC1961E" w14:textId="64F0A835" w:rsidR="00F028A1" w:rsidRDefault="004F579C" w:rsidP="0077087B">
      <w:r w:rsidRPr="004F579C">
        <w:t>The term embolic stroke of undetermined source (ESUS) is commonly used to describe a subset of cryptogenic stroke characterised by a no</w:t>
      </w:r>
      <w:r>
        <w:t>n-</w:t>
      </w:r>
      <w:r w:rsidRPr="004F579C">
        <w:t>lacunar infarct pattern in which standard investigations have not identified a major cardioembolic source, significant atherosclerotic disease supplying the affected vascular territory, or another specific cause of stroke. ESUS is typically identified following brain imaging, vascular imaging, cardiac assessment, and cardiac rhythm monitoring. Although ESUS provides a more standardised framework for classifying stroke mechanism, uncertainty may remain despite comprehensive investigation.</w:t>
      </w:r>
      <w:r>
        <w:t xml:space="preserve"> </w:t>
      </w:r>
      <w:r w:rsidR="00F028A1">
        <w:t xml:space="preserve">The use of </w:t>
      </w:r>
      <w:r w:rsidR="009C5220">
        <w:t>the broader term ‘c</w:t>
      </w:r>
      <w:r w:rsidR="00F028A1">
        <w:t>ryptogenic stroke’</w:t>
      </w:r>
      <w:r w:rsidR="009C5220">
        <w:t>,</w:t>
      </w:r>
      <w:r w:rsidR="00F028A1">
        <w:t xml:space="preserve"> rather than the more restrictive </w:t>
      </w:r>
      <w:r w:rsidR="00C91853">
        <w:t>ESUS</w:t>
      </w:r>
      <w:r w:rsidR="00F028A1">
        <w:t xml:space="preserve"> definition</w:t>
      </w:r>
      <w:r w:rsidR="00F44331">
        <w:t>,</w:t>
      </w:r>
      <w:r w:rsidR="00F028A1">
        <w:t xml:space="preserve"> reflects clinical </w:t>
      </w:r>
      <w:r w:rsidR="00F44331">
        <w:t>practice</w:t>
      </w:r>
      <w:r w:rsidR="00F028A1">
        <w:t xml:space="preserve">, where </w:t>
      </w:r>
      <w:r w:rsidR="00373BBE">
        <w:t>selected</w:t>
      </w:r>
      <w:r w:rsidR="00D96620">
        <w:t xml:space="preserve"> patients with </w:t>
      </w:r>
      <w:r w:rsidR="00F028A1">
        <w:t>lacuna</w:t>
      </w:r>
      <w:r w:rsidR="00F44331">
        <w:t>r-</w:t>
      </w:r>
      <w:r w:rsidR="00F028A1">
        <w:t xml:space="preserve">appearing </w:t>
      </w:r>
      <w:r w:rsidR="00D96620">
        <w:t>infarcts may still be considered for investigation of a possible embolic source, including PFO</w:t>
      </w:r>
      <w:r w:rsidR="00F44331">
        <w:t xml:space="preserve"> (Chambers et al. 2026)</w:t>
      </w:r>
      <w:r w:rsidR="00F028A1">
        <w:t>.</w:t>
      </w:r>
    </w:p>
    <w:p w14:paraId="44786AF4" w14:textId="5BFA2A27" w:rsidR="007D1A13" w:rsidRDefault="00D772AE" w:rsidP="00082104">
      <w:r>
        <w:t>Cryptogenic stroke</w:t>
      </w:r>
      <w:r w:rsidR="00082104">
        <w:t xml:space="preserve"> is estimated to account for approximately 15–30% of all ischaemic strokes (Elgendy et al. 2020). </w:t>
      </w:r>
      <w:r w:rsidR="00FC5C26">
        <w:t xml:space="preserve">According to the Australian and New Zealand consensus statement on the diagnosis and management of PFO for stroke prevention (Chambers et al. 2026), </w:t>
      </w:r>
      <w:r w:rsidR="006771CA">
        <w:t>PFO is over-represented</w:t>
      </w:r>
      <w:r w:rsidR="003C151E">
        <w:t xml:space="preserve"> </w:t>
      </w:r>
      <w:r w:rsidR="00407F3D">
        <w:t>in this population</w:t>
      </w:r>
      <w:r w:rsidR="00AA3C95">
        <w:t xml:space="preserve"> and is implicated </w:t>
      </w:r>
      <w:r w:rsidR="00CD6B4A">
        <w:t>in approximately</w:t>
      </w:r>
      <w:r w:rsidR="00DB444B">
        <w:t xml:space="preserve"> </w:t>
      </w:r>
      <w:r w:rsidR="007D1A13">
        <w:t xml:space="preserve">25–50% of </w:t>
      </w:r>
      <w:r w:rsidR="00BE0035">
        <w:t>cases</w:t>
      </w:r>
      <w:r w:rsidR="00CD6B4A">
        <w:t xml:space="preserve"> </w:t>
      </w:r>
      <w:r w:rsidR="007D1A13">
        <w:t>in individuals aged &lt;60 years.</w:t>
      </w:r>
    </w:p>
    <w:p w14:paraId="31A4036B" w14:textId="1383929A" w:rsidR="00F1704E" w:rsidRDefault="00082104" w:rsidP="00082104">
      <w:r>
        <w:lastRenderedPageBreak/>
        <w:t xml:space="preserve">The population </w:t>
      </w:r>
      <w:r w:rsidR="00704D9D">
        <w:t>most relevant to</w:t>
      </w:r>
      <w:r>
        <w:t xml:space="preserve"> </w:t>
      </w:r>
      <w:r w:rsidR="009F3074">
        <w:t xml:space="preserve">the proposed </w:t>
      </w:r>
      <w:r w:rsidR="00096068">
        <w:t>test</w:t>
      </w:r>
      <w:r>
        <w:t xml:space="preserve"> comprises patients aged </w:t>
      </w:r>
      <w:r w:rsidR="007A276F">
        <w:rPr>
          <w:rFonts w:cs="Calibri"/>
        </w:rPr>
        <w:t>≤</w:t>
      </w:r>
      <w:r>
        <w:t xml:space="preserve">60 years with </w:t>
      </w:r>
      <w:r w:rsidR="00CF2D7A">
        <w:t>cryptogenic</w:t>
      </w:r>
      <w:r>
        <w:t xml:space="preserve"> ischaemic stroke </w:t>
      </w:r>
      <w:r w:rsidR="00D35AD5">
        <w:t xml:space="preserve">and features suggestive of an embolic mechanism, </w:t>
      </w:r>
      <w:r>
        <w:t>in whom standard investigations have not identified an alternative cause</w:t>
      </w:r>
      <w:r w:rsidR="00A126F0">
        <w:t xml:space="preserve"> (Chambers et al. 2026)</w:t>
      </w:r>
      <w:r>
        <w:t xml:space="preserve">. </w:t>
      </w:r>
      <w:r w:rsidR="005D779F" w:rsidRPr="005D779F">
        <w:t>This age group is of particular interest because the likelihood that a PFO is causally related to stroke is generally higher in younger patients, while competing stroke mechanisms such as atrial fibrillation</w:t>
      </w:r>
      <w:r w:rsidR="008C2C21">
        <w:t xml:space="preserve"> (AF)</w:t>
      </w:r>
      <w:r w:rsidR="005D779F" w:rsidRPr="005D779F">
        <w:t xml:space="preserve">, atherosclerotic disease, and small vessel disease become increasingly prevalent with advancing age. </w:t>
      </w:r>
      <w:r w:rsidR="00B26281">
        <w:t xml:space="preserve">In addition, the randomised trials demonstrating clinical benefit from PFO closure predominantly enrolled patients </w:t>
      </w:r>
      <w:r w:rsidR="00B26281" w:rsidRPr="00362FC3">
        <w:t>aged 18–60 years</w:t>
      </w:r>
      <w:r w:rsidR="00B26281">
        <w:t>, and current guideline recommendations are largely based on evidence from this population</w:t>
      </w:r>
      <w:r w:rsidR="00BF6FFC">
        <w:t xml:space="preserve"> (</w:t>
      </w:r>
      <w:r w:rsidR="00C72EBC">
        <w:t xml:space="preserve">Caso et al. 2024; </w:t>
      </w:r>
      <w:proofErr w:type="spellStart"/>
      <w:r w:rsidR="00E30A98">
        <w:t>Kleindorfer</w:t>
      </w:r>
      <w:proofErr w:type="spellEnd"/>
      <w:r w:rsidR="00E30A98">
        <w:t xml:space="preserve"> et al. 2021</w:t>
      </w:r>
      <w:r w:rsidR="009D0803">
        <w:t xml:space="preserve">; </w:t>
      </w:r>
      <w:r w:rsidR="00D676B4">
        <w:t xml:space="preserve">Kavinsky et al. </w:t>
      </w:r>
      <w:r w:rsidR="00B11C25">
        <w:t>2022</w:t>
      </w:r>
      <w:r w:rsidR="00BF6FFC">
        <w:t>)</w:t>
      </w:r>
      <w:r w:rsidR="00B26281">
        <w:t xml:space="preserve">. Standard </w:t>
      </w:r>
      <w:r>
        <w:t xml:space="preserve">investigations typically include brain imaging (e.g. MRI), vascular imaging to exclude extracranial and intracranial stenosis, cardiac rhythm monitoring to exclude </w:t>
      </w:r>
      <w:r w:rsidR="0089693E">
        <w:t>AF</w:t>
      </w:r>
      <w:r>
        <w:t xml:space="preserve">, and </w:t>
      </w:r>
      <w:r w:rsidR="00506467">
        <w:t>appropriate laboratory testing</w:t>
      </w:r>
      <w:r>
        <w:t xml:space="preserve">. </w:t>
      </w:r>
      <w:r w:rsidR="00466541">
        <w:t>Evidence supports t</w:t>
      </w:r>
      <w:r w:rsidR="00506467">
        <w:t xml:space="preserve">he benefit of PFO closure </w:t>
      </w:r>
      <w:r w:rsidR="00466541">
        <w:t>in reducing</w:t>
      </w:r>
      <w:r w:rsidR="00960B9C">
        <w:t xml:space="preserve"> recurrent embolic events </w:t>
      </w:r>
      <w:r w:rsidR="00506467">
        <w:t>in</w:t>
      </w:r>
      <w:r w:rsidR="00DA3875">
        <w:t xml:space="preserve"> </w:t>
      </w:r>
      <w:r w:rsidR="00253FFC">
        <w:t xml:space="preserve">selected </w:t>
      </w:r>
      <w:r w:rsidR="00362FC3" w:rsidRPr="00362FC3">
        <w:t>patients aged 18–60 years</w:t>
      </w:r>
      <w:r w:rsidR="00B2006F">
        <w:t xml:space="preserve"> with cryptogenic stroke and </w:t>
      </w:r>
      <w:r w:rsidR="000046FE">
        <w:t xml:space="preserve">findings </w:t>
      </w:r>
      <w:r w:rsidR="00A154D0">
        <w:t>suggestive</w:t>
      </w:r>
      <w:r w:rsidR="00B41265">
        <w:t xml:space="preserve"> of </w:t>
      </w:r>
      <w:r w:rsidR="007A0CBF">
        <w:t>a PFO-mediated stroke mechanism</w:t>
      </w:r>
      <w:r w:rsidR="00AF70C0">
        <w:t>, particularly where high-risk PFO characteristics are present</w:t>
      </w:r>
      <w:r w:rsidR="00924E25">
        <w:t xml:space="preserve"> (</w:t>
      </w:r>
      <w:r w:rsidR="005840C7">
        <w:t xml:space="preserve">Caso et al. 2024; </w:t>
      </w:r>
      <w:r w:rsidR="00924E25">
        <w:t>Chambers et al. 2026)</w:t>
      </w:r>
      <w:r w:rsidR="00DA3875">
        <w:t>.</w:t>
      </w:r>
    </w:p>
    <w:p w14:paraId="00E19514" w14:textId="4E495486" w:rsidR="00082104" w:rsidRDefault="00082104" w:rsidP="00695C92">
      <w:r>
        <w:t xml:space="preserve">Selected older patients may also be considered </w:t>
      </w:r>
      <w:r w:rsidR="00314B9B">
        <w:t xml:space="preserve">for the proposed </w:t>
      </w:r>
      <w:r w:rsidR="00AF70C0">
        <w:t>test</w:t>
      </w:r>
      <w:r w:rsidR="00203C94">
        <w:t xml:space="preserve">, particularly </w:t>
      </w:r>
      <w:r w:rsidR="00EC486B">
        <w:t xml:space="preserve">those </w:t>
      </w:r>
      <w:r w:rsidR="00203C94">
        <w:t>in the</w:t>
      </w:r>
      <w:r w:rsidR="00EC486B">
        <w:t>ir</w:t>
      </w:r>
      <w:r w:rsidR="00203C94">
        <w:t xml:space="preserve"> early 60s</w:t>
      </w:r>
      <w:r w:rsidR="00EC486B">
        <w:t>, recognising</w:t>
      </w:r>
      <w:r w:rsidR="00203C94">
        <w:t xml:space="preserve"> </w:t>
      </w:r>
      <w:r w:rsidR="00EC486B">
        <w:t>that</w:t>
      </w:r>
      <w:r w:rsidR="00203C94">
        <w:t xml:space="preserve"> the 60-year threshold </w:t>
      </w:r>
      <w:r w:rsidR="00F33C46">
        <w:t>is somewhat</w:t>
      </w:r>
      <w:r w:rsidR="00203C94">
        <w:t xml:space="preserve"> arbitrary</w:t>
      </w:r>
      <w:r w:rsidR="00756FBF">
        <w:t xml:space="preserve">. </w:t>
      </w:r>
      <w:r w:rsidR="00695C92">
        <w:t xml:space="preserve">A </w:t>
      </w:r>
      <w:r w:rsidR="00F33C46">
        <w:t>more</w:t>
      </w:r>
      <w:r w:rsidR="00695C92">
        <w:t xml:space="preserve"> selective </w:t>
      </w:r>
      <w:r w:rsidR="00F33C46">
        <w:t xml:space="preserve">approach to </w:t>
      </w:r>
      <w:r w:rsidR="0018735E">
        <w:t xml:space="preserve">PFO screening </w:t>
      </w:r>
      <w:r w:rsidR="0063184B">
        <w:t>has been</w:t>
      </w:r>
      <w:r w:rsidR="00695C92">
        <w:t xml:space="preserve"> </w:t>
      </w:r>
      <w:r w:rsidR="00F33C46">
        <w:t>recommended</w:t>
      </w:r>
      <w:r w:rsidR="00695C92">
        <w:t xml:space="preserve"> </w:t>
      </w:r>
      <w:r w:rsidR="00F33C46">
        <w:t>in this group</w:t>
      </w:r>
      <w:r w:rsidR="00695C92">
        <w:t xml:space="preserve">, focusing on individuals with </w:t>
      </w:r>
      <w:r w:rsidR="00F33C46">
        <w:t>features</w:t>
      </w:r>
      <w:r w:rsidR="0056143D">
        <w:t xml:space="preserve"> </w:t>
      </w:r>
      <w:r w:rsidR="00250448">
        <w:t>consistent with</w:t>
      </w:r>
      <w:r w:rsidR="0056143D">
        <w:t xml:space="preserve"> ESUS</w:t>
      </w:r>
      <w:r w:rsidR="00DB493B">
        <w:t>,</w:t>
      </w:r>
      <w:r w:rsidR="00A51C43">
        <w:t xml:space="preserve"> </w:t>
      </w:r>
      <w:r w:rsidR="00A51C43" w:rsidRPr="00A51C43">
        <w:t>such as a no</w:t>
      </w:r>
      <w:r w:rsidR="00A51C43">
        <w:t>n-</w:t>
      </w:r>
      <w:r w:rsidR="00A51C43" w:rsidRPr="00A51C43">
        <w:t>lacunar infarct pattern on brain imaging and the absence of an identified stroke source despite comprehensive investigation</w:t>
      </w:r>
      <w:r w:rsidR="00F33C46">
        <w:t>,</w:t>
      </w:r>
      <w:r w:rsidR="00695C92">
        <w:t xml:space="preserve"> </w:t>
      </w:r>
      <w:r w:rsidR="00A51C43">
        <w:t xml:space="preserve">together with </w:t>
      </w:r>
      <w:r w:rsidR="00F33C46">
        <w:t>minimal</w:t>
      </w:r>
      <w:r w:rsidR="00695C92">
        <w:t xml:space="preserve"> </w:t>
      </w:r>
      <w:r w:rsidR="00C206D8">
        <w:t xml:space="preserve">conventional </w:t>
      </w:r>
      <w:r w:rsidR="00695C92">
        <w:t>vascular risk factors</w:t>
      </w:r>
      <w:r w:rsidR="00012A9C">
        <w:t xml:space="preserve"> </w:t>
      </w:r>
      <w:r w:rsidR="00012A9C" w:rsidRPr="00012A9C">
        <w:t>(e.g. little or no history of hypertension, diabetes mellitus, hyperlipidaemia, smoking, or established atherosclerotic cardiovascular disease)</w:t>
      </w:r>
      <w:r w:rsidR="00695C92">
        <w:t xml:space="preserve"> and </w:t>
      </w:r>
      <w:r w:rsidR="00E27DE2">
        <w:t>no</w:t>
      </w:r>
      <w:r w:rsidR="00695C92">
        <w:t xml:space="preserve"> </w:t>
      </w:r>
      <w:r w:rsidR="00A923A6">
        <w:t>AF</w:t>
      </w:r>
      <w:r w:rsidR="00E27DE2">
        <w:t xml:space="preserve"> detected on prolonged monitoring (Chambers et al. 2026)</w:t>
      </w:r>
      <w:r w:rsidR="00695C92">
        <w:t xml:space="preserve">. This </w:t>
      </w:r>
      <w:r w:rsidR="00A923A6">
        <w:t xml:space="preserve">approach </w:t>
      </w:r>
      <w:r w:rsidR="00695C92">
        <w:t>reflects the decreas</w:t>
      </w:r>
      <w:r w:rsidR="00A923A6">
        <w:t>ing</w:t>
      </w:r>
      <w:r w:rsidR="00695C92">
        <w:t xml:space="preserve"> likelihood </w:t>
      </w:r>
      <w:r w:rsidR="00407347">
        <w:t>that a</w:t>
      </w:r>
      <w:r w:rsidR="00695C92">
        <w:t xml:space="preserve"> PFO </w:t>
      </w:r>
      <w:r w:rsidR="00407347">
        <w:t xml:space="preserve">is </w:t>
      </w:r>
      <w:r w:rsidR="00695C92">
        <w:t>causal</w:t>
      </w:r>
      <w:r w:rsidR="00407347">
        <w:t>l</w:t>
      </w:r>
      <w:r w:rsidR="00695C92">
        <w:t xml:space="preserve">y </w:t>
      </w:r>
      <w:r w:rsidR="001171D3">
        <w:t xml:space="preserve">related to stroke </w:t>
      </w:r>
      <w:r w:rsidR="00695C92">
        <w:t>with advancing age</w:t>
      </w:r>
      <w:r w:rsidR="001171D3">
        <w:t>, as well as</w:t>
      </w:r>
      <w:r w:rsidR="00695C92">
        <w:t xml:space="preserve"> </w:t>
      </w:r>
      <w:r w:rsidR="00A923A6">
        <w:t xml:space="preserve">the increasing prevalence of </w:t>
      </w:r>
      <w:r w:rsidR="00695C92">
        <w:t xml:space="preserve">competing stroke mechanisms, while </w:t>
      </w:r>
      <w:r w:rsidR="00A923A6">
        <w:t>acknowledging</w:t>
      </w:r>
      <w:r w:rsidR="00695C92">
        <w:t xml:space="preserve"> that some older patients may still </w:t>
      </w:r>
      <w:r w:rsidR="00A923A6">
        <w:t xml:space="preserve">derive </w:t>
      </w:r>
      <w:r w:rsidR="00695C92">
        <w:t>benefit from evaluation</w:t>
      </w:r>
      <w:r>
        <w:t>.</w:t>
      </w:r>
    </w:p>
    <w:p w14:paraId="23F8EB21" w14:textId="2F3993B7" w:rsidR="00852746" w:rsidRDefault="00852746" w:rsidP="00695C92">
      <w:r w:rsidRPr="00117061">
        <w:rPr>
          <w:rFonts w:asciiTheme="minorHAnsi" w:hAnsiTheme="minorHAnsi" w:cstheme="minorHAnsi"/>
          <w:i/>
          <w:iCs/>
        </w:rPr>
        <w:t xml:space="preserve">PASC considered the proposed population to be appropriate. PASC noted that ESUS is a </w:t>
      </w:r>
      <w:r>
        <w:rPr>
          <w:rFonts w:asciiTheme="minorHAnsi" w:hAnsiTheme="minorHAnsi" w:cstheme="minorHAnsi"/>
          <w:i/>
          <w:iCs/>
        </w:rPr>
        <w:t xml:space="preserve">subgroup </w:t>
      </w:r>
      <w:r w:rsidRPr="00117061">
        <w:rPr>
          <w:rFonts w:asciiTheme="minorHAnsi" w:hAnsiTheme="minorHAnsi" w:cstheme="minorHAnsi"/>
          <w:i/>
          <w:iCs/>
        </w:rPr>
        <w:t>of cryptogenic stroke</w:t>
      </w:r>
      <w:r>
        <w:rPr>
          <w:rFonts w:asciiTheme="minorHAnsi" w:hAnsiTheme="minorHAnsi" w:cstheme="minorHAnsi"/>
          <w:i/>
          <w:iCs/>
        </w:rPr>
        <w:t xml:space="preserve"> characterised by a non-lacunar brain infarct in the absence of proximal arterial stenosis or a major cardioembolic source</w:t>
      </w:r>
      <w:r w:rsidRPr="00117061">
        <w:rPr>
          <w:rFonts w:asciiTheme="minorHAnsi" w:hAnsiTheme="minorHAnsi" w:cstheme="minorHAnsi"/>
          <w:i/>
          <w:iCs/>
        </w:rPr>
        <w:t xml:space="preserve">. </w:t>
      </w:r>
      <w:r>
        <w:rPr>
          <w:rFonts w:asciiTheme="minorHAnsi" w:hAnsiTheme="minorHAnsi" w:cstheme="minorHAnsi"/>
          <w:i/>
          <w:iCs/>
        </w:rPr>
        <w:t xml:space="preserve">PASC also noted that not all cryptogenic strokes are necessarily embolic and that restricting the population to ESUS may exclude some clinically relevant patients. Therefore, </w:t>
      </w:r>
      <w:r w:rsidRPr="00117061">
        <w:rPr>
          <w:rFonts w:asciiTheme="minorHAnsi" w:hAnsiTheme="minorHAnsi" w:cstheme="minorHAnsi"/>
          <w:i/>
          <w:iCs/>
        </w:rPr>
        <w:t xml:space="preserve">PASC supported </w:t>
      </w:r>
      <w:r>
        <w:rPr>
          <w:rFonts w:asciiTheme="minorHAnsi" w:hAnsiTheme="minorHAnsi" w:cstheme="minorHAnsi"/>
          <w:i/>
          <w:iCs/>
        </w:rPr>
        <w:t xml:space="preserve">inclusion of </w:t>
      </w:r>
      <w:r w:rsidRPr="00117061">
        <w:rPr>
          <w:rFonts w:asciiTheme="minorHAnsi" w:hAnsiTheme="minorHAnsi" w:cstheme="minorHAnsi"/>
          <w:i/>
          <w:iCs/>
        </w:rPr>
        <w:t xml:space="preserve">the broader cryptogenic stroke population, rather than </w:t>
      </w:r>
      <w:r>
        <w:rPr>
          <w:rFonts w:asciiTheme="minorHAnsi" w:hAnsiTheme="minorHAnsi" w:cstheme="minorHAnsi"/>
          <w:i/>
          <w:iCs/>
        </w:rPr>
        <w:t>limiting</w:t>
      </w:r>
      <w:r w:rsidRPr="00117061">
        <w:rPr>
          <w:rFonts w:asciiTheme="minorHAnsi" w:hAnsiTheme="minorHAnsi" w:cstheme="minorHAnsi"/>
          <w:i/>
          <w:iCs/>
        </w:rPr>
        <w:t xml:space="preserve"> </w:t>
      </w:r>
      <w:r>
        <w:rPr>
          <w:rFonts w:asciiTheme="minorHAnsi" w:hAnsiTheme="minorHAnsi" w:cstheme="minorHAnsi"/>
          <w:i/>
          <w:iCs/>
        </w:rPr>
        <w:t xml:space="preserve">the population </w:t>
      </w:r>
      <w:r w:rsidRPr="00117061">
        <w:rPr>
          <w:rFonts w:asciiTheme="minorHAnsi" w:hAnsiTheme="minorHAnsi" w:cstheme="minorHAnsi"/>
          <w:i/>
          <w:iCs/>
        </w:rPr>
        <w:t xml:space="preserve">to ESUS, to </w:t>
      </w:r>
      <w:r>
        <w:rPr>
          <w:rFonts w:asciiTheme="minorHAnsi" w:hAnsiTheme="minorHAnsi" w:cstheme="minorHAnsi"/>
          <w:i/>
          <w:iCs/>
        </w:rPr>
        <w:t>avoid excluding patients in whom an embolic mechanism remains possible, as well as</w:t>
      </w:r>
      <w:r w:rsidRPr="00117061">
        <w:rPr>
          <w:rFonts w:asciiTheme="minorHAnsi" w:hAnsiTheme="minorHAnsi" w:cstheme="minorHAnsi"/>
          <w:i/>
          <w:iCs/>
        </w:rPr>
        <w:t xml:space="preserve"> younger patients with lacunar </w:t>
      </w:r>
      <w:r>
        <w:rPr>
          <w:rFonts w:asciiTheme="minorHAnsi" w:hAnsiTheme="minorHAnsi" w:cstheme="minorHAnsi"/>
          <w:i/>
          <w:iCs/>
        </w:rPr>
        <w:t>infarction that may have been attributed to small vessel disease but for whom the underlying aetiology remains uncertain</w:t>
      </w:r>
      <w:r w:rsidRPr="00117061">
        <w:rPr>
          <w:rFonts w:asciiTheme="minorHAnsi" w:hAnsiTheme="minorHAnsi" w:cstheme="minorHAnsi"/>
          <w:i/>
          <w:iCs/>
        </w:rPr>
        <w:t>.</w:t>
      </w:r>
    </w:p>
    <w:p w14:paraId="58D01057" w14:textId="0165AFB7" w:rsidR="00D8620D" w:rsidRDefault="00D8620D" w:rsidP="00163319">
      <w:pPr>
        <w:pStyle w:val="Heading4"/>
      </w:pPr>
      <w:r>
        <w:t>PF</w:t>
      </w:r>
      <w:r w:rsidR="00D553F5">
        <w:t>O-</w:t>
      </w:r>
      <w:r>
        <w:t>associated stroke</w:t>
      </w:r>
    </w:p>
    <w:p w14:paraId="46E4ED1C" w14:textId="5CE587AE" w:rsidR="00C6723F" w:rsidRDefault="00D8620D" w:rsidP="00D8620D">
      <w:r>
        <w:t xml:space="preserve">A PFO is a persistent interatrial communication </w:t>
      </w:r>
      <w:r w:rsidR="00423B9B">
        <w:t>resulting from</w:t>
      </w:r>
      <w:r>
        <w:t xml:space="preserve"> incomplete </w:t>
      </w:r>
      <w:r w:rsidR="00326179">
        <w:t xml:space="preserve">postnatal </w:t>
      </w:r>
      <w:r>
        <w:t xml:space="preserve">closure of the foramen </w:t>
      </w:r>
      <w:proofErr w:type="spellStart"/>
      <w:r>
        <w:t>ovale</w:t>
      </w:r>
      <w:proofErr w:type="spellEnd"/>
      <w:r>
        <w:t xml:space="preserve">, </w:t>
      </w:r>
      <w:r w:rsidR="005A0087">
        <w:t xml:space="preserve">and is </w:t>
      </w:r>
      <w:r>
        <w:t xml:space="preserve">present in approximately 25% of the general </w:t>
      </w:r>
      <w:r w:rsidR="008F3137">
        <w:t xml:space="preserve">adult </w:t>
      </w:r>
      <w:r>
        <w:t>population (</w:t>
      </w:r>
      <w:r w:rsidR="007B0227">
        <w:t xml:space="preserve">Hagen et al. </w:t>
      </w:r>
      <w:r w:rsidR="008E7AD7">
        <w:t>1984</w:t>
      </w:r>
      <w:r w:rsidR="004E689E">
        <w:t>; Meissner et al. 1999</w:t>
      </w:r>
      <w:r>
        <w:t xml:space="preserve">). </w:t>
      </w:r>
      <w:r w:rsidR="004C254B">
        <w:t>While</w:t>
      </w:r>
      <w:r w:rsidR="00073505">
        <w:t xml:space="preserve"> </w:t>
      </w:r>
      <w:r w:rsidR="005A0087">
        <w:t>typically</w:t>
      </w:r>
      <w:r>
        <w:t xml:space="preserve"> asymptomatic, </w:t>
      </w:r>
      <w:r w:rsidR="00073505">
        <w:t xml:space="preserve">a PFO may </w:t>
      </w:r>
      <w:r w:rsidR="00FE0B20">
        <w:t>permit</w:t>
      </w:r>
      <w:r>
        <w:t xml:space="preserve"> </w:t>
      </w:r>
      <w:r w:rsidR="0078748B">
        <w:t>right-to-left shunting</w:t>
      </w:r>
      <w:r w:rsidR="001E7E96">
        <w:t xml:space="preserve"> </w:t>
      </w:r>
      <w:r w:rsidR="001E7E96" w:rsidRPr="001E7E96">
        <w:t>under conditions where right atrial pressure transiently exceeds left atrial pressure</w:t>
      </w:r>
      <w:r w:rsidR="001E7E96">
        <w:t>. This can</w:t>
      </w:r>
      <w:r w:rsidR="0078748B">
        <w:t xml:space="preserve"> allow a thrombus originating in the venous </w:t>
      </w:r>
      <w:r w:rsidR="00012861">
        <w:t>circulation to bypass the pulmonary circulation and enter the arterial circulation (</w:t>
      </w:r>
      <w:r>
        <w:t>paradoxical embolism</w:t>
      </w:r>
      <w:r w:rsidR="00012861">
        <w:t xml:space="preserve">). If an embolus </w:t>
      </w:r>
      <w:r w:rsidR="00C6723F">
        <w:t xml:space="preserve">travels to </w:t>
      </w:r>
      <w:r>
        <w:t>the cerebral circulation,</w:t>
      </w:r>
      <w:r w:rsidR="00CA4776">
        <w:t xml:space="preserve"> it may</w:t>
      </w:r>
      <w:r>
        <w:t xml:space="preserve"> </w:t>
      </w:r>
      <w:r w:rsidR="00B41AEE">
        <w:t>result in</w:t>
      </w:r>
      <w:r>
        <w:t xml:space="preserve"> </w:t>
      </w:r>
      <w:r w:rsidR="00CA4776">
        <w:t xml:space="preserve">an </w:t>
      </w:r>
      <w:r w:rsidR="00FE0B20">
        <w:t xml:space="preserve">ischaemic </w:t>
      </w:r>
      <w:r>
        <w:t>stroke.</w:t>
      </w:r>
      <w:r w:rsidR="007B3786">
        <w:t xml:space="preserve"> </w:t>
      </w:r>
    </w:p>
    <w:p w14:paraId="410FB8C4" w14:textId="2D90E82E" w:rsidR="00D8620D" w:rsidRDefault="007B3786" w:rsidP="00D8620D">
      <w:r>
        <w:t xml:space="preserve">The presence of right-to-left shunting alone does not establish that a PFO is present or that the stroke was caused by the PFO. </w:t>
      </w:r>
      <w:r w:rsidR="00134533">
        <w:t xml:space="preserve">Right-to-left shunting is a functional finding that may arise from </w:t>
      </w:r>
      <w:r w:rsidR="003C548A">
        <w:t xml:space="preserve">a range of intracardiac and extracardiac causes, including PFO, atrial septal defect, or intrapulmonary shunting. </w:t>
      </w:r>
      <w:r w:rsidR="0090745A">
        <w:t xml:space="preserve">The diagnostic </w:t>
      </w:r>
      <w:r w:rsidR="0090745A">
        <w:lastRenderedPageBreak/>
        <w:t xml:space="preserve">pathway therefore involves </w:t>
      </w:r>
      <w:r w:rsidR="006D60F9">
        <w:t xml:space="preserve">not only </w:t>
      </w:r>
      <w:r w:rsidR="0090745A">
        <w:t>confirm</w:t>
      </w:r>
      <w:r w:rsidR="006D60F9">
        <w:t>ing</w:t>
      </w:r>
      <w:r w:rsidR="0090745A">
        <w:t xml:space="preserve"> </w:t>
      </w:r>
      <w:r w:rsidR="006D60F9">
        <w:t>the</w:t>
      </w:r>
      <w:r w:rsidR="0090745A">
        <w:t xml:space="preserve"> presence </w:t>
      </w:r>
      <w:r w:rsidR="003819FD">
        <w:t>of a PFO</w:t>
      </w:r>
      <w:r w:rsidR="00E1619F">
        <w:t>, but also assessing whether it is likely to be</w:t>
      </w:r>
      <w:r w:rsidR="003819FD">
        <w:t xml:space="preserve"> </w:t>
      </w:r>
      <w:r w:rsidR="00E1619F">
        <w:t>causally related</w:t>
      </w:r>
      <w:r w:rsidR="003819FD">
        <w:t xml:space="preserve"> to the index stroke.</w:t>
      </w:r>
    </w:p>
    <w:p w14:paraId="133004E8" w14:textId="61C1A759" w:rsidR="00D8620D" w:rsidRDefault="00D8620D" w:rsidP="00D8620D">
      <w:r w:rsidRPr="00647E59">
        <w:t xml:space="preserve">The likelihood that </w:t>
      </w:r>
      <w:r w:rsidR="00B41AEE">
        <w:t>an identified</w:t>
      </w:r>
      <w:r w:rsidRPr="00647E59">
        <w:t xml:space="preserve"> PFO is causally related to stroke is increased </w:t>
      </w:r>
      <w:r w:rsidR="00956A08">
        <w:t>in the presence of</w:t>
      </w:r>
      <w:r w:rsidR="00FB77C5">
        <w:t xml:space="preserve"> high-risk anatomical </w:t>
      </w:r>
      <w:r w:rsidR="00956A08">
        <w:t>and</w:t>
      </w:r>
      <w:r w:rsidR="004033D2">
        <w:t xml:space="preserve"> functional features</w:t>
      </w:r>
      <w:r w:rsidR="00956A08">
        <w:t xml:space="preserve">, including </w:t>
      </w:r>
      <w:r w:rsidRPr="00647E59">
        <w:t>large shunt size, spontaneous righ</w:t>
      </w:r>
      <w:r w:rsidR="001C0BA5">
        <w:t>t-</w:t>
      </w:r>
      <w:r w:rsidRPr="00647E59">
        <w:t>t</w:t>
      </w:r>
      <w:r w:rsidR="001C0BA5">
        <w:t>o-</w:t>
      </w:r>
      <w:r w:rsidRPr="00647E59">
        <w:t xml:space="preserve">left </w:t>
      </w:r>
      <w:r w:rsidR="00A85C91">
        <w:t>shunting</w:t>
      </w:r>
      <w:r w:rsidRPr="00647E59">
        <w:t xml:space="preserve">, </w:t>
      </w:r>
      <w:r w:rsidR="00A85C91">
        <w:t xml:space="preserve">substantial </w:t>
      </w:r>
      <w:r w:rsidR="004033D2">
        <w:t>shunt</w:t>
      </w:r>
      <w:r w:rsidR="00A85C91">
        <w:t>ing</w:t>
      </w:r>
      <w:r w:rsidRPr="00647E59">
        <w:t xml:space="preserve"> with provocation (e.g. </w:t>
      </w:r>
      <w:r w:rsidR="00AB0740">
        <w:t xml:space="preserve">during a </w:t>
      </w:r>
      <w:r w:rsidRPr="00647E59">
        <w:t>Valsalva</w:t>
      </w:r>
      <w:r w:rsidR="00A85C91">
        <w:t xml:space="preserve"> manoeuvre</w:t>
      </w:r>
      <w:r w:rsidRPr="00647E59">
        <w:t xml:space="preserve">), and </w:t>
      </w:r>
      <w:r w:rsidR="00AB0740">
        <w:t xml:space="preserve">an </w:t>
      </w:r>
      <w:r w:rsidRPr="00647E59">
        <w:t>atrial septal aneurysm</w:t>
      </w:r>
      <w:r w:rsidR="003A46E7">
        <w:t xml:space="preserve">. </w:t>
      </w:r>
      <w:r w:rsidR="00FD15B7">
        <w:t>Y</w:t>
      </w:r>
      <w:r w:rsidR="004033D2">
        <w:t>ounger age and the absence of an alternative stroke mechanism</w:t>
      </w:r>
      <w:r w:rsidR="003D14F1">
        <w:t xml:space="preserve"> following comprehensive evaluation</w:t>
      </w:r>
      <w:r w:rsidR="002C64DF">
        <w:t xml:space="preserve"> further increase the likelihood that a stroke is PFO-mediated</w:t>
      </w:r>
      <w:r w:rsidR="003B4CBC">
        <w:t xml:space="preserve"> </w:t>
      </w:r>
      <w:r w:rsidR="003B4CBC" w:rsidRPr="003B4CBC">
        <w:t xml:space="preserve">and are considered in </w:t>
      </w:r>
      <w:r w:rsidR="003358D0">
        <w:t xml:space="preserve">risk assessment </w:t>
      </w:r>
      <w:r w:rsidR="00E76EA4">
        <w:t>tools</w:t>
      </w:r>
      <w:r w:rsidR="003B4CBC" w:rsidRPr="003B4CBC">
        <w:t xml:space="preserve"> used to </w:t>
      </w:r>
      <w:r w:rsidR="00CC71C6">
        <w:t>determine</w:t>
      </w:r>
      <w:r w:rsidR="003B4CBC" w:rsidRPr="003B4CBC">
        <w:t xml:space="preserve"> PFO-related stroke causality</w:t>
      </w:r>
      <w:r w:rsidRPr="00647E59">
        <w:t>.</w:t>
      </w:r>
    </w:p>
    <w:p w14:paraId="00292D10" w14:textId="052B3C42" w:rsidR="00081252" w:rsidRDefault="00081252" w:rsidP="00D8620D">
      <w:r>
        <w:t xml:space="preserve">The </w:t>
      </w:r>
      <w:r w:rsidRPr="00081252">
        <w:t>Valsalva manoeuvre is a forced exhalation against a closed airway (e.g. straining with the mouth</w:t>
      </w:r>
      <w:r w:rsidR="00C414E3">
        <w:t xml:space="preserve"> and nose</w:t>
      </w:r>
      <w:r w:rsidRPr="00081252">
        <w:t xml:space="preserve"> closed), which </w:t>
      </w:r>
      <w:r w:rsidR="00C414E3">
        <w:t>transiently</w:t>
      </w:r>
      <w:r w:rsidRPr="00081252">
        <w:t xml:space="preserve"> increases </w:t>
      </w:r>
      <w:r w:rsidR="00C414E3">
        <w:t>intrathoracic</w:t>
      </w:r>
      <w:r w:rsidR="006E749B">
        <w:t xml:space="preserve"> and right atrial </w:t>
      </w:r>
      <w:r w:rsidRPr="00081252">
        <w:t xml:space="preserve">pressure. This </w:t>
      </w:r>
      <w:r w:rsidR="006E749B">
        <w:t>may</w:t>
      </w:r>
      <w:r w:rsidRPr="00081252">
        <w:t xml:space="preserve"> reverse the normal pressure gradient between the atria</w:t>
      </w:r>
      <w:r w:rsidR="006E749B">
        <w:t>, in which</w:t>
      </w:r>
      <w:r w:rsidRPr="00081252">
        <w:t xml:space="preserve"> </w:t>
      </w:r>
      <w:r w:rsidR="009F3038" w:rsidRPr="009F3038">
        <w:t>left atrial pressure is usually higher than right atrial pressure,</w:t>
      </w:r>
      <w:r w:rsidR="009F3038">
        <w:t xml:space="preserve"> </w:t>
      </w:r>
      <w:r w:rsidRPr="00081252">
        <w:t xml:space="preserve">and provoke </w:t>
      </w:r>
      <w:r w:rsidR="009F3038">
        <w:t>temporary</w:t>
      </w:r>
      <w:r w:rsidRPr="00081252">
        <w:t xml:space="preserve"> right-to-left shunting across a PFO</w:t>
      </w:r>
      <w:r w:rsidR="00FF6520">
        <w:t xml:space="preserve">. </w:t>
      </w:r>
      <w:r w:rsidR="00FF6520" w:rsidRPr="00FF6520">
        <w:t>Provocative manoeuvres are therefore routinely used during bubble studies to improve the detection of clinically relevant shunts</w:t>
      </w:r>
      <w:r w:rsidRPr="00081252">
        <w:t>.</w:t>
      </w:r>
    </w:p>
    <w:p w14:paraId="6AD4BDFC" w14:textId="0FACDC70" w:rsidR="00A821A5" w:rsidRPr="00D1639C" w:rsidRDefault="00942E64" w:rsidP="00163319">
      <w:pPr>
        <w:pStyle w:val="Heading4"/>
      </w:pPr>
      <w:r w:rsidRPr="00D1639C">
        <w:t>Relevance to t</w:t>
      </w:r>
      <w:r w:rsidR="00A821A5" w:rsidRPr="00D1639C">
        <w:t xml:space="preserve">reatment </w:t>
      </w:r>
      <w:r w:rsidRPr="00D1639C">
        <w:t>decision</w:t>
      </w:r>
      <w:r w:rsidR="00A02EE3" w:rsidRPr="00D1639C">
        <w:t>-making</w:t>
      </w:r>
    </w:p>
    <w:p w14:paraId="66AD283F" w14:textId="5D3DF864" w:rsidR="00373840" w:rsidRDefault="00EC58F6" w:rsidP="00A85B29">
      <w:r w:rsidRPr="00EC58F6">
        <w:t xml:space="preserve">In the context of cryptogenic stroke, the key clinical question is whether an identified PFO is causally related to the index event or represents an incidental finding. </w:t>
      </w:r>
      <w:r w:rsidR="002D46B1">
        <w:t xml:space="preserve">The European Stroke Organisation </w:t>
      </w:r>
      <w:r w:rsidR="0054157E">
        <w:t>(</w:t>
      </w:r>
      <w:r w:rsidR="002D46B1">
        <w:t>ESO</w:t>
      </w:r>
      <w:r w:rsidR="0054157E">
        <w:t>)</w:t>
      </w:r>
      <w:r w:rsidR="002D46B1">
        <w:t xml:space="preserve"> guidelines</w:t>
      </w:r>
      <w:r w:rsidR="0054157E">
        <w:t xml:space="preserve"> on the diagnosis and management of PFO after stroke</w:t>
      </w:r>
      <w:r w:rsidR="002D46B1">
        <w:t xml:space="preserve"> </w:t>
      </w:r>
      <w:r w:rsidR="0054157E">
        <w:t xml:space="preserve">(Caso et al. 2024) </w:t>
      </w:r>
      <w:r w:rsidR="00FC2781">
        <w:t xml:space="preserve">describe </w:t>
      </w:r>
      <w:r w:rsidR="00211021">
        <w:t>two</w:t>
      </w:r>
      <w:r w:rsidR="00B279B3" w:rsidRPr="00B279B3">
        <w:t xml:space="preserve"> risk tools </w:t>
      </w:r>
      <w:r w:rsidR="007E7819">
        <w:t xml:space="preserve">intended to </w:t>
      </w:r>
      <w:r w:rsidR="00B279B3" w:rsidRPr="00B279B3">
        <w:t>support this assessment alongside comprehensive clinical evaluation</w:t>
      </w:r>
      <w:r w:rsidR="00A85B29">
        <w:t>.</w:t>
      </w:r>
    </w:p>
    <w:p w14:paraId="136B257E" w14:textId="7869EBC7" w:rsidR="003D7A09" w:rsidRDefault="00A85B29" w:rsidP="00A85B29">
      <w:r>
        <w:t>T</w:t>
      </w:r>
      <w:r w:rsidR="00B279B3" w:rsidRPr="00B279B3">
        <w:t>he Risk of Paradoxical Embolism (</w:t>
      </w:r>
      <w:proofErr w:type="spellStart"/>
      <w:r w:rsidR="00B279B3" w:rsidRPr="00B279B3">
        <w:t>RoPE</w:t>
      </w:r>
      <w:proofErr w:type="spellEnd"/>
      <w:r w:rsidR="00B279B3" w:rsidRPr="00B279B3">
        <w:t xml:space="preserve">) </w:t>
      </w:r>
      <w:r w:rsidR="00CC0C64">
        <w:t>S</w:t>
      </w:r>
      <w:r w:rsidR="00B279B3" w:rsidRPr="00B279B3">
        <w:t xml:space="preserve">core is based primarily on clinical </w:t>
      </w:r>
      <w:r w:rsidR="00105FFA">
        <w:t xml:space="preserve">characteristics </w:t>
      </w:r>
      <w:r>
        <w:t xml:space="preserve">and </w:t>
      </w:r>
      <w:r w:rsidR="00882D64">
        <w:t>estimates</w:t>
      </w:r>
      <w:r>
        <w:t xml:space="preserve"> the probability that a PFO </w:t>
      </w:r>
      <w:r w:rsidR="00882D64">
        <w:t>identified</w:t>
      </w:r>
      <w:r>
        <w:t xml:space="preserve"> </w:t>
      </w:r>
      <w:r w:rsidR="001F207D">
        <w:t>in a patient with</w:t>
      </w:r>
      <w:r>
        <w:t xml:space="preserve"> cryptogenic stroke is </w:t>
      </w:r>
      <w:r w:rsidR="00181F20">
        <w:t xml:space="preserve">causally </w:t>
      </w:r>
      <w:r>
        <w:t xml:space="preserve">related to the </w:t>
      </w:r>
      <w:r w:rsidR="00663F7D">
        <w:t xml:space="preserve">index </w:t>
      </w:r>
      <w:r w:rsidR="00B05322">
        <w:t xml:space="preserve">stroke </w:t>
      </w:r>
      <w:r>
        <w:t xml:space="preserve">rather than </w:t>
      </w:r>
      <w:r w:rsidR="00964EFE">
        <w:t xml:space="preserve">representing </w:t>
      </w:r>
      <w:r>
        <w:t>an incidental finding</w:t>
      </w:r>
      <w:r w:rsidR="008F10E9">
        <w:t xml:space="preserve">. </w:t>
      </w:r>
      <w:r w:rsidR="00F96C88">
        <w:t xml:space="preserve">The </w:t>
      </w:r>
      <w:proofErr w:type="spellStart"/>
      <w:r w:rsidR="00F96C88">
        <w:t>RoPE</w:t>
      </w:r>
      <w:proofErr w:type="spellEnd"/>
      <w:r w:rsidR="00F96C88">
        <w:t xml:space="preserve"> </w:t>
      </w:r>
      <w:r w:rsidR="009F1F40">
        <w:t>Score ranges from 0 to 10, with l</w:t>
      </w:r>
      <w:r w:rsidR="008F10E9" w:rsidRPr="008F10E9">
        <w:t xml:space="preserve">ower scores </w:t>
      </w:r>
      <w:r w:rsidR="009F1F40">
        <w:t>indicating</w:t>
      </w:r>
      <w:r w:rsidR="008F10E9" w:rsidRPr="008F10E9">
        <w:t xml:space="preserve"> a low</w:t>
      </w:r>
      <w:r w:rsidR="00A468DE">
        <w:t>er</w:t>
      </w:r>
      <w:r w:rsidR="008F10E9" w:rsidRPr="008F10E9">
        <w:t xml:space="preserve"> </w:t>
      </w:r>
      <w:r w:rsidR="00290094">
        <w:t>probability</w:t>
      </w:r>
      <w:r w:rsidR="005D01B5" w:rsidRPr="005D01B5">
        <w:t xml:space="preserve"> that the PFO </w:t>
      </w:r>
      <w:r w:rsidR="00EB4AA1">
        <w:t>contributed to the stroke</w:t>
      </w:r>
      <w:r w:rsidR="009F1F40">
        <w:t xml:space="preserve"> and </w:t>
      </w:r>
      <w:r w:rsidR="005D01B5" w:rsidRPr="005D01B5">
        <w:t>higher scores indicat</w:t>
      </w:r>
      <w:r w:rsidR="009F1F40">
        <w:t>ing</w:t>
      </w:r>
      <w:r w:rsidR="005D01B5" w:rsidRPr="005D01B5">
        <w:t xml:space="preserve"> an increasing </w:t>
      </w:r>
      <w:r w:rsidR="00817427">
        <w:t>likelihood</w:t>
      </w:r>
      <w:r w:rsidR="005D01B5" w:rsidRPr="005D01B5">
        <w:t xml:space="preserve"> </w:t>
      </w:r>
      <w:r w:rsidR="00782E57">
        <w:t>of a causal relationship</w:t>
      </w:r>
      <w:r>
        <w:t xml:space="preserve"> (</w:t>
      </w:r>
      <w:r w:rsidR="00CC0C64">
        <w:fldChar w:fldCharType="begin"/>
      </w:r>
      <w:r w:rsidR="00CC0C64">
        <w:instrText xml:space="preserve"> REF _Ref232626393 \h </w:instrText>
      </w:r>
      <w:r w:rsidR="00CC0C64">
        <w:fldChar w:fldCharType="separate"/>
      </w:r>
      <w:r w:rsidR="00CC0C64">
        <w:t xml:space="preserve">Table </w:t>
      </w:r>
      <w:r w:rsidR="00CC0C64">
        <w:rPr>
          <w:noProof/>
        </w:rPr>
        <w:t>2</w:t>
      </w:r>
      <w:r w:rsidR="00CC0C64">
        <w:fldChar w:fldCharType="end"/>
      </w:r>
      <w:r w:rsidR="00EB7DF4">
        <w:t>).</w:t>
      </w:r>
      <w:r w:rsidR="00B279B3" w:rsidRPr="00B279B3">
        <w:t xml:space="preserve"> </w:t>
      </w:r>
    </w:p>
    <w:p w14:paraId="0D3C34B4" w14:textId="1FB906DA" w:rsidR="000C0C5A" w:rsidRDefault="00EB7DF4" w:rsidP="00A85B29">
      <w:r>
        <w:t>T</w:t>
      </w:r>
      <w:r w:rsidR="00B279B3" w:rsidRPr="00B279B3">
        <w:t>he PFO-Associated Stroke Causal Likelihood (PASCAL) classification</w:t>
      </w:r>
      <w:r>
        <w:t xml:space="preserve"> </w:t>
      </w:r>
      <w:r w:rsidR="00EC613D">
        <w:t>extends</w:t>
      </w:r>
      <w:r w:rsidR="008426E7">
        <w:t xml:space="preserve"> this </w:t>
      </w:r>
      <w:r w:rsidR="00EC613D">
        <w:t xml:space="preserve">approach </w:t>
      </w:r>
      <w:r w:rsidR="008426E7">
        <w:t xml:space="preserve">by </w:t>
      </w:r>
      <w:r w:rsidR="00B279B3" w:rsidRPr="00B279B3">
        <w:t>integrat</w:t>
      </w:r>
      <w:r w:rsidR="008426E7">
        <w:t>ing</w:t>
      </w:r>
      <w:r w:rsidR="00B279B3" w:rsidRPr="00B279B3">
        <w:t xml:space="preserve"> the </w:t>
      </w:r>
      <w:proofErr w:type="spellStart"/>
      <w:r w:rsidR="00B279B3" w:rsidRPr="00B279B3">
        <w:t>RoPE</w:t>
      </w:r>
      <w:proofErr w:type="spellEnd"/>
      <w:r w:rsidR="00B279B3" w:rsidRPr="00B279B3">
        <w:t xml:space="preserve"> </w:t>
      </w:r>
      <w:r w:rsidR="00CC0C64">
        <w:t>S</w:t>
      </w:r>
      <w:r w:rsidR="00B279B3" w:rsidRPr="00B279B3">
        <w:t xml:space="preserve">core with </w:t>
      </w:r>
      <w:r>
        <w:t xml:space="preserve">the presence </w:t>
      </w:r>
      <w:r w:rsidR="008122CD">
        <w:t xml:space="preserve">or absence of </w:t>
      </w:r>
      <w:r w:rsidR="00014EF0">
        <w:t xml:space="preserve">high-risk </w:t>
      </w:r>
      <w:r w:rsidR="00B279B3" w:rsidRPr="00B279B3">
        <w:t xml:space="preserve">anatomical </w:t>
      </w:r>
      <w:r w:rsidR="00014EF0">
        <w:t>features</w:t>
      </w:r>
      <w:r w:rsidR="008122CD">
        <w:t xml:space="preserve"> </w:t>
      </w:r>
      <w:r w:rsidR="00725D14">
        <w:t xml:space="preserve">on </w:t>
      </w:r>
      <w:r w:rsidR="00345DE1" w:rsidRPr="00345DE1">
        <w:t>transoesophageal echocardiography (TOE) with bubble contrast</w:t>
      </w:r>
      <w:r w:rsidR="00AB3218">
        <w:t xml:space="preserve"> – </w:t>
      </w:r>
      <w:r w:rsidR="00C309E6" w:rsidRPr="00C309E6">
        <w:t>including a large righ</w:t>
      </w:r>
      <w:r w:rsidR="00C309E6">
        <w:t>t-</w:t>
      </w:r>
      <w:r w:rsidR="00C309E6" w:rsidRPr="00C309E6">
        <w:t>t</w:t>
      </w:r>
      <w:r w:rsidR="00C309E6">
        <w:t>o-</w:t>
      </w:r>
      <w:r w:rsidR="00C309E6" w:rsidRPr="00C309E6">
        <w:t>left shunt and/or an atrial septal aneurysm</w:t>
      </w:r>
      <w:r w:rsidR="00AB3218">
        <w:t xml:space="preserve"> – </w:t>
      </w:r>
      <w:r w:rsidR="008122CD">
        <w:t xml:space="preserve">to determine the likelihood that the PFO </w:t>
      </w:r>
      <w:r w:rsidR="004C2980">
        <w:t>wa</w:t>
      </w:r>
      <w:r w:rsidR="008122CD">
        <w:t xml:space="preserve">s causally </w:t>
      </w:r>
      <w:r w:rsidR="004C2980">
        <w:t>related to the index stroke</w:t>
      </w:r>
      <w:r w:rsidR="000E03E5">
        <w:t xml:space="preserve"> (</w:t>
      </w:r>
      <w:r w:rsidR="00273B22">
        <w:fldChar w:fldCharType="begin"/>
      </w:r>
      <w:r w:rsidR="00273B22">
        <w:instrText xml:space="preserve"> REF _Ref232626609 \h </w:instrText>
      </w:r>
      <w:r w:rsidR="00273B22">
        <w:fldChar w:fldCharType="separate"/>
      </w:r>
      <w:r w:rsidR="00273B22">
        <w:t xml:space="preserve">Table </w:t>
      </w:r>
      <w:r w:rsidR="00273B22">
        <w:rPr>
          <w:noProof/>
        </w:rPr>
        <w:t>3</w:t>
      </w:r>
      <w:r w:rsidR="00273B22">
        <w:fldChar w:fldCharType="end"/>
      </w:r>
      <w:r w:rsidR="000E03E5">
        <w:t>)</w:t>
      </w:r>
      <w:r w:rsidR="00B279B3" w:rsidRPr="00B279B3">
        <w:t>.</w:t>
      </w:r>
      <w:r w:rsidR="00C9391D">
        <w:t xml:space="preserve"> </w:t>
      </w:r>
      <w:proofErr w:type="spellStart"/>
      <w:r w:rsidR="00BE0522" w:rsidRPr="00BE0522">
        <w:t>RoPE</w:t>
      </w:r>
      <w:proofErr w:type="spellEnd"/>
      <w:r w:rsidR="00BE0522" w:rsidRPr="00BE0522">
        <w:t>-informed assessment and PASCAL classification are applied following confirmation of a PFO</w:t>
      </w:r>
      <w:r w:rsidR="0012070D">
        <w:t xml:space="preserve"> and are used to support </w:t>
      </w:r>
      <w:r w:rsidR="009923DA">
        <w:t>treatment decision-making</w:t>
      </w:r>
      <w:r w:rsidR="00BE0522" w:rsidRPr="00BE0522">
        <w:t>.</w:t>
      </w:r>
    </w:p>
    <w:p w14:paraId="27D0D720" w14:textId="3C7E9EBF" w:rsidR="004F1415" w:rsidRDefault="00C9391D" w:rsidP="00A85B29">
      <w:r>
        <w:t xml:space="preserve">The Australian and New Zealand consensus statement </w:t>
      </w:r>
      <w:r w:rsidR="00F31CEF">
        <w:t>emphasises</w:t>
      </w:r>
      <w:r w:rsidR="00993E75">
        <w:t xml:space="preserve"> that a high </w:t>
      </w:r>
      <w:proofErr w:type="spellStart"/>
      <w:r w:rsidR="00993E75">
        <w:t>RoPE</w:t>
      </w:r>
      <w:proofErr w:type="spellEnd"/>
      <w:r w:rsidR="00993E75">
        <w:t xml:space="preserve"> score alone does not predict benefit from PFO closure and should not be </w:t>
      </w:r>
      <w:r w:rsidR="00874B70">
        <w:t xml:space="preserve">used as </w:t>
      </w:r>
      <w:r w:rsidR="00993E75">
        <w:t xml:space="preserve">the </w:t>
      </w:r>
      <w:r w:rsidR="00874B70">
        <w:t xml:space="preserve">sole </w:t>
      </w:r>
      <w:r w:rsidR="00993E75">
        <w:t xml:space="preserve">basis </w:t>
      </w:r>
      <w:r w:rsidR="00874B70">
        <w:t>for</w:t>
      </w:r>
      <w:r w:rsidR="00993E75">
        <w:t xml:space="preserve"> treatment decisio</w:t>
      </w:r>
      <w:r w:rsidR="00874B70">
        <w:t xml:space="preserve">ns; instead, </w:t>
      </w:r>
      <w:r w:rsidR="00115C61">
        <w:t xml:space="preserve">integration </w:t>
      </w:r>
      <w:r w:rsidR="00874B70">
        <w:t>of</w:t>
      </w:r>
      <w:r w:rsidR="00607883">
        <w:t xml:space="preserve"> </w:t>
      </w:r>
      <w:r w:rsidR="00D4110C">
        <w:t xml:space="preserve">both clinical and anatomical factors through </w:t>
      </w:r>
      <w:r w:rsidR="00014EF0">
        <w:t>t</w:t>
      </w:r>
      <w:r w:rsidR="00474174">
        <w:t xml:space="preserve">he PASCAL classification </w:t>
      </w:r>
      <w:r w:rsidR="00874B70">
        <w:t>is recommended</w:t>
      </w:r>
      <w:r w:rsidR="006A705D">
        <w:t xml:space="preserve"> (Chambers et al. 2026)</w:t>
      </w:r>
      <w:r w:rsidR="004E31F6">
        <w:t>.</w:t>
      </w:r>
    </w:p>
    <w:p w14:paraId="0671B464" w14:textId="2B75D97E" w:rsidR="000E03E5" w:rsidRDefault="000E03E5" w:rsidP="000E03E5">
      <w:pPr>
        <w:pStyle w:val="Caption"/>
      </w:pPr>
      <w:bookmarkStart w:id="2" w:name="_Ref232626393"/>
      <w:r>
        <w:t xml:space="preserve">Table </w:t>
      </w:r>
      <w:r>
        <w:fldChar w:fldCharType="begin"/>
      </w:r>
      <w:r>
        <w:instrText xml:space="preserve"> SEQ Table \* ARABIC </w:instrText>
      </w:r>
      <w:r>
        <w:fldChar w:fldCharType="separate"/>
      </w:r>
      <w:r>
        <w:rPr>
          <w:noProof/>
        </w:rPr>
        <w:t>2</w:t>
      </w:r>
      <w:r>
        <w:fldChar w:fldCharType="end"/>
      </w:r>
      <w:bookmarkEnd w:id="2"/>
      <w:r>
        <w:tab/>
      </w:r>
      <w:r w:rsidR="00B9286C">
        <w:t>Risk of Paradoxical Embolism (</w:t>
      </w:r>
      <w:proofErr w:type="spellStart"/>
      <w:r w:rsidR="00B9286C">
        <w:t>RoPE</w:t>
      </w:r>
      <w:proofErr w:type="spellEnd"/>
      <w:r w:rsidR="00B9286C">
        <w:t xml:space="preserve">) </w:t>
      </w:r>
      <w:r w:rsidR="00D66CED">
        <w:t>S</w:t>
      </w:r>
      <w:r w:rsidR="00B9286C">
        <w:t>core</w:t>
      </w:r>
      <w:r w:rsidR="00D23560">
        <w:t xml:space="preserve"> calculator</w:t>
      </w:r>
    </w:p>
    <w:tbl>
      <w:tblPr>
        <w:tblW w:w="5000" w:type="pct"/>
        <w:tblCellMar>
          <w:left w:w="115" w:type="dxa"/>
          <w:right w:w="115" w:type="dxa"/>
        </w:tblCellMar>
        <w:tblLook w:val="01E0" w:firstRow="1" w:lastRow="1" w:firstColumn="1" w:lastColumn="1" w:noHBand="0" w:noVBand="0"/>
        <w:tblCaption w:val="Risk of Paradoxical Embolism (RoPE) Score calculator"/>
        <w:tblDescription w:val="The table presents the characteristics considered in the RoPE Score, including the number of points assigned to each."/>
      </w:tblPr>
      <w:tblGrid>
        <w:gridCol w:w="7793"/>
        <w:gridCol w:w="1778"/>
      </w:tblGrid>
      <w:tr w:rsidR="00D47A11" w:rsidRPr="00490FBB" w14:paraId="7A2A4595" w14:textId="77777777" w:rsidTr="0037347A">
        <w:trPr>
          <w:tblHeader/>
        </w:trPr>
        <w:tc>
          <w:tcPr>
            <w:tcW w:w="4071" w:type="pct"/>
            <w:tcBorders>
              <w:top w:val="single" w:sz="4" w:space="0" w:color="auto"/>
              <w:left w:val="single" w:sz="4" w:space="0" w:color="auto"/>
              <w:right w:val="single" w:sz="4" w:space="0" w:color="auto"/>
            </w:tcBorders>
          </w:tcPr>
          <w:p w14:paraId="41D30E8E" w14:textId="083E7A94" w:rsidR="00D47A11" w:rsidRPr="00490FBB" w:rsidRDefault="00D47A11" w:rsidP="009A612D">
            <w:pPr>
              <w:pStyle w:val="TableHeading"/>
            </w:pPr>
            <w:r>
              <w:t>Characteristic</w:t>
            </w:r>
          </w:p>
        </w:tc>
        <w:tc>
          <w:tcPr>
            <w:tcW w:w="929" w:type="pct"/>
            <w:tcBorders>
              <w:top w:val="single" w:sz="4" w:space="0" w:color="auto"/>
              <w:left w:val="nil"/>
              <w:bottom w:val="single" w:sz="4" w:space="0" w:color="auto"/>
              <w:right w:val="single" w:sz="4" w:space="0" w:color="auto"/>
            </w:tcBorders>
          </w:tcPr>
          <w:p w14:paraId="58E23C25" w14:textId="1423BFFB" w:rsidR="00D47A11" w:rsidRPr="00490FBB" w:rsidRDefault="00D47A11" w:rsidP="0089247F">
            <w:pPr>
              <w:pStyle w:val="TableHeading"/>
              <w:jc w:val="center"/>
            </w:pPr>
            <w:r>
              <w:t>Points</w:t>
            </w:r>
          </w:p>
        </w:tc>
      </w:tr>
      <w:tr w:rsidR="00D47A11" w:rsidRPr="00490FBB" w14:paraId="61199882" w14:textId="77777777" w:rsidTr="0037347A">
        <w:tc>
          <w:tcPr>
            <w:tcW w:w="4071" w:type="pct"/>
            <w:tcBorders>
              <w:top w:val="single" w:sz="4" w:space="0" w:color="auto"/>
              <w:left w:val="single" w:sz="4" w:space="0" w:color="auto"/>
              <w:bottom w:val="single" w:sz="4" w:space="0" w:color="auto"/>
              <w:right w:val="single" w:sz="4" w:space="0" w:color="auto"/>
            </w:tcBorders>
            <w:vAlign w:val="center"/>
          </w:tcPr>
          <w:p w14:paraId="42BC65C8" w14:textId="078E274C" w:rsidR="00D47A11" w:rsidRPr="00490FBB" w:rsidRDefault="008108B1" w:rsidP="009A612D">
            <w:pPr>
              <w:pStyle w:val="Tabletext"/>
            </w:pPr>
            <w:r>
              <w:t>No history of</w:t>
            </w:r>
            <w:r w:rsidR="0063465D">
              <w:t xml:space="preserve"> hypertension</w:t>
            </w:r>
          </w:p>
        </w:tc>
        <w:tc>
          <w:tcPr>
            <w:tcW w:w="929" w:type="pct"/>
            <w:tcBorders>
              <w:top w:val="single" w:sz="4" w:space="0" w:color="auto"/>
              <w:left w:val="single" w:sz="4" w:space="0" w:color="auto"/>
              <w:bottom w:val="single" w:sz="4" w:space="0" w:color="auto"/>
              <w:right w:val="single" w:sz="4" w:space="0" w:color="auto"/>
            </w:tcBorders>
            <w:vAlign w:val="center"/>
          </w:tcPr>
          <w:p w14:paraId="5624E95E" w14:textId="1948E948" w:rsidR="00D47A11" w:rsidRPr="00490FBB" w:rsidRDefault="0063465D" w:rsidP="0089247F">
            <w:pPr>
              <w:pStyle w:val="Tabletext"/>
              <w:jc w:val="center"/>
            </w:pPr>
            <w:r>
              <w:t>1</w:t>
            </w:r>
          </w:p>
        </w:tc>
      </w:tr>
      <w:tr w:rsidR="00D47A11" w:rsidRPr="00490FBB" w14:paraId="504BC7DB" w14:textId="77777777" w:rsidTr="0037347A">
        <w:tc>
          <w:tcPr>
            <w:tcW w:w="4071" w:type="pct"/>
            <w:tcBorders>
              <w:top w:val="single" w:sz="4" w:space="0" w:color="auto"/>
              <w:left w:val="single" w:sz="4" w:space="0" w:color="auto"/>
              <w:bottom w:val="single" w:sz="4" w:space="0" w:color="auto"/>
              <w:right w:val="single" w:sz="4" w:space="0" w:color="auto"/>
            </w:tcBorders>
            <w:vAlign w:val="center"/>
          </w:tcPr>
          <w:p w14:paraId="5067BA84" w14:textId="2A8390A5" w:rsidR="00D47A11" w:rsidRPr="00882151" w:rsidRDefault="0063465D" w:rsidP="0063465D">
            <w:pPr>
              <w:pStyle w:val="Tabletext"/>
            </w:pPr>
            <w:r>
              <w:t>No history of d</w:t>
            </w:r>
            <w:r w:rsidR="008108B1">
              <w:t>iabetes</w:t>
            </w:r>
          </w:p>
        </w:tc>
        <w:tc>
          <w:tcPr>
            <w:tcW w:w="929" w:type="pct"/>
            <w:tcBorders>
              <w:top w:val="single" w:sz="4" w:space="0" w:color="auto"/>
              <w:left w:val="single" w:sz="4" w:space="0" w:color="auto"/>
              <w:bottom w:val="single" w:sz="4" w:space="0" w:color="auto"/>
              <w:right w:val="single" w:sz="4" w:space="0" w:color="auto"/>
            </w:tcBorders>
            <w:vAlign w:val="center"/>
          </w:tcPr>
          <w:p w14:paraId="32826AE6" w14:textId="75A6F8BC" w:rsidR="00D47A11" w:rsidRPr="00882151" w:rsidRDefault="00D66CED" w:rsidP="0089247F">
            <w:pPr>
              <w:pStyle w:val="Tabletext"/>
              <w:jc w:val="center"/>
            </w:pPr>
            <w:r>
              <w:t>1</w:t>
            </w:r>
          </w:p>
        </w:tc>
      </w:tr>
      <w:tr w:rsidR="00D47A11" w:rsidRPr="00490FBB" w14:paraId="63FA2552" w14:textId="77777777" w:rsidTr="0037347A">
        <w:tc>
          <w:tcPr>
            <w:tcW w:w="4071" w:type="pct"/>
            <w:tcBorders>
              <w:top w:val="single" w:sz="4" w:space="0" w:color="auto"/>
              <w:left w:val="single" w:sz="4" w:space="0" w:color="auto"/>
              <w:bottom w:val="single" w:sz="4" w:space="0" w:color="auto"/>
              <w:right w:val="single" w:sz="4" w:space="0" w:color="auto"/>
            </w:tcBorders>
            <w:vAlign w:val="center"/>
          </w:tcPr>
          <w:p w14:paraId="063EEF49" w14:textId="3F5E390A" w:rsidR="00D47A11" w:rsidRDefault="0063465D" w:rsidP="0063465D">
            <w:pPr>
              <w:pStyle w:val="Tabletext"/>
            </w:pPr>
            <w:r>
              <w:t>No history of s</w:t>
            </w:r>
            <w:r w:rsidR="008108B1">
              <w:t>troke or tran</w:t>
            </w:r>
            <w:r w:rsidR="00C97E0E">
              <w:t>sient ischaemic attack</w:t>
            </w:r>
          </w:p>
        </w:tc>
        <w:tc>
          <w:tcPr>
            <w:tcW w:w="929" w:type="pct"/>
            <w:tcBorders>
              <w:top w:val="single" w:sz="4" w:space="0" w:color="auto"/>
              <w:left w:val="single" w:sz="4" w:space="0" w:color="auto"/>
              <w:bottom w:val="single" w:sz="4" w:space="0" w:color="auto"/>
              <w:right w:val="single" w:sz="4" w:space="0" w:color="auto"/>
            </w:tcBorders>
            <w:vAlign w:val="center"/>
          </w:tcPr>
          <w:p w14:paraId="28EE95EB" w14:textId="21A14A32" w:rsidR="00D47A11" w:rsidRPr="00490FBB" w:rsidRDefault="00D66CED" w:rsidP="0089247F">
            <w:pPr>
              <w:pStyle w:val="Tabletext"/>
              <w:jc w:val="center"/>
            </w:pPr>
            <w:r>
              <w:t>1</w:t>
            </w:r>
          </w:p>
        </w:tc>
      </w:tr>
      <w:tr w:rsidR="00D47A11" w:rsidRPr="00490FBB" w14:paraId="4D441B07" w14:textId="77777777" w:rsidTr="0037347A">
        <w:tc>
          <w:tcPr>
            <w:tcW w:w="4071" w:type="pct"/>
            <w:tcBorders>
              <w:top w:val="single" w:sz="4" w:space="0" w:color="auto"/>
              <w:left w:val="single" w:sz="4" w:space="0" w:color="auto"/>
              <w:bottom w:val="single" w:sz="4" w:space="0" w:color="auto"/>
              <w:right w:val="single" w:sz="4" w:space="0" w:color="auto"/>
            </w:tcBorders>
            <w:vAlign w:val="center"/>
          </w:tcPr>
          <w:p w14:paraId="67E68862" w14:textId="147A66F3" w:rsidR="00D47A11" w:rsidRDefault="00C97E0E" w:rsidP="009A612D">
            <w:pPr>
              <w:pStyle w:val="Tabletext"/>
            </w:pPr>
            <w:r>
              <w:t>Nonsmoker</w:t>
            </w:r>
          </w:p>
        </w:tc>
        <w:tc>
          <w:tcPr>
            <w:tcW w:w="929" w:type="pct"/>
            <w:tcBorders>
              <w:top w:val="single" w:sz="4" w:space="0" w:color="auto"/>
              <w:left w:val="single" w:sz="4" w:space="0" w:color="auto"/>
              <w:bottom w:val="single" w:sz="4" w:space="0" w:color="auto"/>
              <w:right w:val="single" w:sz="4" w:space="0" w:color="auto"/>
            </w:tcBorders>
            <w:vAlign w:val="center"/>
          </w:tcPr>
          <w:p w14:paraId="120B0ED1" w14:textId="43A82A6B" w:rsidR="00D47A11" w:rsidRPr="00490FBB" w:rsidRDefault="00D66CED" w:rsidP="0089247F">
            <w:pPr>
              <w:pStyle w:val="Tabletext"/>
              <w:jc w:val="center"/>
            </w:pPr>
            <w:r>
              <w:t>1</w:t>
            </w:r>
          </w:p>
        </w:tc>
      </w:tr>
      <w:tr w:rsidR="00D47A11" w:rsidRPr="00490FBB" w14:paraId="6751AB99" w14:textId="77777777" w:rsidTr="009533BE">
        <w:tc>
          <w:tcPr>
            <w:tcW w:w="4071" w:type="pct"/>
            <w:tcBorders>
              <w:top w:val="single" w:sz="4" w:space="0" w:color="auto"/>
              <w:left w:val="single" w:sz="4" w:space="0" w:color="auto"/>
              <w:bottom w:val="single" w:sz="4" w:space="0" w:color="auto"/>
              <w:right w:val="single" w:sz="4" w:space="0" w:color="auto"/>
            </w:tcBorders>
            <w:vAlign w:val="center"/>
          </w:tcPr>
          <w:p w14:paraId="48CDB0BC" w14:textId="66B0B55D" w:rsidR="00D47A11" w:rsidRDefault="00C97E0E" w:rsidP="009A612D">
            <w:pPr>
              <w:pStyle w:val="Tabletext"/>
            </w:pPr>
            <w:r>
              <w:lastRenderedPageBreak/>
              <w:t>Cortical infarct on imaging</w:t>
            </w:r>
          </w:p>
        </w:tc>
        <w:tc>
          <w:tcPr>
            <w:tcW w:w="929" w:type="pct"/>
            <w:tcBorders>
              <w:top w:val="single" w:sz="4" w:space="0" w:color="auto"/>
              <w:left w:val="single" w:sz="4" w:space="0" w:color="auto"/>
              <w:bottom w:val="single" w:sz="4" w:space="0" w:color="auto"/>
              <w:right w:val="single" w:sz="4" w:space="0" w:color="auto"/>
            </w:tcBorders>
            <w:vAlign w:val="center"/>
          </w:tcPr>
          <w:p w14:paraId="16020A4B" w14:textId="257024F0" w:rsidR="00D47A11" w:rsidRPr="00490FBB" w:rsidRDefault="00D66CED" w:rsidP="0089247F">
            <w:pPr>
              <w:pStyle w:val="Tabletext"/>
              <w:jc w:val="center"/>
            </w:pPr>
            <w:r>
              <w:t>1</w:t>
            </w:r>
          </w:p>
        </w:tc>
      </w:tr>
      <w:tr w:rsidR="00D47A11" w:rsidRPr="00490FBB" w14:paraId="76D8A487" w14:textId="77777777" w:rsidTr="009533BE">
        <w:tc>
          <w:tcPr>
            <w:tcW w:w="4071" w:type="pct"/>
            <w:tcBorders>
              <w:top w:val="single" w:sz="4" w:space="0" w:color="auto"/>
              <w:left w:val="single" w:sz="4" w:space="0" w:color="auto"/>
              <w:bottom w:val="dotted" w:sz="4" w:space="0" w:color="auto"/>
              <w:right w:val="single" w:sz="4" w:space="0" w:color="auto"/>
            </w:tcBorders>
            <w:vAlign w:val="center"/>
          </w:tcPr>
          <w:p w14:paraId="4330E9F1" w14:textId="4DA9703A" w:rsidR="00D47A11" w:rsidRDefault="00C97E0E" w:rsidP="009A612D">
            <w:pPr>
              <w:pStyle w:val="Tabletext"/>
            </w:pPr>
            <w:r>
              <w:t>Age, years</w:t>
            </w:r>
          </w:p>
        </w:tc>
        <w:tc>
          <w:tcPr>
            <w:tcW w:w="929" w:type="pct"/>
            <w:tcBorders>
              <w:top w:val="single" w:sz="4" w:space="0" w:color="auto"/>
              <w:left w:val="single" w:sz="4" w:space="0" w:color="auto"/>
              <w:bottom w:val="dotted" w:sz="4" w:space="0" w:color="auto"/>
              <w:right w:val="single" w:sz="4" w:space="0" w:color="auto"/>
            </w:tcBorders>
            <w:vAlign w:val="center"/>
          </w:tcPr>
          <w:p w14:paraId="468BA8D4" w14:textId="77777777" w:rsidR="00D47A11" w:rsidRPr="00490FBB" w:rsidRDefault="00D47A11" w:rsidP="0089247F">
            <w:pPr>
              <w:pStyle w:val="Tabletext"/>
              <w:jc w:val="center"/>
            </w:pPr>
          </w:p>
        </w:tc>
      </w:tr>
      <w:tr w:rsidR="00D47A11" w:rsidRPr="00490FBB" w14:paraId="4F09BF89" w14:textId="77777777" w:rsidTr="009533BE">
        <w:tc>
          <w:tcPr>
            <w:tcW w:w="4071" w:type="pct"/>
            <w:tcBorders>
              <w:top w:val="dotted" w:sz="4" w:space="0" w:color="auto"/>
              <w:left w:val="single" w:sz="4" w:space="0" w:color="auto"/>
              <w:bottom w:val="dotted" w:sz="4" w:space="0" w:color="auto"/>
              <w:right w:val="single" w:sz="4" w:space="0" w:color="auto"/>
            </w:tcBorders>
            <w:vAlign w:val="center"/>
          </w:tcPr>
          <w:p w14:paraId="702CD53D" w14:textId="323423FE" w:rsidR="00D47A11" w:rsidRDefault="00C97E0E" w:rsidP="001F2552">
            <w:pPr>
              <w:pStyle w:val="Tabletext"/>
              <w:ind w:left="306"/>
            </w:pPr>
            <w:r>
              <w:t>18–29</w:t>
            </w:r>
          </w:p>
        </w:tc>
        <w:tc>
          <w:tcPr>
            <w:tcW w:w="929" w:type="pct"/>
            <w:tcBorders>
              <w:top w:val="dotted" w:sz="4" w:space="0" w:color="auto"/>
              <w:left w:val="single" w:sz="4" w:space="0" w:color="auto"/>
              <w:bottom w:val="dotted" w:sz="4" w:space="0" w:color="auto"/>
              <w:right w:val="single" w:sz="4" w:space="0" w:color="auto"/>
            </w:tcBorders>
            <w:vAlign w:val="center"/>
          </w:tcPr>
          <w:p w14:paraId="02FD6B4B" w14:textId="4D7D71FD" w:rsidR="00D47A11" w:rsidRPr="00490FBB" w:rsidRDefault="0089247F" w:rsidP="0089247F">
            <w:pPr>
              <w:pStyle w:val="Tabletext"/>
              <w:jc w:val="center"/>
            </w:pPr>
            <w:r>
              <w:t>5</w:t>
            </w:r>
          </w:p>
        </w:tc>
      </w:tr>
      <w:tr w:rsidR="00D47A11" w:rsidRPr="00490FBB" w14:paraId="44F6D9BB" w14:textId="77777777" w:rsidTr="009533BE">
        <w:tc>
          <w:tcPr>
            <w:tcW w:w="4071" w:type="pct"/>
            <w:tcBorders>
              <w:top w:val="dotted" w:sz="4" w:space="0" w:color="auto"/>
              <w:left w:val="single" w:sz="4" w:space="0" w:color="auto"/>
              <w:bottom w:val="dotted" w:sz="4" w:space="0" w:color="auto"/>
              <w:right w:val="single" w:sz="4" w:space="0" w:color="auto"/>
            </w:tcBorders>
            <w:vAlign w:val="center"/>
          </w:tcPr>
          <w:p w14:paraId="28309EB7" w14:textId="7F2C402D" w:rsidR="00D47A11" w:rsidRDefault="00C97E0E" w:rsidP="001F2552">
            <w:pPr>
              <w:pStyle w:val="Tabletext"/>
              <w:ind w:left="306"/>
            </w:pPr>
            <w:r>
              <w:t>30–39</w:t>
            </w:r>
          </w:p>
        </w:tc>
        <w:tc>
          <w:tcPr>
            <w:tcW w:w="929" w:type="pct"/>
            <w:tcBorders>
              <w:top w:val="dotted" w:sz="4" w:space="0" w:color="auto"/>
              <w:left w:val="single" w:sz="4" w:space="0" w:color="auto"/>
              <w:bottom w:val="dotted" w:sz="4" w:space="0" w:color="auto"/>
              <w:right w:val="single" w:sz="4" w:space="0" w:color="auto"/>
            </w:tcBorders>
            <w:vAlign w:val="center"/>
          </w:tcPr>
          <w:p w14:paraId="6C459876" w14:textId="608AE31B" w:rsidR="00D47A11" w:rsidRPr="00490FBB" w:rsidRDefault="0089247F" w:rsidP="0089247F">
            <w:pPr>
              <w:pStyle w:val="Tabletext"/>
              <w:jc w:val="center"/>
            </w:pPr>
            <w:r>
              <w:t>4</w:t>
            </w:r>
          </w:p>
        </w:tc>
      </w:tr>
      <w:tr w:rsidR="00D47A11" w:rsidRPr="00490FBB" w14:paraId="029274C1" w14:textId="77777777" w:rsidTr="009533BE">
        <w:tc>
          <w:tcPr>
            <w:tcW w:w="4071" w:type="pct"/>
            <w:tcBorders>
              <w:top w:val="dotted" w:sz="4" w:space="0" w:color="auto"/>
              <w:left w:val="single" w:sz="4" w:space="0" w:color="auto"/>
              <w:bottom w:val="dotted" w:sz="4" w:space="0" w:color="auto"/>
              <w:right w:val="single" w:sz="4" w:space="0" w:color="auto"/>
            </w:tcBorders>
            <w:vAlign w:val="center"/>
          </w:tcPr>
          <w:p w14:paraId="4D0BC64E" w14:textId="31CA210F" w:rsidR="00D47A11" w:rsidRDefault="00C97E0E" w:rsidP="001F2552">
            <w:pPr>
              <w:pStyle w:val="Tabletext"/>
              <w:ind w:left="306"/>
            </w:pPr>
            <w:r>
              <w:t>40–49</w:t>
            </w:r>
          </w:p>
        </w:tc>
        <w:tc>
          <w:tcPr>
            <w:tcW w:w="929" w:type="pct"/>
            <w:tcBorders>
              <w:top w:val="dotted" w:sz="4" w:space="0" w:color="auto"/>
              <w:left w:val="single" w:sz="4" w:space="0" w:color="auto"/>
              <w:bottom w:val="dotted" w:sz="4" w:space="0" w:color="auto"/>
              <w:right w:val="single" w:sz="4" w:space="0" w:color="auto"/>
            </w:tcBorders>
            <w:vAlign w:val="center"/>
          </w:tcPr>
          <w:p w14:paraId="57C38357" w14:textId="4B3767BD" w:rsidR="00D47A11" w:rsidRPr="00490FBB" w:rsidRDefault="0089247F" w:rsidP="0089247F">
            <w:pPr>
              <w:pStyle w:val="Tabletext"/>
              <w:jc w:val="center"/>
            </w:pPr>
            <w:r>
              <w:t>3</w:t>
            </w:r>
          </w:p>
        </w:tc>
      </w:tr>
      <w:tr w:rsidR="00D47A11" w:rsidRPr="00490FBB" w14:paraId="1C00F76C" w14:textId="77777777" w:rsidTr="009533BE">
        <w:tc>
          <w:tcPr>
            <w:tcW w:w="4071" w:type="pct"/>
            <w:tcBorders>
              <w:top w:val="dotted" w:sz="4" w:space="0" w:color="auto"/>
              <w:left w:val="single" w:sz="4" w:space="0" w:color="auto"/>
              <w:bottom w:val="dotted" w:sz="4" w:space="0" w:color="auto"/>
              <w:right w:val="single" w:sz="4" w:space="0" w:color="auto"/>
            </w:tcBorders>
            <w:vAlign w:val="center"/>
          </w:tcPr>
          <w:p w14:paraId="4795C2EA" w14:textId="2B5DC30E" w:rsidR="00D47A11" w:rsidRDefault="00C97E0E" w:rsidP="001F2552">
            <w:pPr>
              <w:pStyle w:val="Tabletext"/>
              <w:ind w:left="306"/>
            </w:pPr>
            <w:r>
              <w:t>50–59</w:t>
            </w:r>
          </w:p>
        </w:tc>
        <w:tc>
          <w:tcPr>
            <w:tcW w:w="929" w:type="pct"/>
            <w:tcBorders>
              <w:top w:val="dotted" w:sz="4" w:space="0" w:color="auto"/>
              <w:left w:val="single" w:sz="4" w:space="0" w:color="auto"/>
              <w:bottom w:val="dotted" w:sz="4" w:space="0" w:color="auto"/>
              <w:right w:val="single" w:sz="4" w:space="0" w:color="auto"/>
            </w:tcBorders>
            <w:vAlign w:val="center"/>
          </w:tcPr>
          <w:p w14:paraId="57636AB1" w14:textId="27938AD7" w:rsidR="00D47A11" w:rsidRPr="00490FBB" w:rsidRDefault="0089247F" w:rsidP="0089247F">
            <w:pPr>
              <w:pStyle w:val="Tabletext"/>
              <w:jc w:val="center"/>
            </w:pPr>
            <w:r>
              <w:t>2</w:t>
            </w:r>
          </w:p>
        </w:tc>
      </w:tr>
      <w:tr w:rsidR="00D47A11" w:rsidRPr="00490FBB" w14:paraId="4F32BFF7" w14:textId="77777777" w:rsidTr="009533BE">
        <w:tc>
          <w:tcPr>
            <w:tcW w:w="4071" w:type="pct"/>
            <w:tcBorders>
              <w:top w:val="dotted" w:sz="4" w:space="0" w:color="auto"/>
              <w:left w:val="single" w:sz="4" w:space="0" w:color="auto"/>
              <w:bottom w:val="dotted" w:sz="4" w:space="0" w:color="auto"/>
              <w:right w:val="single" w:sz="4" w:space="0" w:color="auto"/>
            </w:tcBorders>
            <w:vAlign w:val="center"/>
          </w:tcPr>
          <w:p w14:paraId="6C20AC05" w14:textId="239DA2A8" w:rsidR="00D47A11" w:rsidRDefault="00C97E0E" w:rsidP="001F2552">
            <w:pPr>
              <w:pStyle w:val="Tabletext"/>
              <w:ind w:left="306"/>
            </w:pPr>
            <w:r>
              <w:t>60–69</w:t>
            </w:r>
          </w:p>
        </w:tc>
        <w:tc>
          <w:tcPr>
            <w:tcW w:w="929" w:type="pct"/>
            <w:tcBorders>
              <w:top w:val="dotted" w:sz="4" w:space="0" w:color="auto"/>
              <w:left w:val="single" w:sz="4" w:space="0" w:color="auto"/>
              <w:bottom w:val="dotted" w:sz="4" w:space="0" w:color="auto"/>
              <w:right w:val="single" w:sz="4" w:space="0" w:color="auto"/>
            </w:tcBorders>
            <w:vAlign w:val="center"/>
          </w:tcPr>
          <w:p w14:paraId="3C742817" w14:textId="62421107" w:rsidR="00D47A11" w:rsidRPr="00490FBB" w:rsidRDefault="0089247F" w:rsidP="0089247F">
            <w:pPr>
              <w:pStyle w:val="Tabletext"/>
              <w:jc w:val="center"/>
            </w:pPr>
            <w:r>
              <w:t>1</w:t>
            </w:r>
          </w:p>
        </w:tc>
      </w:tr>
      <w:tr w:rsidR="00D47A11" w:rsidRPr="00490FBB" w14:paraId="5AABD9D4" w14:textId="77777777" w:rsidTr="009533BE">
        <w:tc>
          <w:tcPr>
            <w:tcW w:w="4071" w:type="pct"/>
            <w:tcBorders>
              <w:top w:val="dotted" w:sz="4" w:space="0" w:color="auto"/>
              <w:left w:val="single" w:sz="4" w:space="0" w:color="auto"/>
              <w:bottom w:val="single" w:sz="4" w:space="0" w:color="auto"/>
              <w:right w:val="single" w:sz="4" w:space="0" w:color="auto"/>
            </w:tcBorders>
            <w:vAlign w:val="center"/>
          </w:tcPr>
          <w:p w14:paraId="68FB36C0" w14:textId="269791B1" w:rsidR="00D47A11" w:rsidRDefault="001F2552" w:rsidP="001F2552">
            <w:pPr>
              <w:pStyle w:val="Tabletext"/>
              <w:ind w:left="306"/>
            </w:pPr>
            <w:r>
              <w:t>70+</w:t>
            </w:r>
          </w:p>
        </w:tc>
        <w:tc>
          <w:tcPr>
            <w:tcW w:w="929" w:type="pct"/>
            <w:tcBorders>
              <w:top w:val="dotted" w:sz="4" w:space="0" w:color="auto"/>
              <w:left w:val="single" w:sz="4" w:space="0" w:color="auto"/>
              <w:bottom w:val="single" w:sz="4" w:space="0" w:color="auto"/>
              <w:right w:val="single" w:sz="4" w:space="0" w:color="auto"/>
            </w:tcBorders>
            <w:vAlign w:val="center"/>
          </w:tcPr>
          <w:p w14:paraId="087063A8" w14:textId="1B9418DB" w:rsidR="00D47A11" w:rsidRPr="00490FBB" w:rsidRDefault="0089247F" w:rsidP="0089247F">
            <w:pPr>
              <w:pStyle w:val="Tabletext"/>
              <w:jc w:val="center"/>
            </w:pPr>
            <w:r>
              <w:t>0</w:t>
            </w:r>
          </w:p>
        </w:tc>
      </w:tr>
      <w:tr w:rsidR="00D47A11" w:rsidRPr="00490FBB" w14:paraId="7A49B76C" w14:textId="77777777" w:rsidTr="0037347A">
        <w:tc>
          <w:tcPr>
            <w:tcW w:w="4071" w:type="pct"/>
            <w:tcBorders>
              <w:top w:val="single" w:sz="4" w:space="0" w:color="auto"/>
              <w:left w:val="single" w:sz="4" w:space="0" w:color="auto"/>
              <w:bottom w:val="single" w:sz="4" w:space="0" w:color="auto"/>
              <w:right w:val="single" w:sz="4" w:space="0" w:color="auto"/>
            </w:tcBorders>
            <w:vAlign w:val="center"/>
          </w:tcPr>
          <w:p w14:paraId="0DD083E5" w14:textId="3E79BFF4" w:rsidR="00D47A11" w:rsidRDefault="00D66CED" w:rsidP="009A612D">
            <w:pPr>
              <w:pStyle w:val="Tabletext"/>
            </w:pPr>
            <w:r>
              <w:t xml:space="preserve">Total </w:t>
            </w:r>
            <w:proofErr w:type="spellStart"/>
            <w:r>
              <w:t>RoPE</w:t>
            </w:r>
            <w:proofErr w:type="spellEnd"/>
            <w:r>
              <w:t xml:space="preserve"> Score (sum of individual points) = </w:t>
            </w:r>
          </w:p>
        </w:tc>
        <w:tc>
          <w:tcPr>
            <w:tcW w:w="929" w:type="pct"/>
            <w:tcBorders>
              <w:top w:val="single" w:sz="4" w:space="0" w:color="auto"/>
              <w:left w:val="single" w:sz="4" w:space="0" w:color="auto"/>
              <w:bottom w:val="single" w:sz="4" w:space="0" w:color="auto"/>
              <w:right w:val="single" w:sz="4" w:space="0" w:color="auto"/>
            </w:tcBorders>
            <w:vAlign w:val="center"/>
          </w:tcPr>
          <w:p w14:paraId="13608E8F" w14:textId="77777777" w:rsidR="00D47A11" w:rsidRPr="00490FBB" w:rsidRDefault="00D47A11" w:rsidP="0089247F">
            <w:pPr>
              <w:pStyle w:val="Tabletext"/>
              <w:jc w:val="center"/>
            </w:pPr>
          </w:p>
        </w:tc>
      </w:tr>
    </w:tbl>
    <w:p w14:paraId="70164CF2" w14:textId="3C4099CB" w:rsidR="0063465D" w:rsidRDefault="0063465D" w:rsidP="00273B22">
      <w:pPr>
        <w:pStyle w:val="Tablenotes"/>
        <w:spacing w:after="0"/>
        <w:rPr>
          <w:lang w:val="en-GB" w:eastAsia="ja-JP"/>
        </w:rPr>
      </w:pPr>
      <w:r>
        <w:rPr>
          <w:lang w:val="en-GB" w:eastAsia="ja-JP"/>
        </w:rPr>
        <w:t xml:space="preserve">Note: </w:t>
      </w:r>
      <w:r w:rsidR="002C1314" w:rsidRPr="002C1314">
        <w:rPr>
          <w:lang w:val="en-GB" w:eastAsia="ja-JP"/>
        </w:rPr>
        <w:t xml:space="preserve">Based on the </w:t>
      </w:r>
      <w:proofErr w:type="spellStart"/>
      <w:r w:rsidR="002C1314" w:rsidRPr="002C1314">
        <w:rPr>
          <w:lang w:val="en-GB" w:eastAsia="ja-JP"/>
        </w:rPr>
        <w:t>RoPE</w:t>
      </w:r>
      <w:proofErr w:type="spellEnd"/>
      <w:r w:rsidR="002C1314" w:rsidRPr="002C1314">
        <w:rPr>
          <w:lang w:val="en-GB" w:eastAsia="ja-JP"/>
        </w:rPr>
        <w:t xml:space="preserve"> study, scores of 0</w:t>
      </w:r>
      <w:r w:rsidR="00EC16C6">
        <w:rPr>
          <w:lang w:val="en-GB" w:eastAsia="ja-JP"/>
        </w:rPr>
        <w:t>–</w:t>
      </w:r>
      <w:r w:rsidR="002C1314" w:rsidRPr="002C1314">
        <w:rPr>
          <w:lang w:val="en-GB" w:eastAsia="ja-JP"/>
        </w:rPr>
        <w:t>3 are associated with an approximately 0% probability that the stroke is attributable to the PFO, scores of 4</w:t>
      </w:r>
      <w:r w:rsidR="00EC16C6">
        <w:rPr>
          <w:lang w:val="en-GB" w:eastAsia="ja-JP"/>
        </w:rPr>
        <w:t>–</w:t>
      </w:r>
      <w:r w:rsidR="002C1314" w:rsidRPr="002C1314">
        <w:rPr>
          <w:lang w:val="en-GB" w:eastAsia="ja-JP"/>
        </w:rPr>
        <w:t>5 with a probability of approximately 34</w:t>
      </w:r>
      <w:r w:rsidR="00EC16C6">
        <w:rPr>
          <w:lang w:val="en-GB" w:eastAsia="ja-JP"/>
        </w:rPr>
        <w:t>–</w:t>
      </w:r>
      <w:r w:rsidR="002C1314" w:rsidRPr="002C1314">
        <w:rPr>
          <w:lang w:val="en-GB" w:eastAsia="ja-JP"/>
        </w:rPr>
        <w:t>38%, scores of 6</w:t>
      </w:r>
      <w:r w:rsidR="00EC16C6">
        <w:rPr>
          <w:lang w:val="en-GB" w:eastAsia="ja-JP"/>
        </w:rPr>
        <w:t>–</w:t>
      </w:r>
      <w:r w:rsidR="002C1314" w:rsidRPr="002C1314">
        <w:rPr>
          <w:lang w:val="en-GB" w:eastAsia="ja-JP"/>
        </w:rPr>
        <w:t>7 with a probability of approximately 62</w:t>
      </w:r>
      <w:r w:rsidR="00EC16C6">
        <w:rPr>
          <w:lang w:val="en-GB" w:eastAsia="ja-JP"/>
        </w:rPr>
        <w:t>–</w:t>
      </w:r>
      <w:r w:rsidR="002C1314" w:rsidRPr="002C1314">
        <w:rPr>
          <w:lang w:val="en-GB" w:eastAsia="ja-JP"/>
        </w:rPr>
        <w:t>72%, score 8 with a probability of approximately 84%, and scores of 9</w:t>
      </w:r>
      <w:r w:rsidR="00EC16C6">
        <w:rPr>
          <w:lang w:val="en-GB" w:eastAsia="ja-JP"/>
        </w:rPr>
        <w:t>–</w:t>
      </w:r>
      <w:r w:rsidR="002C1314" w:rsidRPr="002C1314">
        <w:rPr>
          <w:lang w:val="en-GB" w:eastAsia="ja-JP"/>
        </w:rPr>
        <w:t>10 with a probability of approximately 88</w:t>
      </w:r>
      <w:r w:rsidR="00EC16C6">
        <w:rPr>
          <w:lang w:val="en-GB" w:eastAsia="ja-JP"/>
        </w:rPr>
        <w:t>–</w:t>
      </w:r>
      <w:r w:rsidR="002C1314" w:rsidRPr="002C1314">
        <w:rPr>
          <w:lang w:val="en-GB" w:eastAsia="ja-JP"/>
        </w:rPr>
        <w:t>90%</w:t>
      </w:r>
      <w:r w:rsidR="00262A87">
        <w:rPr>
          <w:lang w:val="en-GB" w:eastAsia="ja-JP"/>
        </w:rPr>
        <w:t>.</w:t>
      </w:r>
    </w:p>
    <w:p w14:paraId="5133CEB9" w14:textId="3F6C206F" w:rsidR="00273B22" w:rsidRDefault="00273B22" w:rsidP="00273B22">
      <w:pPr>
        <w:pStyle w:val="Tablenotes"/>
        <w:spacing w:after="360"/>
        <w:rPr>
          <w:lang w:val="en-GB" w:eastAsia="ja-JP"/>
        </w:rPr>
      </w:pPr>
      <w:r>
        <w:rPr>
          <w:lang w:val="en-GB" w:eastAsia="ja-JP"/>
        </w:rPr>
        <w:t>Source: Kent et al. (2021), Table 1.</w:t>
      </w:r>
    </w:p>
    <w:p w14:paraId="199D7E33" w14:textId="4F920EFE" w:rsidR="00CC0C64" w:rsidRDefault="00CC0C64" w:rsidP="00CC0C64">
      <w:pPr>
        <w:pStyle w:val="Caption"/>
      </w:pPr>
      <w:bookmarkStart w:id="3" w:name="_Ref232626609"/>
      <w:r>
        <w:t xml:space="preserve">Table </w:t>
      </w:r>
      <w:r>
        <w:fldChar w:fldCharType="begin"/>
      </w:r>
      <w:r>
        <w:instrText xml:space="preserve"> SEQ Table \* ARABIC </w:instrText>
      </w:r>
      <w:r>
        <w:fldChar w:fldCharType="separate"/>
      </w:r>
      <w:r>
        <w:rPr>
          <w:noProof/>
        </w:rPr>
        <w:t>3</w:t>
      </w:r>
      <w:r>
        <w:fldChar w:fldCharType="end"/>
      </w:r>
      <w:bookmarkEnd w:id="3"/>
      <w:r>
        <w:tab/>
      </w:r>
      <w:r w:rsidR="00DB43BA">
        <w:t>PASCAL Classification System</w:t>
      </w:r>
    </w:p>
    <w:tbl>
      <w:tblPr>
        <w:tblW w:w="5000" w:type="pct"/>
        <w:tblCellMar>
          <w:left w:w="115" w:type="dxa"/>
          <w:right w:w="115" w:type="dxa"/>
        </w:tblCellMar>
        <w:tblLook w:val="01E0" w:firstRow="1" w:lastRow="1" w:firstColumn="1" w:lastColumn="1" w:noHBand="0" w:noVBand="0"/>
        <w:tblCaption w:val="PASCAL Classification System"/>
        <w:tblDescription w:val="The table presents the elements considered in the PASCAL classification system, including the final determination of whether a PFO-related stroke is unlikely, possible or probable."/>
      </w:tblPr>
      <w:tblGrid>
        <w:gridCol w:w="3190"/>
        <w:gridCol w:w="3190"/>
        <w:gridCol w:w="3191"/>
      </w:tblGrid>
      <w:tr w:rsidR="003D70C2" w:rsidRPr="00490FBB" w14:paraId="6274EB2C" w14:textId="77777777" w:rsidTr="0037347A">
        <w:trPr>
          <w:tblHeader/>
        </w:trPr>
        <w:tc>
          <w:tcPr>
            <w:tcW w:w="1666" w:type="pct"/>
            <w:tcBorders>
              <w:top w:val="single" w:sz="4" w:space="0" w:color="auto"/>
              <w:left w:val="single" w:sz="4" w:space="0" w:color="auto"/>
              <w:right w:val="single" w:sz="4" w:space="0" w:color="auto"/>
            </w:tcBorders>
          </w:tcPr>
          <w:p w14:paraId="49FF3D2C" w14:textId="68D20652" w:rsidR="003D70C2" w:rsidRPr="00490FBB" w:rsidRDefault="009A5C06" w:rsidP="00D63E4A">
            <w:pPr>
              <w:pStyle w:val="TableHeading"/>
              <w:jc w:val="center"/>
            </w:pPr>
            <w:r>
              <w:t xml:space="preserve">High </w:t>
            </w:r>
            <w:proofErr w:type="spellStart"/>
            <w:r>
              <w:t>RoPE</w:t>
            </w:r>
            <w:proofErr w:type="spellEnd"/>
            <w:r>
              <w:t xml:space="preserve"> Score (≥7)</w:t>
            </w:r>
          </w:p>
        </w:tc>
        <w:tc>
          <w:tcPr>
            <w:tcW w:w="1666" w:type="pct"/>
            <w:tcBorders>
              <w:top w:val="single" w:sz="4" w:space="0" w:color="auto"/>
              <w:left w:val="nil"/>
              <w:bottom w:val="single" w:sz="4" w:space="0" w:color="auto"/>
              <w:right w:val="single" w:sz="4" w:space="0" w:color="auto"/>
            </w:tcBorders>
          </w:tcPr>
          <w:p w14:paraId="5278F4A4" w14:textId="719C896D" w:rsidR="003D70C2" w:rsidRPr="00490FBB" w:rsidRDefault="009A5C06" w:rsidP="00D63E4A">
            <w:pPr>
              <w:pStyle w:val="TableHeading"/>
              <w:jc w:val="center"/>
            </w:pPr>
            <w:r>
              <w:t xml:space="preserve">High-risk PFO </w:t>
            </w:r>
            <w:r w:rsidR="001D7644">
              <w:t>feature</w:t>
            </w:r>
            <w:r w:rsidR="00173D1A">
              <w:br/>
            </w:r>
            <w:r w:rsidR="001D7644">
              <w:t>(</w:t>
            </w:r>
            <w:r w:rsidR="00173D1A">
              <w:t>large shunt</w:t>
            </w:r>
            <w:r w:rsidR="001D7644">
              <w:t xml:space="preserve"> and/or ASA)</w:t>
            </w:r>
          </w:p>
        </w:tc>
        <w:tc>
          <w:tcPr>
            <w:tcW w:w="1667" w:type="pct"/>
            <w:tcBorders>
              <w:top w:val="single" w:sz="4" w:space="0" w:color="auto"/>
              <w:left w:val="single" w:sz="4" w:space="0" w:color="auto"/>
              <w:bottom w:val="single" w:sz="4" w:space="0" w:color="auto"/>
              <w:right w:val="single" w:sz="4" w:space="0" w:color="auto"/>
            </w:tcBorders>
          </w:tcPr>
          <w:p w14:paraId="5FDAA83C" w14:textId="6DF0EC73" w:rsidR="003D70C2" w:rsidRPr="00490FBB" w:rsidRDefault="001D7644" w:rsidP="00D63E4A">
            <w:pPr>
              <w:pStyle w:val="TableHeading"/>
              <w:jc w:val="center"/>
            </w:pPr>
            <w:r>
              <w:t>PFO-related stroke</w:t>
            </w:r>
          </w:p>
        </w:tc>
      </w:tr>
      <w:tr w:rsidR="003D70C2" w:rsidRPr="00490FBB" w14:paraId="046E3104" w14:textId="77777777" w:rsidTr="0037347A">
        <w:tc>
          <w:tcPr>
            <w:tcW w:w="1666" w:type="pct"/>
            <w:tcBorders>
              <w:top w:val="single" w:sz="4" w:space="0" w:color="auto"/>
              <w:left w:val="single" w:sz="4" w:space="0" w:color="auto"/>
              <w:bottom w:val="single" w:sz="4" w:space="0" w:color="auto"/>
              <w:right w:val="single" w:sz="4" w:space="0" w:color="auto"/>
            </w:tcBorders>
            <w:vAlign w:val="center"/>
          </w:tcPr>
          <w:p w14:paraId="3A6EEDF9" w14:textId="5D84BA9B" w:rsidR="003D70C2" w:rsidRPr="00490FBB" w:rsidRDefault="001D7644" w:rsidP="00D63E4A">
            <w:pPr>
              <w:pStyle w:val="Tabletext"/>
              <w:jc w:val="center"/>
            </w:pPr>
            <w:r>
              <w:t>Absent</w:t>
            </w:r>
          </w:p>
        </w:tc>
        <w:tc>
          <w:tcPr>
            <w:tcW w:w="1666" w:type="pct"/>
            <w:tcBorders>
              <w:top w:val="single" w:sz="4" w:space="0" w:color="auto"/>
              <w:left w:val="single" w:sz="4" w:space="0" w:color="auto"/>
              <w:bottom w:val="single" w:sz="4" w:space="0" w:color="auto"/>
              <w:right w:val="single" w:sz="4" w:space="0" w:color="auto"/>
            </w:tcBorders>
          </w:tcPr>
          <w:p w14:paraId="3226FFD6" w14:textId="1A568E81" w:rsidR="003D70C2" w:rsidRPr="00490FBB" w:rsidRDefault="00173D1A" w:rsidP="00D63E4A">
            <w:pPr>
              <w:pStyle w:val="Tabletext"/>
              <w:jc w:val="center"/>
            </w:pPr>
            <w:r>
              <w:t>Absent</w:t>
            </w:r>
          </w:p>
        </w:tc>
        <w:tc>
          <w:tcPr>
            <w:tcW w:w="1667" w:type="pct"/>
            <w:tcBorders>
              <w:top w:val="single" w:sz="4" w:space="0" w:color="auto"/>
              <w:left w:val="single" w:sz="4" w:space="0" w:color="auto"/>
              <w:bottom w:val="single" w:sz="4" w:space="0" w:color="auto"/>
              <w:right w:val="single" w:sz="4" w:space="0" w:color="auto"/>
            </w:tcBorders>
            <w:vAlign w:val="center"/>
          </w:tcPr>
          <w:p w14:paraId="4CAC2E04" w14:textId="209631D5" w:rsidR="003D70C2" w:rsidRPr="00490FBB" w:rsidRDefault="00173D1A" w:rsidP="00D63E4A">
            <w:pPr>
              <w:pStyle w:val="Tabletext"/>
              <w:jc w:val="center"/>
            </w:pPr>
            <w:r>
              <w:t>Unlikely</w:t>
            </w:r>
          </w:p>
        </w:tc>
      </w:tr>
      <w:tr w:rsidR="003D70C2" w:rsidRPr="00490FBB" w14:paraId="5D1BE6F3" w14:textId="77777777" w:rsidTr="0037347A">
        <w:tc>
          <w:tcPr>
            <w:tcW w:w="1666" w:type="pct"/>
            <w:tcBorders>
              <w:top w:val="single" w:sz="4" w:space="0" w:color="auto"/>
              <w:left w:val="single" w:sz="4" w:space="0" w:color="auto"/>
              <w:bottom w:val="single" w:sz="4" w:space="0" w:color="auto"/>
              <w:right w:val="single" w:sz="4" w:space="0" w:color="auto"/>
            </w:tcBorders>
            <w:vAlign w:val="center"/>
          </w:tcPr>
          <w:p w14:paraId="125B069A" w14:textId="0AF54DA2" w:rsidR="003D70C2" w:rsidRPr="00882151" w:rsidRDefault="001D7644" w:rsidP="00D63E4A">
            <w:pPr>
              <w:pStyle w:val="Tabletext"/>
              <w:jc w:val="center"/>
            </w:pPr>
            <w:r>
              <w:t>Absent</w:t>
            </w:r>
          </w:p>
        </w:tc>
        <w:tc>
          <w:tcPr>
            <w:tcW w:w="1666" w:type="pct"/>
            <w:tcBorders>
              <w:top w:val="single" w:sz="4" w:space="0" w:color="auto"/>
              <w:left w:val="single" w:sz="4" w:space="0" w:color="auto"/>
              <w:bottom w:val="single" w:sz="4" w:space="0" w:color="auto"/>
              <w:right w:val="single" w:sz="4" w:space="0" w:color="auto"/>
            </w:tcBorders>
          </w:tcPr>
          <w:p w14:paraId="3518F6F6" w14:textId="61B54EDE" w:rsidR="003D70C2" w:rsidRPr="00882151" w:rsidRDefault="00173D1A" w:rsidP="00D63E4A">
            <w:pPr>
              <w:pStyle w:val="Tabletext"/>
              <w:jc w:val="center"/>
            </w:pPr>
            <w:r>
              <w:t>Present</w:t>
            </w:r>
          </w:p>
        </w:tc>
        <w:tc>
          <w:tcPr>
            <w:tcW w:w="1667" w:type="pct"/>
            <w:tcBorders>
              <w:top w:val="single" w:sz="4" w:space="0" w:color="auto"/>
              <w:left w:val="single" w:sz="4" w:space="0" w:color="auto"/>
              <w:bottom w:val="single" w:sz="4" w:space="0" w:color="auto"/>
              <w:right w:val="single" w:sz="4" w:space="0" w:color="auto"/>
            </w:tcBorders>
            <w:vAlign w:val="center"/>
          </w:tcPr>
          <w:p w14:paraId="4918F280" w14:textId="658D826E" w:rsidR="003D70C2" w:rsidRPr="00882151" w:rsidRDefault="00173D1A" w:rsidP="00D63E4A">
            <w:pPr>
              <w:pStyle w:val="Tabletext"/>
              <w:jc w:val="center"/>
            </w:pPr>
            <w:r>
              <w:t>Possible</w:t>
            </w:r>
          </w:p>
        </w:tc>
      </w:tr>
      <w:tr w:rsidR="003D70C2" w:rsidRPr="00490FBB" w14:paraId="5972507A" w14:textId="77777777" w:rsidTr="0037347A">
        <w:tc>
          <w:tcPr>
            <w:tcW w:w="1666" w:type="pct"/>
            <w:tcBorders>
              <w:top w:val="single" w:sz="4" w:space="0" w:color="auto"/>
              <w:left w:val="single" w:sz="4" w:space="0" w:color="auto"/>
              <w:bottom w:val="single" w:sz="4" w:space="0" w:color="auto"/>
              <w:right w:val="single" w:sz="4" w:space="0" w:color="auto"/>
            </w:tcBorders>
            <w:vAlign w:val="center"/>
          </w:tcPr>
          <w:p w14:paraId="1277D8F0" w14:textId="281C418E" w:rsidR="003D70C2" w:rsidRDefault="001D7644" w:rsidP="00D63E4A">
            <w:pPr>
              <w:pStyle w:val="Tabletext"/>
              <w:jc w:val="center"/>
            </w:pPr>
            <w:r>
              <w:t>Present</w:t>
            </w:r>
          </w:p>
        </w:tc>
        <w:tc>
          <w:tcPr>
            <w:tcW w:w="1666" w:type="pct"/>
            <w:tcBorders>
              <w:top w:val="single" w:sz="4" w:space="0" w:color="auto"/>
              <w:left w:val="single" w:sz="4" w:space="0" w:color="auto"/>
              <w:bottom w:val="single" w:sz="4" w:space="0" w:color="auto"/>
              <w:right w:val="single" w:sz="4" w:space="0" w:color="auto"/>
            </w:tcBorders>
          </w:tcPr>
          <w:p w14:paraId="1F802A02" w14:textId="13C720ED" w:rsidR="003D70C2" w:rsidRPr="00490FBB" w:rsidRDefault="00173D1A" w:rsidP="00D63E4A">
            <w:pPr>
              <w:pStyle w:val="Tabletext"/>
              <w:jc w:val="center"/>
            </w:pPr>
            <w:r>
              <w:t>Absent</w:t>
            </w:r>
          </w:p>
        </w:tc>
        <w:tc>
          <w:tcPr>
            <w:tcW w:w="1667" w:type="pct"/>
            <w:tcBorders>
              <w:top w:val="single" w:sz="4" w:space="0" w:color="auto"/>
              <w:left w:val="single" w:sz="4" w:space="0" w:color="auto"/>
              <w:bottom w:val="single" w:sz="4" w:space="0" w:color="auto"/>
              <w:right w:val="single" w:sz="4" w:space="0" w:color="auto"/>
            </w:tcBorders>
            <w:vAlign w:val="center"/>
          </w:tcPr>
          <w:p w14:paraId="1ACA2ECE" w14:textId="124D60AD" w:rsidR="003D70C2" w:rsidRPr="00490FBB" w:rsidRDefault="00173D1A" w:rsidP="00D63E4A">
            <w:pPr>
              <w:pStyle w:val="Tabletext"/>
              <w:jc w:val="center"/>
            </w:pPr>
            <w:r>
              <w:t>Possible</w:t>
            </w:r>
          </w:p>
        </w:tc>
      </w:tr>
      <w:tr w:rsidR="003D70C2" w:rsidRPr="00490FBB" w14:paraId="1F554B44" w14:textId="77777777" w:rsidTr="0037347A">
        <w:tc>
          <w:tcPr>
            <w:tcW w:w="1666" w:type="pct"/>
            <w:tcBorders>
              <w:top w:val="single" w:sz="4" w:space="0" w:color="auto"/>
              <w:left w:val="single" w:sz="4" w:space="0" w:color="auto"/>
              <w:bottom w:val="single" w:sz="4" w:space="0" w:color="auto"/>
              <w:right w:val="single" w:sz="4" w:space="0" w:color="auto"/>
            </w:tcBorders>
            <w:vAlign w:val="center"/>
          </w:tcPr>
          <w:p w14:paraId="118648A4" w14:textId="6BC0EFCF" w:rsidR="003D70C2" w:rsidRDefault="001D7644" w:rsidP="00D63E4A">
            <w:pPr>
              <w:pStyle w:val="Tabletext"/>
              <w:jc w:val="center"/>
            </w:pPr>
            <w:r>
              <w:t>Present</w:t>
            </w:r>
          </w:p>
        </w:tc>
        <w:tc>
          <w:tcPr>
            <w:tcW w:w="1666" w:type="pct"/>
            <w:tcBorders>
              <w:top w:val="single" w:sz="4" w:space="0" w:color="auto"/>
              <w:left w:val="single" w:sz="4" w:space="0" w:color="auto"/>
              <w:bottom w:val="single" w:sz="4" w:space="0" w:color="auto"/>
              <w:right w:val="single" w:sz="4" w:space="0" w:color="auto"/>
            </w:tcBorders>
          </w:tcPr>
          <w:p w14:paraId="610C7A10" w14:textId="16476579" w:rsidR="003D70C2" w:rsidRPr="00490FBB" w:rsidRDefault="00173D1A" w:rsidP="00D63E4A">
            <w:pPr>
              <w:pStyle w:val="Tabletext"/>
              <w:jc w:val="center"/>
            </w:pPr>
            <w:r>
              <w:t>Present</w:t>
            </w:r>
          </w:p>
        </w:tc>
        <w:tc>
          <w:tcPr>
            <w:tcW w:w="1667" w:type="pct"/>
            <w:tcBorders>
              <w:top w:val="single" w:sz="4" w:space="0" w:color="auto"/>
              <w:left w:val="single" w:sz="4" w:space="0" w:color="auto"/>
              <w:bottom w:val="single" w:sz="4" w:space="0" w:color="auto"/>
              <w:right w:val="single" w:sz="4" w:space="0" w:color="auto"/>
            </w:tcBorders>
            <w:vAlign w:val="center"/>
          </w:tcPr>
          <w:p w14:paraId="679D79C4" w14:textId="0681FFF6" w:rsidR="003D70C2" w:rsidRPr="00490FBB" w:rsidRDefault="00173D1A" w:rsidP="00D63E4A">
            <w:pPr>
              <w:pStyle w:val="Tabletext"/>
              <w:jc w:val="center"/>
            </w:pPr>
            <w:r>
              <w:t>Probable</w:t>
            </w:r>
          </w:p>
        </w:tc>
      </w:tr>
    </w:tbl>
    <w:p w14:paraId="0399CDFE" w14:textId="3C2C7788" w:rsidR="0048127F" w:rsidRDefault="00BB30BB" w:rsidP="00273B22">
      <w:pPr>
        <w:pStyle w:val="Tablenotes"/>
        <w:spacing w:after="0"/>
        <w:rPr>
          <w:lang w:val="en-GB" w:eastAsia="ja-JP"/>
        </w:rPr>
      </w:pPr>
      <w:r>
        <w:rPr>
          <w:lang w:val="en-GB" w:eastAsia="ja-JP"/>
        </w:rPr>
        <w:t xml:space="preserve">ASA = </w:t>
      </w:r>
      <w:r w:rsidR="0031252D">
        <w:rPr>
          <w:lang w:val="en-GB" w:eastAsia="ja-JP"/>
        </w:rPr>
        <w:t xml:space="preserve">atrial septal aneurysm; </w:t>
      </w:r>
      <w:r>
        <w:rPr>
          <w:lang w:val="en-GB" w:eastAsia="ja-JP"/>
        </w:rPr>
        <w:t xml:space="preserve">PFO = patent foramen </w:t>
      </w:r>
      <w:proofErr w:type="spellStart"/>
      <w:r>
        <w:rPr>
          <w:lang w:val="en-GB" w:eastAsia="ja-JP"/>
        </w:rPr>
        <w:t>ovale</w:t>
      </w:r>
      <w:proofErr w:type="spellEnd"/>
      <w:r w:rsidR="0031252D">
        <w:rPr>
          <w:lang w:val="en-GB" w:eastAsia="ja-JP"/>
        </w:rPr>
        <w:t>; TOE = transoesophageal echocardiography</w:t>
      </w:r>
      <w:r>
        <w:rPr>
          <w:lang w:val="en-GB" w:eastAsia="ja-JP"/>
        </w:rPr>
        <w:t>.</w:t>
      </w:r>
    </w:p>
    <w:p w14:paraId="440E1DCD" w14:textId="630C9B0F" w:rsidR="00CC0C64" w:rsidRDefault="00CC0C64" w:rsidP="00273B22">
      <w:pPr>
        <w:pStyle w:val="Tablenotes"/>
        <w:spacing w:after="0"/>
        <w:rPr>
          <w:lang w:val="en-GB" w:eastAsia="ja-JP"/>
        </w:rPr>
      </w:pPr>
      <w:r>
        <w:rPr>
          <w:lang w:val="en-GB" w:eastAsia="ja-JP"/>
        </w:rPr>
        <w:t xml:space="preserve">Note: </w:t>
      </w:r>
      <w:r w:rsidR="00F714AE" w:rsidRPr="00F714AE">
        <w:rPr>
          <w:lang w:val="en-GB" w:eastAsia="ja-JP"/>
        </w:rPr>
        <w:t xml:space="preserve">The PASCAL algorithm was developed using a mixed methods approach incorporating expert judgement, physiologic and epidemiologic data, and the validated </w:t>
      </w:r>
      <w:proofErr w:type="spellStart"/>
      <w:r w:rsidR="00F714AE" w:rsidRPr="00F714AE">
        <w:rPr>
          <w:lang w:val="en-GB" w:eastAsia="ja-JP"/>
        </w:rPr>
        <w:t>RoPE</w:t>
      </w:r>
      <w:proofErr w:type="spellEnd"/>
      <w:r w:rsidR="00F714AE" w:rsidRPr="00F714AE">
        <w:rPr>
          <w:lang w:val="en-GB" w:eastAsia="ja-JP"/>
        </w:rPr>
        <w:t xml:space="preserve"> Score.</w:t>
      </w:r>
      <w:r w:rsidR="00F714AE">
        <w:rPr>
          <w:lang w:val="en-GB" w:eastAsia="ja-JP"/>
        </w:rPr>
        <w:t xml:space="preserve"> </w:t>
      </w:r>
      <w:r w:rsidR="0069276A" w:rsidRPr="0069276A">
        <w:rPr>
          <w:lang w:val="en-GB" w:eastAsia="ja-JP"/>
        </w:rPr>
        <w:t xml:space="preserve">A higher </w:t>
      </w:r>
      <w:proofErr w:type="spellStart"/>
      <w:r w:rsidR="0069276A" w:rsidRPr="0069276A">
        <w:rPr>
          <w:lang w:val="en-GB" w:eastAsia="ja-JP"/>
        </w:rPr>
        <w:t>RoPE</w:t>
      </w:r>
      <w:proofErr w:type="spellEnd"/>
      <w:r w:rsidR="0069276A" w:rsidRPr="0069276A">
        <w:rPr>
          <w:lang w:val="en-GB" w:eastAsia="ja-JP"/>
        </w:rPr>
        <w:t xml:space="preserve"> </w:t>
      </w:r>
      <w:r w:rsidR="0069276A">
        <w:rPr>
          <w:lang w:val="en-GB" w:eastAsia="ja-JP"/>
        </w:rPr>
        <w:t>S</w:t>
      </w:r>
      <w:r w:rsidR="0069276A" w:rsidRPr="0069276A">
        <w:rPr>
          <w:lang w:val="en-GB" w:eastAsia="ja-JP"/>
        </w:rPr>
        <w:t>core (</w:t>
      </w:r>
      <w:r w:rsidR="00CF195F">
        <w:rPr>
          <w:lang w:val="en-GB" w:eastAsia="ja-JP"/>
        </w:rPr>
        <w:t>≥</w:t>
      </w:r>
      <w:r w:rsidR="0069276A" w:rsidRPr="0069276A">
        <w:rPr>
          <w:lang w:val="en-GB" w:eastAsia="ja-JP"/>
        </w:rPr>
        <w:t>7 points) increases probability of causal association.</w:t>
      </w:r>
      <w:r w:rsidR="0069276A">
        <w:rPr>
          <w:lang w:val="en-GB" w:eastAsia="ja-JP"/>
        </w:rPr>
        <w:t xml:space="preserve"> </w:t>
      </w:r>
      <w:r w:rsidR="00865EFB" w:rsidRPr="00865EFB">
        <w:rPr>
          <w:lang w:val="en-GB" w:eastAsia="ja-JP"/>
        </w:rPr>
        <w:t>Large shunt size</w:t>
      </w:r>
      <w:r w:rsidR="00865EFB">
        <w:rPr>
          <w:lang w:val="en-GB" w:eastAsia="ja-JP"/>
        </w:rPr>
        <w:t xml:space="preserve"> </w:t>
      </w:r>
      <w:r w:rsidR="00865EFB" w:rsidRPr="00865EFB">
        <w:rPr>
          <w:lang w:val="en-GB" w:eastAsia="ja-JP"/>
        </w:rPr>
        <w:t>was defined as &gt;20 bubbles in the left atrium on</w:t>
      </w:r>
      <w:r w:rsidR="00865EFB">
        <w:rPr>
          <w:lang w:val="en-GB" w:eastAsia="ja-JP"/>
        </w:rPr>
        <w:t xml:space="preserve"> TOE</w:t>
      </w:r>
      <w:r w:rsidR="00865EFB" w:rsidRPr="00865EFB">
        <w:rPr>
          <w:lang w:val="en-GB" w:eastAsia="ja-JP"/>
        </w:rPr>
        <w:t>; ASA</w:t>
      </w:r>
      <w:r w:rsidR="00865EFB">
        <w:rPr>
          <w:lang w:val="en-GB" w:eastAsia="ja-JP"/>
        </w:rPr>
        <w:t xml:space="preserve"> </w:t>
      </w:r>
      <w:r w:rsidR="00865EFB" w:rsidRPr="00865EFB">
        <w:rPr>
          <w:lang w:val="en-GB" w:eastAsia="ja-JP"/>
        </w:rPr>
        <w:t>was defined as</w:t>
      </w:r>
      <w:r w:rsidR="00865EFB">
        <w:rPr>
          <w:lang w:val="en-GB" w:eastAsia="ja-JP"/>
        </w:rPr>
        <w:t xml:space="preserve"> </w:t>
      </w:r>
      <w:r w:rsidR="00273B22">
        <w:rPr>
          <w:lang w:val="en-GB" w:eastAsia="ja-JP"/>
        </w:rPr>
        <w:t>≥</w:t>
      </w:r>
      <w:r w:rsidR="00865EFB" w:rsidRPr="00865EFB">
        <w:rPr>
          <w:lang w:val="en-GB" w:eastAsia="ja-JP"/>
        </w:rPr>
        <w:t>10</w:t>
      </w:r>
      <w:r w:rsidR="00273B22">
        <w:rPr>
          <w:lang w:val="en-GB" w:eastAsia="ja-JP"/>
        </w:rPr>
        <w:t xml:space="preserve"> </w:t>
      </w:r>
      <w:r w:rsidR="00865EFB" w:rsidRPr="00865EFB">
        <w:rPr>
          <w:lang w:val="en-GB" w:eastAsia="ja-JP"/>
        </w:rPr>
        <w:t>mm</w:t>
      </w:r>
      <w:r w:rsidR="00273B22">
        <w:rPr>
          <w:lang w:val="en-GB" w:eastAsia="ja-JP"/>
        </w:rPr>
        <w:t xml:space="preserve"> </w:t>
      </w:r>
      <w:r w:rsidR="00865EFB" w:rsidRPr="00865EFB">
        <w:rPr>
          <w:lang w:val="en-GB" w:eastAsia="ja-JP"/>
        </w:rPr>
        <w:t>of excursion from midline.</w:t>
      </w:r>
    </w:p>
    <w:p w14:paraId="33941C00" w14:textId="68E1F8F4" w:rsidR="00D47A11" w:rsidRDefault="00273B22" w:rsidP="00273B22">
      <w:pPr>
        <w:pStyle w:val="Tablenotes"/>
        <w:spacing w:after="360"/>
        <w:rPr>
          <w:lang w:val="en-GB" w:eastAsia="ja-JP"/>
        </w:rPr>
      </w:pPr>
      <w:r>
        <w:rPr>
          <w:lang w:val="en-GB" w:eastAsia="ja-JP"/>
        </w:rPr>
        <w:t>Source: Kent et al. (2021), Table 1.</w:t>
      </w:r>
    </w:p>
    <w:p w14:paraId="0650BCC3" w14:textId="77777777" w:rsidR="0030771F" w:rsidRDefault="00CB5EC7" w:rsidP="007F17EF">
      <w:r w:rsidRPr="00CB5EC7">
        <w:t xml:space="preserve">Following confirmation of a PFO </w:t>
      </w:r>
      <w:r w:rsidR="005D082C">
        <w:t xml:space="preserve">and characterisation of its anatomical features and associated right-to-left </w:t>
      </w:r>
      <w:r w:rsidR="00651811">
        <w:t xml:space="preserve">shunting </w:t>
      </w:r>
      <w:r w:rsidRPr="00CB5EC7">
        <w:t>on TOE with bubble contrast</w:t>
      </w:r>
      <w:r w:rsidR="00447380">
        <w:t xml:space="preserve">, </w:t>
      </w:r>
      <w:r w:rsidR="00243D60" w:rsidRPr="00243D60">
        <w:t>the likelihood that the PFO is causally related to the index event is assessed using clinical and anatomical information. This assessment may be undertaken using the PASCAL classification system or an approach that is conceptually consistent with the PASCAL framework, even where the classification is applied implicitly rather than formally</w:t>
      </w:r>
      <w:r w:rsidRPr="00CB5EC7">
        <w:t xml:space="preserve">. </w:t>
      </w:r>
    </w:p>
    <w:p w14:paraId="1D47AF4A" w14:textId="6B2ECA14" w:rsidR="007F17EF" w:rsidRDefault="003D1F1E" w:rsidP="007F17EF">
      <w:r w:rsidRPr="003D1F1E">
        <w:t>Patients classified as having a probable PF</w:t>
      </w:r>
      <w:r w:rsidR="006E0416">
        <w:t>O-</w:t>
      </w:r>
      <w:r w:rsidRPr="003D1F1E">
        <w:t>related stroke are generally considered the most appropriate candidates for percutaneous PFO closure in combination with antiplatelet therapy. In contrast, patients classified as having possible or unlikely PF</w:t>
      </w:r>
      <w:r w:rsidR="006E0416">
        <w:t>O-</w:t>
      </w:r>
      <w:r w:rsidRPr="003D1F1E">
        <w:t>related stroke may be managed medically, reflecting greater uncertainty regarding the causal contribution of the PFO. Accordingly, treatment decisions are informed by both the likelihood that the PFO was strok</w:t>
      </w:r>
      <w:r w:rsidR="006E0416">
        <w:t>e-</w:t>
      </w:r>
      <w:r w:rsidRPr="003D1F1E">
        <w:t>related and the overall clinical context, rather than by the presence of a hig</w:t>
      </w:r>
      <w:r w:rsidR="006E0416">
        <w:t>h-</w:t>
      </w:r>
      <w:r w:rsidRPr="003D1F1E">
        <w:t xml:space="preserve">risk anatomical feature or a high </w:t>
      </w:r>
      <w:proofErr w:type="spellStart"/>
      <w:r w:rsidRPr="003D1F1E">
        <w:t>RoPE</w:t>
      </w:r>
      <w:proofErr w:type="spellEnd"/>
      <w:r w:rsidRPr="003D1F1E">
        <w:t xml:space="preserve"> Score alone</w:t>
      </w:r>
      <w:r w:rsidR="00CB5EC7" w:rsidRPr="00CB5EC7">
        <w:t xml:space="preserve">. </w:t>
      </w:r>
      <w:r w:rsidR="007F17EF" w:rsidRPr="00B9537A">
        <w:t xml:space="preserve">Surgical PFO closure is not indicated as first-line therapy and is reserved for incidental closure during cardiac surgery or </w:t>
      </w:r>
      <w:r w:rsidR="007F17EF">
        <w:t xml:space="preserve">for </w:t>
      </w:r>
      <w:r w:rsidR="007F17EF" w:rsidRPr="00B9537A">
        <w:t xml:space="preserve">rare </w:t>
      </w:r>
      <w:r w:rsidR="007F17EF">
        <w:t>cases where</w:t>
      </w:r>
      <w:r w:rsidR="007F17EF" w:rsidRPr="00B9537A">
        <w:t xml:space="preserve"> percutaneous </w:t>
      </w:r>
      <w:r w:rsidR="007F17EF">
        <w:t>management is not feasible</w:t>
      </w:r>
      <w:r w:rsidR="007F17EF" w:rsidRPr="00B9537A">
        <w:t>.</w:t>
      </w:r>
    </w:p>
    <w:p w14:paraId="0D069144" w14:textId="7A5E3AE4" w:rsidR="00921CFB" w:rsidRDefault="00921CFB" w:rsidP="00921CFB">
      <w:r>
        <w:t>Percutaneous PFO closure involves deployment of a transcatheter occlusion device (</w:t>
      </w:r>
      <w:r w:rsidR="00120D5F">
        <w:t>most commonly</w:t>
      </w:r>
      <w:r>
        <w:t xml:space="preserve"> a doubl</w:t>
      </w:r>
      <w:r w:rsidR="00D553F5">
        <w:t>e-</w:t>
      </w:r>
      <w:r>
        <w:t xml:space="preserve">disc design) across the atrial septum to seal the defect. In Australia, this procedure is funded under </w:t>
      </w:r>
      <w:r>
        <w:lastRenderedPageBreak/>
        <w:t xml:space="preserve">MBS item 38272, and closure devices are listed on the Prescribed List of Medical Devices and Human Tissue Products (e.g. </w:t>
      </w:r>
      <w:r w:rsidR="00C131F2">
        <w:t>B</w:t>
      </w:r>
      <w:r>
        <w:t xml:space="preserve">illing </w:t>
      </w:r>
      <w:r w:rsidR="00C131F2">
        <w:t>C</w:t>
      </w:r>
      <w:r>
        <w:t>odes YH002 and SJ479)</w:t>
      </w:r>
      <w:r w:rsidR="00A40B7E">
        <w:rPr>
          <w:rStyle w:val="FootnoteReference"/>
        </w:rPr>
        <w:footnoteReference w:id="2"/>
      </w:r>
      <w:r>
        <w:t>.</w:t>
      </w:r>
    </w:p>
    <w:p w14:paraId="4FFF8E1B" w14:textId="5E35B241" w:rsidR="00921CFB" w:rsidRDefault="00921CFB" w:rsidP="00921CFB">
      <w:r>
        <w:t xml:space="preserve">Medical management typically </w:t>
      </w:r>
      <w:r w:rsidR="00C21589">
        <w:t>consists of</w:t>
      </w:r>
      <w:r>
        <w:t xml:space="preserve"> lon</w:t>
      </w:r>
      <w:r w:rsidR="00D553F5">
        <w:t>g-</w:t>
      </w:r>
      <w:r>
        <w:t>term antithrombotic therapy, most commonly single antiplatelet therapy (e.g. aspirin)</w:t>
      </w:r>
      <w:r w:rsidR="00C21589">
        <w:t>. D</w:t>
      </w:r>
      <w:r>
        <w:t>ual antiplatelet therapy or oral anticoagula</w:t>
      </w:r>
      <w:r w:rsidR="00E31EEA">
        <w:t>nts</w:t>
      </w:r>
      <w:r>
        <w:t xml:space="preserve"> may be </w:t>
      </w:r>
      <w:r w:rsidR="003F7E15">
        <w:t>appropriate</w:t>
      </w:r>
      <w:r>
        <w:t xml:space="preserve"> in selected patients</w:t>
      </w:r>
      <w:r w:rsidR="003F7E15">
        <w:t>, depending on</w:t>
      </w:r>
      <w:r>
        <w:t xml:space="preserve"> individual risk factors and clinic</w:t>
      </w:r>
      <w:r w:rsidR="003F7E15">
        <w:t>al</w:t>
      </w:r>
      <w:r>
        <w:t xml:space="preserve"> judgement.</w:t>
      </w:r>
    </w:p>
    <w:p w14:paraId="5E1CF066" w14:textId="3068539D" w:rsidR="00246B59" w:rsidRDefault="00921CFB" w:rsidP="00921CFB">
      <w:r>
        <w:t xml:space="preserve">Evidence from randomised controlled trials </w:t>
      </w:r>
      <w:r w:rsidR="00B713B0">
        <w:t xml:space="preserve">(RCTs) </w:t>
      </w:r>
      <w:r>
        <w:t>and met</w:t>
      </w:r>
      <w:r w:rsidR="00D553F5">
        <w:t>a-</w:t>
      </w:r>
      <w:r>
        <w:t xml:space="preserve">analyses indicates that, in appropriately selected patients (particularly </w:t>
      </w:r>
      <w:r w:rsidR="00143F85">
        <w:t xml:space="preserve">those </w:t>
      </w:r>
      <w:r w:rsidR="00B57C89">
        <w:t xml:space="preserve">aged &lt;60 years </w:t>
      </w:r>
      <w:r>
        <w:t>with hig</w:t>
      </w:r>
      <w:r w:rsidR="0060384D">
        <w:t>h-</w:t>
      </w:r>
      <w:r>
        <w:t xml:space="preserve">risk PFO features), PFO closure </w:t>
      </w:r>
      <w:r w:rsidR="0060384D">
        <w:t xml:space="preserve">in combination with </w:t>
      </w:r>
      <w:r>
        <w:t xml:space="preserve">medical therapy reduces the risk of recurrent stroke compared with medical therapy alone. </w:t>
      </w:r>
      <w:r w:rsidR="003F7E15">
        <w:t>P</w:t>
      </w:r>
      <w:r>
        <w:t xml:space="preserve">ooled analyses of randomised trials have demonstrated a relative reduction in recurrent stroke risk of approximately </w:t>
      </w:r>
      <w:r w:rsidR="00B023F4">
        <w:t>5</w:t>
      </w:r>
      <w:r>
        <w:t>0</w:t>
      </w:r>
      <w:r w:rsidR="00B57C89">
        <w:rPr>
          <w:rFonts w:cs="Calibri"/>
        </w:rPr>
        <w:t>–</w:t>
      </w:r>
      <w:r w:rsidR="00B023F4">
        <w:t>6</w:t>
      </w:r>
      <w:r>
        <w:t xml:space="preserve">0% </w:t>
      </w:r>
      <w:r w:rsidR="00BE723B">
        <w:t xml:space="preserve">following </w:t>
      </w:r>
      <w:r>
        <w:t>PFO closure</w:t>
      </w:r>
      <w:r w:rsidR="00411E65">
        <w:t>; however,</w:t>
      </w:r>
      <w:r>
        <w:t xml:space="preserve"> this benefit is accompanied by an increased risk of </w:t>
      </w:r>
      <w:r w:rsidR="0082292E">
        <w:t>incident</w:t>
      </w:r>
      <w:r>
        <w:t xml:space="preserve"> </w:t>
      </w:r>
      <w:r w:rsidR="00DB4130">
        <w:t>AF</w:t>
      </w:r>
      <w:r w:rsidR="00902B26">
        <w:t xml:space="preserve"> (</w:t>
      </w:r>
      <w:proofErr w:type="spellStart"/>
      <w:r w:rsidR="00D70F96">
        <w:t>Almuzainy</w:t>
      </w:r>
      <w:proofErr w:type="spellEnd"/>
      <w:r w:rsidR="00D70F96">
        <w:t xml:space="preserve"> et al. 2025; </w:t>
      </w:r>
      <w:r w:rsidR="00902B26">
        <w:t>Hammad et al. 2025</w:t>
      </w:r>
      <w:r w:rsidR="00911C26">
        <w:t xml:space="preserve">; </w:t>
      </w:r>
      <w:proofErr w:type="spellStart"/>
      <w:r w:rsidR="00911C26">
        <w:t>Pristipino</w:t>
      </w:r>
      <w:proofErr w:type="spellEnd"/>
      <w:r w:rsidR="00911C26">
        <w:t xml:space="preserve"> et al</w:t>
      </w:r>
      <w:r w:rsidR="000F1FAE">
        <w:t>. 2019</w:t>
      </w:r>
      <w:r w:rsidR="00902B26">
        <w:t>)</w:t>
      </w:r>
      <w:r>
        <w:t>.</w:t>
      </w:r>
      <w:r w:rsidR="00585FAC">
        <w:t xml:space="preserve"> </w:t>
      </w:r>
      <w:r w:rsidR="00585FAC" w:rsidRPr="00585FAC">
        <w:t>The increased risk of AF is thought to be related primarily to mechanical irritation and remodelling of atrial tissue following device implantation, as well as inflammatory changes occurring in the per</w:t>
      </w:r>
      <w:r w:rsidR="00585FAC">
        <w:t>i-</w:t>
      </w:r>
      <w:r w:rsidR="00585FAC" w:rsidRPr="00585FAC">
        <w:t>procedural period. Pos</w:t>
      </w:r>
      <w:r w:rsidR="00585FAC">
        <w:t>t-</w:t>
      </w:r>
      <w:r w:rsidR="00585FAC" w:rsidRPr="00585FAC">
        <w:t>procedural AF is typically transient and sel</w:t>
      </w:r>
      <w:r w:rsidR="00585FAC">
        <w:t>f-</w:t>
      </w:r>
      <w:r w:rsidR="00585FAC" w:rsidRPr="00585FAC">
        <w:t xml:space="preserve">limiting, although its incidence increases with advancing age (Sposato et al. 2024). </w:t>
      </w:r>
    </w:p>
    <w:p w14:paraId="19FB88B0" w14:textId="7642073F" w:rsidR="00921CFB" w:rsidRDefault="00585FAC" w:rsidP="00921CFB">
      <w:r w:rsidRPr="00585FAC">
        <w:t xml:space="preserve">The role of PFO closure in patients aged </w:t>
      </w:r>
      <w:r>
        <w:rPr>
          <w:rFonts w:cs="Calibri"/>
        </w:rPr>
        <w:t>≥</w:t>
      </w:r>
      <w:r w:rsidRPr="00585FAC">
        <w:t>60 years remains uncertain due to the absence of dedicated RCTs. In this population, competing stroke mechanisms are more prevalent, and there is a higher background risk of subclinical AF and other supraventricular arrhythmias, complicating assessment of whether a PFO is causally related to the index stroke and whether closure is likely to provide net clinical benefit (Sposato et al. 2024).</w:t>
      </w:r>
    </w:p>
    <w:p w14:paraId="742DC50D" w14:textId="26F2EE9B" w:rsidR="00921CFB" w:rsidRDefault="00921CFB" w:rsidP="00921CFB">
      <w:r>
        <w:t>Accordingly, accurate identification of a pathogenic (strok</w:t>
      </w:r>
      <w:r w:rsidR="00D553F5">
        <w:t>e-</w:t>
      </w:r>
      <w:r>
        <w:t xml:space="preserve">related) PFO is critical to guide treatment selection. Appropriate patient selection enables targeting of closure to those most likely to benefit in terms of </w:t>
      </w:r>
      <w:r w:rsidR="00C00E4C">
        <w:t xml:space="preserve">reducing </w:t>
      </w:r>
      <w:r>
        <w:t xml:space="preserve">stroke recurrence, while avoiding </w:t>
      </w:r>
      <w:r w:rsidR="00A35008">
        <w:t>additional</w:t>
      </w:r>
      <w:r>
        <w:t xml:space="preserve"> invasive procedures, associated risks, and healthcare costs.</w:t>
      </w:r>
    </w:p>
    <w:p w14:paraId="47BFEF73" w14:textId="7D1B9CAE" w:rsidR="00892CFF" w:rsidRDefault="00C00E4C" w:rsidP="00BA45ED">
      <w:r>
        <w:t>Consistent with this, t</w:t>
      </w:r>
      <w:r w:rsidR="00BA45ED">
        <w:t xml:space="preserve">he Australian and New Zealand consensus statement (Chambers et al. 2026) recommends </w:t>
      </w:r>
      <w:r>
        <w:t>that</w:t>
      </w:r>
      <w:r w:rsidR="00BA45ED">
        <w:t xml:space="preserve"> decisions </w:t>
      </w:r>
      <w:r>
        <w:t xml:space="preserve">regarding PFO </w:t>
      </w:r>
      <w:r w:rsidR="00B3152C">
        <w:t xml:space="preserve">closure </w:t>
      </w:r>
      <w:r w:rsidR="00BA45ED">
        <w:t>be made by a multidisciplinary hear</w:t>
      </w:r>
      <w:r w:rsidR="00261413">
        <w:t>t</w:t>
      </w:r>
      <w:r w:rsidR="005200CF">
        <w:t>-</w:t>
      </w:r>
      <w:r w:rsidR="00BA45ED">
        <w:t>brain team</w:t>
      </w:r>
      <w:r w:rsidR="00A72273">
        <w:t>,</w:t>
      </w:r>
      <w:r w:rsidR="00BA45ED">
        <w:t xml:space="preserve"> includ</w:t>
      </w:r>
      <w:r w:rsidR="00A72273">
        <w:t>ing both</w:t>
      </w:r>
      <w:r w:rsidR="0065280B">
        <w:t xml:space="preserve"> </w:t>
      </w:r>
      <w:r w:rsidR="00BA45ED">
        <w:t>a stroke physician and a structural heart cardiologist</w:t>
      </w:r>
      <w:r w:rsidR="0065280B">
        <w:t>.</w:t>
      </w:r>
    </w:p>
    <w:p w14:paraId="0BF2DDA1" w14:textId="77777777" w:rsidR="009D27BE" w:rsidRPr="00D1639C" w:rsidRDefault="009D27BE" w:rsidP="00163319">
      <w:pPr>
        <w:pStyle w:val="Heading4"/>
      </w:pPr>
      <w:r w:rsidRPr="00D1639C">
        <w:t>Size of the population</w:t>
      </w:r>
    </w:p>
    <w:p w14:paraId="54AAB6B8" w14:textId="77777777" w:rsidR="001B6890" w:rsidRDefault="009D27BE" w:rsidP="009D27BE">
      <w:r w:rsidRPr="00EB04DC">
        <w:t xml:space="preserve">The annual incidence of PFO-associated stroke in Australia is not routinely reported and must therefore be estimated indirectly. The </w:t>
      </w:r>
      <w:hyperlink r:id="rId8" w:tooltip="Hyperlink to Stroke Foundation website economic impact report 2024" w:history="1">
        <w:r w:rsidRPr="00365D5B">
          <w:rPr>
            <w:rStyle w:val="Hyperlink"/>
            <w:rFonts w:ascii="Calibri" w:hAnsi="Calibri"/>
          </w:rPr>
          <w:t>Stroke Foundation</w:t>
        </w:r>
      </w:hyperlink>
      <w:r w:rsidRPr="00EB04DC">
        <w:t xml:space="preserve"> estimated that approximately 45,785 strokes occurred in 2023, the majority of which (37,589) were ischaemic, </w:t>
      </w:r>
      <w:r w:rsidR="00717286">
        <w:t>including</w:t>
      </w:r>
      <w:r w:rsidRPr="00EB04DC">
        <w:t xml:space="preserve"> 7,679 </w:t>
      </w:r>
      <w:r w:rsidR="002D6B12">
        <w:t>events</w:t>
      </w:r>
      <w:r w:rsidRPr="00EB04DC">
        <w:t xml:space="preserve"> in individuals aged &lt;65 years (Kim et al. 2024). Epidemiological evidence suggests that up to 30% of ischaemic strokes </w:t>
      </w:r>
      <w:r w:rsidR="002D6B12">
        <w:t>remain</w:t>
      </w:r>
      <w:r w:rsidRPr="00EB04DC">
        <w:t xml:space="preserve"> cryptogenic following standard investigation, indicating that </w:t>
      </w:r>
      <w:r w:rsidR="005B4E09">
        <w:t xml:space="preserve">up to </w:t>
      </w:r>
      <w:r w:rsidRPr="00EB04DC">
        <w:t>2,300 Australians aged &lt;65 years experience</w:t>
      </w:r>
      <w:r w:rsidR="009B778B">
        <w:t>d</w:t>
      </w:r>
      <w:r w:rsidRPr="00EB04DC">
        <w:t xml:space="preserve"> a cryptogenic ischaemic stroke </w:t>
      </w:r>
      <w:r w:rsidR="009B778B">
        <w:t>in 2023</w:t>
      </w:r>
      <w:r w:rsidRPr="00EB04DC">
        <w:t>. Of these, up to half (approximately 1,150 cases) may be attributable to a PFO.</w:t>
      </w:r>
      <w:r w:rsidR="00CF03DF">
        <w:t xml:space="preserve"> </w:t>
      </w:r>
    </w:p>
    <w:p w14:paraId="7F2D0E0D" w14:textId="281925C4" w:rsidR="009D27BE" w:rsidRDefault="001B6890" w:rsidP="009D27BE">
      <w:r>
        <w:lastRenderedPageBreak/>
        <w:t>An alternative estimation approach</w:t>
      </w:r>
      <w:r w:rsidR="00CF03DF">
        <w:t xml:space="preserve">, </w:t>
      </w:r>
      <w:r>
        <w:t>based on</w:t>
      </w:r>
      <w:r w:rsidR="00390995">
        <w:t xml:space="preserve"> </w:t>
      </w:r>
      <w:r w:rsidR="004717DF">
        <w:t>Sposato et al. (</w:t>
      </w:r>
      <w:r w:rsidR="00390995">
        <w:t>2024)</w:t>
      </w:r>
      <w:r>
        <w:t>, suggests that</w:t>
      </w:r>
      <w:r w:rsidR="00390995">
        <w:t xml:space="preserve"> </w:t>
      </w:r>
      <w:r w:rsidR="005B3E2D">
        <w:t xml:space="preserve">PFO may be </w:t>
      </w:r>
      <w:r>
        <w:t xml:space="preserve">causally </w:t>
      </w:r>
      <w:r w:rsidR="005B3E2D">
        <w:t xml:space="preserve">implicated in </w:t>
      </w:r>
      <w:r>
        <w:t>approximately</w:t>
      </w:r>
      <w:r w:rsidR="005B3E2D">
        <w:t xml:space="preserve"> 4% </w:t>
      </w:r>
      <w:r w:rsidR="004B2606">
        <w:t>of all ischaemic strokes</w:t>
      </w:r>
      <w:r>
        <w:t>. Applying th</w:t>
      </w:r>
      <w:r w:rsidR="00E63FB2">
        <w:t>is proportion</w:t>
      </w:r>
      <w:r w:rsidR="004F448F">
        <w:t xml:space="preserve"> to Australian data yields an estimate of around</w:t>
      </w:r>
      <w:r w:rsidR="004B2606">
        <w:t xml:space="preserve"> </w:t>
      </w:r>
      <w:r w:rsidR="00152F19">
        <w:t xml:space="preserve">1,500 </w:t>
      </w:r>
      <w:r w:rsidR="004F448F">
        <w:t>cases annually</w:t>
      </w:r>
      <w:r w:rsidR="008651F3">
        <w:t xml:space="preserve"> </w:t>
      </w:r>
      <w:r w:rsidR="004F448F">
        <w:t>among individuals</w:t>
      </w:r>
      <w:r w:rsidR="00152F19">
        <w:t xml:space="preserve"> aged </w:t>
      </w:r>
      <w:r w:rsidR="00152F19">
        <w:rPr>
          <w:rFonts w:cs="Calibri"/>
        </w:rPr>
        <w:t>≤</w:t>
      </w:r>
      <w:r w:rsidR="001C7A97">
        <w:t xml:space="preserve">60 years. </w:t>
      </w:r>
    </w:p>
    <w:p w14:paraId="3F507059" w14:textId="7F449CFF" w:rsidR="009D27BE" w:rsidRDefault="00B6385A" w:rsidP="00921CFB">
      <w:r w:rsidRPr="00B6385A">
        <w:t>These figures should be interpreted as indicative only, given the uncertainty inherent in indirect estimation methods, variability in diagnostic practices, and differing definitions of PFO causality. More precise estimates will require further validation and detailed consideration in the assessment report.</w:t>
      </w:r>
    </w:p>
    <w:p w14:paraId="44B05405" w14:textId="61AAF1B1" w:rsidR="004C3C22" w:rsidRDefault="001C054C" w:rsidP="00921CFB">
      <w:r w:rsidRPr="001C054C">
        <w:t>Notably, utilisation of percutaneous PFO closure has increased in recent years, with 776 MBS services claimed for item 38272 in 2023, rising to 985 services in 2025</w:t>
      </w:r>
      <w:r w:rsidR="00B7521D">
        <w:t xml:space="preserve"> (of which 77% were i</w:t>
      </w:r>
      <w:r w:rsidR="00245D3A">
        <w:t>n</w:t>
      </w:r>
      <w:r w:rsidR="00B7521D">
        <w:t xml:space="preserve"> individuals aged </w:t>
      </w:r>
      <w:r w:rsidR="00245D3A">
        <w:t>&lt;65</w:t>
      </w:r>
      <w:r w:rsidR="00177C9D">
        <w:t> </w:t>
      </w:r>
      <w:r w:rsidR="00245D3A">
        <w:t>years)</w:t>
      </w:r>
      <w:r w:rsidRPr="001C054C">
        <w:t>.</w:t>
      </w:r>
      <w:r w:rsidR="0034081B">
        <w:rPr>
          <w:rStyle w:val="FootnoteReference"/>
        </w:rPr>
        <w:footnoteReference w:id="3"/>
      </w:r>
    </w:p>
    <w:p w14:paraId="0E38780D" w14:textId="77777777" w:rsidR="007A66C8" w:rsidRDefault="007A66C8" w:rsidP="00E970FD">
      <w:pPr>
        <w:pStyle w:val="Heading3"/>
      </w:pPr>
      <w:r w:rsidRPr="008F1532">
        <w:t>Intervention</w:t>
      </w:r>
    </w:p>
    <w:p w14:paraId="22F8126C" w14:textId="7CAF65EB" w:rsidR="00DB7276" w:rsidRDefault="007052DC" w:rsidP="007052DC">
      <w:r>
        <w:t xml:space="preserve">The intervention is the TCD bubble test, also referred to as </w:t>
      </w:r>
      <w:r w:rsidR="0017342B">
        <w:t xml:space="preserve">the TCD bubble study, </w:t>
      </w:r>
      <w:r>
        <w:t>contras</w:t>
      </w:r>
      <w:r w:rsidR="004A1A89">
        <w:t>t-</w:t>
      </w:r>
      <w:r>
        <w:t>enhanced TCD (</w:t>
      </w:r>
      <w:r w:rsidR="00D553F5">
        <w:t>c-</w:t>
      </w:r>
      <w:r>
        <w:t>TCD) or TCD with bubble contrast</w:t>
      </w:r>
      <w:r w:rsidR="009014B2">
        <w:t xml:space="preserve">, </w:t>
      </w:r>
      <w:r w:rsidR="00121053" w:rsidRPr="00121053">
        <w:t xml:space="preserve">performed using either conventional transcranial Doppler </w:t>
      </w:r>
      <w:r w:rsidR="00B273E1">
        <w:t xml:space="preserve">(TCD) </w:t>
      </w:r>
      <w:r w:rsidR="00121053" w:rsidRPr="00121053">
        <w:t>or transcranial colour-coded duplex sonography (TCCD)</w:t>
      </w:r>
      <w:r w:rsidR="00B33CA2">
        <w:t xml:space="preserve">. </w:t>
      </w:r>
      <w:r w:rsidR="00B33CA2" w:rsidRPr="00B33CA2">
        <w:t xml:space="preserve">For the purposes of this document, </w:t>
      </w:r>
      <w:r w:rsidR="00B33CA2">
        <w:t>‘</w:t>
      </w:r>
      <w:r w:rsidR="00B33CA2" w:rsidRPr="00B33CA2">
        <w:t>TCD</w:t>
      </w:r>
      <w:r w:rsidR="00B33CA2">
        <w:t>’</w:t>
      </w:r>
      <w:r w:rsidR="00B33CA2" w:rsidRPr="00B33CA2">
        <w:t xml:space="preserve"> includes both TCD and TCCD technologies unless otherwise specified</w:t>
      </w:r>
      <w:r>
        <w:t xml:space="preserve">. </w:t>
      </w:r>
      <w:r w:rsidR="00B33CA2">
        <w:t xml:space="preserve">The TCD bubble </w:t>
      </w:r>
      <w:r>
        <w:t>test has been recommended</w:t>
      </w:r>
      <w:r w:rsidR="00554839">
        <w:t>, where available,</w:t>
      </w:r>
      <w:r>
        <w:t xml:space="preserve"> as a preferred firs</w:t>
      </w:r>
      <w:r w:rsidR="00D553F5">
        <w:t>t-</w:t>
      </w:r>
      <w:r>
        <w:t xml:space="preserve">line screening modality for detection of PFO in patients with cryptogenic stroke in </w:t>
      </w:r>
      <w:r w:rsidR="003E2D04">
        <w:t>the</w:t>
      </w:r>
      <w:r>
        <w:t xml:space="preserve"> </w:t>
      </w:r>
      <w:r w:rsidR="006C0DBE">
        <w:t xml:space="preserve">Australian and New Zealand </w:t>
      </w:r>
      <w:r>
        <w:t xml:space="preserve">consensus statement </w:t>
      </w:r>
      <w:r w:rsidR="009430B9">
        <w:t xml:space="preserve">on the diagnosis and management of PFO for stroke prevention </w:t>
      </w:r>
      <w:r>
        <w:t>(strong recommendation, moderate certainty evidence; Chambers et</w:t>
      </w:r>
      <w:r>
        <w:rPr>
          <w:rFonts w:cs="Calibri"/>
        </w:rPr>
        <w:t> </w:t>
      </w:r>
      <w:r>
        <w:t>al. 2026).</w:t>
      </w:r>
      <w:r w:rsidR="0084523F">
        <w:rPr>
          <w:rStyle w:val="FootnoteReference"/>
        </w:rPr>
        <w:footnoteReference w:id="4"/>
      </w:r>
      <w:r w:rsidR="002C675E">
        <w:t xml:space="preserve"> </w:t>
      </w:r>
    </w:p>
    <w:p w14:paraId="66C6607E" w14:textId="1846C491" w:rsidR="007052DC" w:rsidRDefault="002C675E" w:rsidP="007052DC">
      <w:r>
        <w:t>The</w:t>
      </w:r>
      <w:r w:rsidR="00C3447B">
        <w:t xml:space="preserve"> test </w:t>
      </w:r>
      <w:r w:rsidR="000C291F">
        <w:t xml:space="preserve">involves venous </w:t>
      </w:r>
      <w:r w:rsidR="007F608E">
        <w:t>inject</w:t>
      </w:r>
      <w:r w:rsidR="000C291F">
        <w:t>ion of</w:t>
      </w:r>
      <w:r w:rsidR="007F608E">
        <w:t xml:space="preserve"> saline with</w:t>
      </w:r>
      <w:r w:rsidR="00C3447B">
        <w:t xml:space="preserve"> microbubbles</w:t>
      </w:r>
      <w:r w:rsidR="00715E18">
        <w:t>,</w:t>
      </w:r>
      <w:r w:rsidR="00C3447B">
        <w:t xml:space="preserve"> </w:t>
      </w:r>
      <w:r w:rsidR="00F97600">
        <w:t>which are delivered via the</w:t>
      </w:r>
      <w:r>
        <w:t xml:space="preserve"> venous circulation to the right side of the hear</w:t>
      </w:r>
      <w:r w:rsidR="00F97600">
        <w:t>t. I</w:t>
      </w:r>
      <w:r>
        <w:t>n the absence of a PFO, they proceed to the pulmonary circulation where they are removed</w:t>
      </w:r>
      <w:r w:rsidR="00830738">
        <w:t xml:space="preserve">. </w:t>
      </w:r>
      <w:r w:rsidR="000F7FB9">
        <w:t xml:space="preserve">The </w:t>
      </w:r>
      <w:r w:rsidR="008B1C2F">
        <w:t>detection of</w:t>
      </w:r>
      <w:r w:rsidR="000F7FB9">
        <w:t xml:space="preserve"> bubbles </w:t>
      </w:r>
      <w:r w:rsidR="008B1C2F">
        <w:t xml:space="preserve">in </w:t>
      </w:r>
      <w:r w:rsidR="00EB4AEA">
        <w:t>a cerebral artery</w:t>
      </w:r>
      <w:r w:rsidR="00014151">
        <w:t xml:space="preserve"> using Doppler ultrasound at the temporal lobe</w:t>
      </w:r>
      <w:r w:rsidR="008B1C2F">
        <w:t xml:space="preserve">, where </w:t>
      </w:r>
      <w:r w:rsidR="00014151">
        <w:t>the skull is thin</w:t>
      </w:r>
      <w:r w:rsidR="000B47D6">
        <w:t xml:space="preserve">, is indicative of </w:t>
      </w:r>
      <w:r w:rsidR="002B3ADA">
        <w:t>a right-to-left shunt</w:t>
      </w:r>
      <w:r w:rsidR="007669CC">
        <w:t>.</w:t>
      </w:r>
      <w:r w:rsidR="002B3ADA">
        <w:t xml:space="preserve"> However, the presence of a right-to-left shunt does not</w:t>
      </w:r>
      <w:r w:rsidR="008114BD">
        <w:t>,</w:t>
      </w:r>
      <w:r w:rsidR="002B3ADA">
        <w:t xml:space="preserve"> </w:t>
      </w:r>
      <w:r w:rsidR="008114BD">
        <w:t>in</w:t>
      </w:r>
      <w:r w:rsidR="002B3ADA">
        <w:t xml:space="preserve"> itself</w:t>
      </w:r>
      <w:r w:rsidR="00B35D67">
        <w:t>,</w:t>
      </w:r>
      <w:r w:rsidR="002B3ADA">
        <w:t xml:space="preserve"> establish that a PFO is present, as shunting may occur due to other intracardiac or extracardiac causes.</w:t>
      </w:r>
    </w:p>
    <w:p w14:paraId="6370A2F4" w14:textId="18574719" w:rsidR="007052DC" w:rsidRDefault="007052DC" w:rsidP="007052DC">
      <w:r>
        <w:t xml:space="preserve">The TCD bubble test is widely used </w:t>
      </w:r>
      <w:r w:rsidR="00C66265">
        <w:t xml:space="preserve">internationally </w:t>
      </w:r>
      <w:r w:rsidR="00A9535A">
        <w:t>for</w:t>
      </w:r>
      <w:r w:rsidR="00E05DBA">
        <w:t xml:space="preserve"> detect</w:t>
      </w:r>
      <w:r w:rsidR="00A9535A">
        <w:t>ion of</w:t>
      </w:r>
      <w:r>
        <w:t xml:space="preserve"> righ</w:t>
      </w:r>
      <w:r w:rsidR="001C0BA5">
        <w:t>t-</w:t>
      </w:r>
      <w:r>
        <w:t>t</w:t>
      </w:r>
      <w:r w:rsidR="001C0BA5">
        <w:t>o-</w:t>
      </w:r>
      <w:r>
        <w:t>left shunts</w:t>
      </w:r>
      <w:r w:rsidR="00E05DBA">
        <w:t xml:space="preserve"> due to its </w:t>
      </w:r>
      <w:r>
        <w:t>no</w:t>
      </w:r>
      <w:r w:rsidR="00D553F5">
        <w:t>n-</w:t>
      </w:r>
      <w:r>
        <w:t>invasive</w:t>
      </w:r>
      <w:r w:rsidR="00E05DBA">
        <w:t xml:space="preserve"> nature</w:t>
      </w:r>
      <w:r>
        <w:t xml:space="preserve">, </w:t>
      </w:r>
      <w:r w:rsidR="002C4C09">
        <w:t xml:space="preserve">favourable </w:t>
      </w:r>
      <w:r>
        <w:t>safe</w:t>
      </w:r>
      <w:r w:rsidR="00E05DBA">
        <w:t>ty profile</w:t>
      </w:r>
      <w:r>
        <w:t>, relative simpl</w:t>
      </w:r>
      <w:r w:rsidR="006A6A1C">
        <w:t>icity</w:t>
      </w:r>
      <w:r>
        <w:t>, and high sensitiv</w:t>
      </w:r>
      <w:r w:rsidR="006A6A1C">
        <w:t>ity</w:t>
      </w:r>
      <w:r>
        <w:t xml:space="preserve"> </w:t>
      </w:r>
      <w:r w:rsidR="00056516">
        <w:t>(</w:t>
      </w:r>
      <w:proofErr w:type="spellStart"/>
      <w:r w:rsidR="00056516">
        <w:t>Pristipino</w:t>
      </w:r>
      <w:proofErr w:type="spellEnd"/>
      <w:r w:rsidR="00056516">
        <w:t xml:space="preserve"> et al. 2019)</w:t>
      </w:r>
      <w:r>
        <w:t>. However, specificity</w:t>
      </w:r>
      <w:r w:rsidR="006740AE">
        <w:t xml:space="preserve"> is limited</w:t>
      </w:r>
      <w:r>
        <w:t xml:space="preserve">, as </w:t>
      </w:r>
      <w:r w:rsidR="00217DF2">
        <w:t xml:space="preserve">the test </w:t>
      </w:r>
      <w:r>
        <w:t xml:space="preserve">cannot </w:t>
      </w:r>
      <w:r w:rsidR="00217DF2">
        <w:t>differentiate</w:t>
      </w:r>
      <w:r>
        <w:t xml:space="preserve"> </w:t>
      </w:r>
      <w:r w:rsidR="000E03EF">
        <w:t>intra</w:t>
      </w:r>
      <w:r>
        <w:t xml:space="preserve">cardiac </w:t>
      </w:r>
      <w:r w:rsidR="000E03EF">
        <w:t>shunts</w:t>
      </w:r>
      <w:r>
        <w:t xml:space="preserve"> (e.g. PFO or atrial septal defect) </w:t>
      </w:r>
      <w:r w:rsidR="000E03EF">
        <w:t>from</w:t>
      </w:r>
      <w:r>
        <w:t xml:space="preserve"> extracardiac </w:t>
      </w:r>
      <w:r w:rsidR="000E03EF">
        <w:t>shunts</w:t>
      </w:r>
      <w:r w:rsidR="00E61EB9">
        <w:t xml:space="preserve"> </w:t>
      </w:r>
      <w:r>
        <w:t>(e.g. intrapulmonary shunt</w:t>
      </w:r>
      <w:r w:rsidR="00E61EB9">
        <w:t>ing</w:t>
      </w:r>
      <w:r>
        <w:t xml:space="preserve">), </w:t>
      </w:r>
      <w:r w:rsidR="00E61EB9">
        <w:t>nor</w:t>
      </w:r>
      <w:r>
        <w:t xml:space="preserve"> does </w:t>
      </w:r>
      <w:r w:rsidR="00E61EB9">
        <w:t>it</w:t>
      </w:r>
      <w:r>
        <w:t xml:space="preserve"> provide anatomical </w:t>
      </w:r>
      <w:r w:rsidR="00E61EB9">
        <w:t>characterisation (Mahmoud et</w:t>
      </w:r>
      <w:r w:rsidR="00E61EB9">
        <w:rPr>
          <w:rFonts w:cs="Calibri"/>
        </w:rPr>
        <w:t> </w:t>
      </w:r>
      <w:r w:rsidR="00E61EB9">
        <w:t>al. 2017)</w:t>
      </w:r>
      <w:r>
        <w:t xml:space="preserve">. </w:t>
      </w:r>
      <w:r w:rsidR="00E61EB9">
        <w:t>According</w:t>
      </w:r>
      <w:r>
        <w:t xml:space="preserve">ly, it </w:t>
      </w:r>
      <w:r w:rsidR="00E61EB9">
        <w:t>is not suitable</w:t>
      </w:r>
      <w:r>
        <w:t xml:space="preserve"> as a stan</w:t>
      </w:r>
      <w:r w:rsidR="00D553F5">
        <w:t>d-</w:t>
      </w:r>
      <w:r>
        <w:t>alone confirmatory test.</w:t>
      </w:r>
    </w:p>
    <w:p w14:paraId="73285B08" w14:textId="38D26A09" w:rsidR="007052DC" w:rsidRDefault="007052DC" w:rsidP="007052DC">
      <w:r>
        <w:t xml:space="preserve">A positive </w:t>
      </w:r>
      <w:r w:rsidR="00081DA5">
        <w:t>TCD bubble test</w:t>
      </w:r>
      <w:r>
        <w:t xml:space="preserve"> indicates the presence of a </w:t>
      </w:r>
      <w:r w:rsidR="00C60C56">
        <w:t xml:space="preserve">functional </w:t>
      </w:r>
      <w:r>
        <w:t>righ</w:t>
      </w:r>
      <w:r w:rsidR="001C0BA5">
        <w:t>t-</w:t>
      </w:r>
      <w:r>
        <w:t>t</w:t>
      </w:r>
      <w:r w:rsidR="00F36609">
        <w:t>o-</w:t>
      </w:r>
      <w:r>
        <w:t>left shunt</w:t>
      </w:r>
      <w:r w:rsidR="00081DA5">
        <w:t>; however, it</w:t>
      </w:r>
      <w:r>
        <w:t xml:space="preserve"> </w:t>
      </w:r>
      <w:r w:rsidR="005D76D8">
        <w:t>does not confirm</w:t>
      </w:r>
      <w:r>
        <w:t xml:space="preserve"> </w:t>
      </w:r>
      <w:r w:rsidR="00E027A8">
        <w:t>the anatomical cause of the shunt or establish</w:t>
      </w:r>
      <w:r w:rsidR="00660594">
        <w:t xml:space="preserve"> that </w:t>
      </w:r>
      <w:r w:rsidR="00081DA5">
        <w:t xml:space="preserve">a </w:t>
      </w:r>
      <w:r>
        <w:t xml:space="preserve">PFO </w:t>
      </w:r>
      <w:r w:rsidR="007032B8">
        <w:t>is present</w:t>
      </w:r>
      <w:r w:rsidR="00081DA5">
        <w:t>.</w:t>
      </w:r>
      <w:r w:rsidR="002D4DF7">
        <w:t xml:space="preserve"> </w:t>
      </w:r>
      <w:r w:rsidR="00081DA5">
        <w:t>P</w:t>
      </w:r>
      <w:r w:rsidR="002D4DF7">
        <w:t xml:space="preserve">atients </w:t>
      </w:r>
      <w:r w:rsidR="00081DA5">
        <w:t xml:space="preserve">with a positive result </w:t>
      </w:r>
      <w:r w:rsidR="002D4DF7">
        <w:t xml:space="preserve">will </w:t>
      </w:r>
      <w:r w:rsidR="00081DA5">
        <w:t>therefore undergo</w:t>
      </w:r>
      <w:r w:rsidR="002D4DF7">
        <w:t xml:space="preserve"> </w:t>
      </w:r>
      <w:r w:rsidR="002D4DF7" w:rsidRPr="008E7E7D">
        <w:t>T</w:t>
      </w:r>
      <w:r w:rsidR="00A22CDD">
        <w:t>O</w:t>
      </w:r>
      <w:r w:rsidR="002D4DF7" w:rsidRPr="008E7E7D">
        <w:t xml:space="preserve">E with bubble </w:t>
      </w:r>
      <w:r w:rsidR="00DF186C">
        <w:t>contrast</w:t>
      </w:r>
      <w:r w:rsidR="002D4DF7">
        <w:t xml:space="preserve"> to confirm</w:t>
      </w:r>
      <w:r w:rsidR="00A71E32">
        <w:t xml:space="preserve"> or exclude</w:t>
      </w:r>
      <w:r w:rsidR="00DD4A24">
        <w:t xml:space="preserve"> the presence of a</w:t>
      </w:r>
      <w:r w:rsidR="00A71E32">
        <w:t xml:space="preserve"> PFO</w:t>
      </w:r>
      <w:r w:rsidR="00A00C17">
        <w:t xml:space="preserve">. </w:t>
      </w:r>
      <w:r w:rsidR="0070188E">
        <w:t>If a PFO is confirmed</w:t>
      </w:r>
      <w:r w:rsidR="00E52028" w:rsidRPr="00E52028">
        <w:t xml:space="preserve">, further assessment </w:t>
      </w:r>
      <w:r w:rsidR="00D20E0B">
        <w:t>incorporating</w:t>
      </w:r>
      <w:r w:rsidR="00E52028" w:rsidRPr="00E52028">
        <w:t xml:space="preserve"> clinical and anatomical factors is required to determine </w:t>
      </w:r>
      <w:r w:rsidR="00B61F3A">
        <w:t>the likelihood that the PFO is</w:t>
      </w:r>
      <w:r w:rsidR="00E52028" w:rsidRPr="00E52028">
        <w:t xml:space="preserve"> pathogenic </w:t>
      </w:r>
      <w:r w:rsidR="0061190E">
        <w:t>and whether</w:t>
      </w:r>
      <w:r w:rsidR="00E52028" w:rsidRPr="00E52028">
        <w:t xml:space="preserve"> closure</w:t>
      </w:r>
      <w:r w:rsidR="0061190E">
        <w:t xml:space="preserve"> is appropriate</w:t>
      </w:r>
      <w:r w:rsidR="00E52028" w:rsidRPr="00E52028">
        <w:t xml:space="preserve">. </w:t>
      </w:r>
      <w:r w:rsidR="00591781">
        <w:t>Conversely, a</w:t>
      </w:r>
      <w:r>
        <w:t xml:space="preserve"> negative test </w:t>
      </w:r>
      <w:r w:rsidR="00DD4A24">
        <w:t xml:space="preserve">result </w:t>
      </w:r>
      <w:r w:rsidR="00DD4A24">
        <w:lastRenderedPageBreak/>
        <w:t>reduces</w:t>
      </w:r>
      <w:r>
        <w:t xml:space="preserve"> the </w:t>
      </w:r>
      <w:r w:rsidR="002B12C3">
        <w:t xml:space="preserve">likelihood of a clinically significant shunt and </w:t>
      </w:r>
      <w:r w:rsidR="00DD4A24">
        <w:t>may obviate</w:t>
      </w:r>
      <w:r w:rsidR="002B12C3">
        <w:t xml:space="preserve"> the </w:t>
      </w:r>
      <w:r>
        <w:t xml:space="preserve">need for further </w:t>
      </w:r>
      <w:r w:rsidR="002B12C3">
        <w:t>invasive</w:t>
      </w:r>
      <w:r>
        <w:t xml:space="preserve"> investigation</w:t>
      </w:r>
      <w:r w:rsidR="00591781">
        <w:t>,</w:t>
      </w:r>
      <w:r>
        <w:t xml:space="preserve"> </w:t>
      </w:r>
      <w:r w:rsidR="002B12C3">
        <w:t>such as</w:t>
      </w:r>
      <w:r>
        <w:t xml:space="preserve"> TOE.</w:t>
      </w:r>
    </w:p>
    <w:p w14:paraId="6E392D6D" w14:textId="6B6CF5EC" w:rsidR="007052DC" w:rsidRDefault="00DD4A24" w:rsidP="007052DC">
      <w:r>
        <w:t>W</w:t>
      </w:r>
      <w:r w:rsidR="007052DC" w:rsidRPr="00646BFD">
        <w:t>ithin the diagnostic pathway</w:t>
      </w:r>
      <w:r w:rsidR="007052DC">
        <w:t xml:space="preserve"> for suspected PF</w:t>
      </w:r>
      <w:r w:rsidR="00D553F5">
        <w:t>O-</w:t>
      </w:r>
      <w:r w:rsidR="007052DC">
        <w:t>associated stroke</w:t>
      </w:r>
      <w:r w:rsidR="00EF5896">
        <w:t xml:space="preserve">, </w:t>
      </w:r>
      <w:r>
        <w:t xml:space="preserve">the TCD bubble test </w:t>
      </w:r>
      <w:r w:rsidR="00F369C9">
        <w:t xml:space="preserve">functions as a triage tool. It </w:t>
      </w:r>
      <w:r w:rsidR="00EF5896">
        <w:t>identif</w:t>
      </w:r>
      <w:r w:rsidR="00F369C9">
        <w:t>ies</w:t>
      </w:r>
      <w:r w:rsidR="00EF5896">
        <w:t xml:space="preserve"> patients who </w:t>
      </w:r>
      <w:r w:rsidR="00C56D9D" w:rsidRPr="00C56D9D">
        <w:t xml:space="preserve">should proceed to </w:t>
      </w:r>
      <w:r w:rsidR="006A4BC7">
        <w:t xml:space="preserve">more invasive </w:t>
      </w:r>
      <w:r w:rsidR="00C56D9D" w:rsidRPr="00C56D9D">
        <w:t xml:space="preserve">confirmatory </w:t>
      </w:r>
      <w:r w:rsidR="00904065">
        <w:t xml:space="preserve">anatomical </w:t>
      </w:r>
      <w:r w:rsidR="00C56D9D" w:rsidRPr="00C56D9D">
        <w:t>imaging</w:t>
      </w:r>
      <w:r w:rsidR="00D02F8C">
        <w:t xml:space="preserve"> with TOE</w:t>
      </w:r>
      <w:r w:rsidR="00D24C8B">
        <w:t xml:space="preserve">, </w:t>
      </w:r>
      <w:r w:rsidR="00F369C9">
        <w:t>while also helping to exclude those unlikely to have a</w:t>
      </w:r>
      <w:r w:rsidR="005F3D0D">
        <w:t xml:space="preserve"> clinically significant shunt</w:t>
      </w:r>
      <w:r w:rsidR="000E3E03">
        <w:t>.</w:t>
      </w:r>
      <w:r w:rsidR="00C56D9D" w:rsidRPr="00C56D9D">
        <w:t xml:space="preserve"> </w:t>
      </w:r>
    </w:p>
    <w:p w14:paraId="01081C5E" w14:textId="3F445F63" w:rsidR="009C329A" w:rsidRDefault="009C329A" w:rsidP="007052DC">
      <w:r>
        <w:t xml:space="preserve">The application </w:t>
      </w:r>
      <w:r w:rsidR="00E640E3">
        <w:t>contends</w:t>
      </w:r>
      <w:r>
        <w:t xml:space="preserve"> that</w:t>
      </w:r>
      <w:r w:rsidR="00CC74F7">
        <w:t xml:space="preserve"> access to TCD bubble testing</w:t>
      </w:r>
      <w:r>
        <w:t xml:space="preserve"> </w:t>
      </w:r>
      <w:r w:rsidRPr="008E7E7D">
        <w:t xml:space="preserve">may reduce reliance on </w:t>
      </w:r>
      <w:r w:rsidR="00E640E3">
        <w:t>an alternative</w:t>
      </w:r>
      <w:r w:rsidR="001770B9">
        <w:t xml:space="preserve"> triage </w:t>
      </w:r>
      <w:r w:rsidR="00E640E3">
        <w:t>modality</w:t>
      </w:r>
      <w:r w:rsidR="001770B9">
        <w:t xml:space="preserve"> – </w:t>
      </w:r>
      <w:r w:rsidRPr="008E7E7D">
        <w:t xml:space="preserve">transthoracic echocardiography (TTE) with bubble </w:t>
      </w:r>
      <w:r w:rsidR="00B00191">
        <w:t>contrast</w:t>
      </w:r>
      <w:r w:rsidRPr="008E7E7D">
        <w:t xml:space="preserve"> </w:t>
      </w:r>
      <w:r>
        <w:t>(the nominated comparator)</w:t>
      </w:r>
      <w:r w:rsidR="00CD70E9">
        <w:t xml:space="preserve">, which is used as a first-line test to </w:t>
      </w:r>
      <w:r w:rsidR="00873C33">
        <w:t>detect</w:t>
      </w:r>
      <w:r w:rsidR="00CD70E9">
        <w:t xml:space="preserve"> right-to-left shunting in patients with suspected PFO</w:t>
      </w:r>
      <w:r>
        <w:t xml:space="preserve"> </w:t>
      </w:r>
      <w:r w:rsidR="001770B9">
        <w:t xml:space="preserve">– </w:t>
      </w:r>
      <w:r w:rsidRPr="008E7E7D">
        <w:t xml:space="preserve">and </w:t>
      </w:r>
      <w:r w:rsidR="00E640E3">
        <w:t xml:space="preserve">may facilitate more timely diagnosis </w:t>
      </w:r>
      <w:r w:rsidRPr="008E7E7D">
        <w:t>and treatment</w:t>
      </w:r>
      <w:r w:rsidR="001C1DB0">
        <w:t xml:space="preserve"> of a </w:t>
      </w:r>
      <w:r w:rsidR="00A46B01">
        <w:t>causally related</w:t>
      </w:r>
      <w:r w:rsidR="001C1DB0">
        <w:t xml:space="preserve"> PFO</w:t>
      </w:r>
      <w:r w:rsidR="00E34C80">
        <w:t>. H</w:t>
      </w:r>
      <w:r w:rsidR="00FE5D28">
        <w:t xml:space="preserve">owever, the extent </w:t>
      </w:r>
      <w:r w:rsidR="00E34C80">
        <w:t>to which TCD may replace TTE in clinical practice</w:t>
      </w:r>
      <w:r w:rsidR="007B041D">
        <w:t xml:space="preserve"> </w:t>
      </w:r>
      <w:r w:rsidR="00FE5D28">
        <w:t>is likely to</w:t>
      </w:r>
      <w:r w:rsidR="007B041D" w:rsidRPr="007B041D">
        <w:t xml:space="preserve"> depend on factors such as service availability, workforce capability, and integration </w:t>
      </w:r>
      <w:r w:rsidR="00FE5D28">
        <w:t>within</w:t>
      </w:r>
      <w:r w:rsidR="007B041D" w:rsidRPr="007B041D">
        <w:t xml:space="preserve"> existing stroke </w:t>
      </w:r>
      <w:r w:rsidR="00FE5D28">
        <w:t xml:space="preserve">care </w:t>
      </w:r>
      <w:r w:rsidR="007B041D" w:rsidRPr="007B041D">
        <w:t>pathways</w:t>
      </w:r>
      <w:r>
        <w:t>.</w:t>
      </w:r>
    </w:p>
    <w:p w14:paraId="2CC4547D" w14:textId="77777777" w:rsidR="00062E08" w:rsidRDefault="00062E08" w:rsidP="00062E08">
      <w:pPr>
        <w:rPr>
          <w:rFonts w:asciiTheme="minorHAnsi" w:hAnsiTheme="minorHAnsi" w:cstheme="minorHAnsi"/>
          <w:i/>
          <w:iCs/>
        </w:rPr>
      </w:pPr>
      <w:r w:rsidRPr="009F604A">
        <w:rPr>
          <w:rFonts w:asciiTheme="minorHAnsi" w:hAnsiTheme="minorHAnsi" w:cstheme="minorHAnsi"/>
          <w:i/>
          <w:iCs/>
        </w:rPr>
        <w:t xml:space="preserve">PASC considered that the clinical evaluation should </w:t>
      </w:r>
      <w:r>
        <w:rPr>
          <w:rFonts w:asciiTheme="minorHAnsi" w:hAnsiTheme="minorHAnsi" w:cstheme="minorHAnsi"/>
          <w:i/>
          <w:iCs/>
        </w:rPr>
        <w:t>assess the diagnostic performance of</w:t>
      </w:r>
      <w:r w:rsidRPr="009F604A">
        <w:rPr>
          <w:rFonts w:asciiTheme="minorHAnsi" w:hAnsiTheme="minorHAnsi" w:cstheme="minorHAnsi"/>
          <w:i/>
          <w:iCs/>
        </w:rPr>
        <w:t xml:space="preserve"> TCD bubble testing </w:t>
      </w:r>
      <w:r>
        <w:rPr>
          <w:rFonts w:asciiTheme="minorHAnsi" w:hAnsiTheme="minorHAnsi" w:cstheme="minorHAnsi"/>
          <w:i/>
          <w:iCs/>
        </w:rPr>
        <w:t xml:space="preserve">using conventional TCD systems </w:t>
      </w:r>
      <w:r w:rsidRPr="009F604A">
        <w:rPr>
          <w:rFonts w:asciiTheme="minorHAnsi" w:hAnsiTheme="minorHAnsi" w:cstheme="minorHAnsi"/>
          <w:i/>
          <w:iCs/>
        </w:rPr>
        <w:t xml:space="preserve">and TCCD </w:t>
      </w:r>
      <w:r>
        <w:rPr>
          <w:rFonts w:asciiTheme="minorHAnsi" w:hAnsiTheme="minorHAnsi" w:cstheme="minorHAnsi"/>
          <w:i/>
          <w:iCs/>
        </w:rPr>
        <w:t>systems</w:t>
      </w:r>
      <w:r w:rsidRPr="009F604A">
        <w:rPr>
          <w:rFonts w:asciiTheme="minorHAnsi" w:hAnsiTheme="minorHAnsi" w:cstheme="minorHAnsi"/>
          <w:i/>
          <w:iCs/>
        </w:rPr>
        <w:t xml:space="preserve"> separately</w:t>
      </w:r>
      <w:r>
        <w:rPr>
          <w:rFonts w:asciiTheme="minorHAnsi" w:hAnsiTheme="minorHAnsi" w:cstheme="minorHAnsi"/>
          <w:i/>
          <w:iCs/>
        </w:rPr>
        <w:t>, given the need to understand whether the 2 modalities provide comparable detection of right-to-left shunts</w:t>
      </w:r>
      <w:r w:rsidRPr="009F604A">
        <w:rPr>
          <w:rFonts w:asciiTheme="minorHAnsi" w:hAnsiTheme="minorHAnsi" w:cstheme="minorHAnsi"/>
          <w:i/>
          <w:iCs/>
        </w:rPr>
        <w:t xml:space="preserve">. </w:t>
      </w:r>
      <w:r>
        <w:rPr>
          <w:rFonts w:asciiTheme="minorHAnsi" w:hAnsiTheme="minorHAnsi" w:cstheme="minorHAnsi"/>
          <w:i/>
          <w:iCs/>
        </w:rPr>
        <w:t>The</w:t>
      </w:r>
      <w:r w:rsidRPr="009F604A">
        <w:rPr>
          <w:rFonts w:asciiTheme="minorHAnsi" w:hAnsiTheme="minorHAnsi" w:cstheme="minorHAnsi"/>
          <w:i/>
          <w:iCs/>
        </w:rPr>
        <w:t xml:space="preserve"> applican</w:t>
      </w:r>
      <w:r>
        <w:rPr>
          <w:rFonts w:asciiTheme="minorHAnsi" w:hAnsiTheme="minorHAnsi" w:cstheme="minorHAnsi"/>
          <w:i/>
          <w:iCs/>
        </w:rPr>
        <w:t xml:space="preserve">t advised that, </w:t>
      </w:r>
      <w:r w:rsidRPr="009F604A">
        <w:rPr>
          <w:rFonts w:asciiTheme="minorHAnsi" w:hAnsiTheme="minorHAnsi" w:cstheme="minorHAnsi"/>
          <w:i/>
          <w:iCs/>
        </w:rPr>
        <w:t xml:space="preserve">of the 3 centres currently performing bubble testing, the Austin </w:t>
      </w:r>
      <w:r>
        <w:rPr>
          <w:rFonts w:asciiTheme="minorHAnsi" w:hAnsiTheme="minorHAnsi" w:cstheme="minorHAnsi"/>
          <w:i/>
          <w:iCs/>
        </w:rPr>
        <w:t xml:space="preserve">Hospital currently </w:t>
      </w:r>
      <w:r w:rsidRPr="009F604A">
        <w:rPr>
          <w:rFonts w:asciiTheme="minorHAnsi" w:hAnsiTheme="minorHAnsi" w:cstheme="minorHAnsi"/>
          <w:i/>
          <w:iCs/>
        </w:rPr>
        <w:t>uses TCD</w:t>
      </w:r>
      <w:r>
        <w:rPr>
          <w:rFonts w:asciiTheme="minorHAnsi" w:hAnsiTheme="minorHAnsi" w:cstheme="minorHAnsi"/>
          <w:i/>
          <w:iCs/>
        </w:rPr>
        <w:t xml:space="preserve">, whereas </w:t>
      </w:r>
      <w:r w:rsidRPr="009F604A">
        <w:rPr>
          <w:rFonts w:asciiTheme="minorHAnsi" w:hAnsiTheme="minorHAnsi" w:cstheme="minorHAnsi"/>
          <w:i/>
          <w:iCs/>
        </w:rPr>
        <w:t xml:space="preserve">the Royal Adelaide </w:t>
      </w:r>
      <w:r>
        <w:rPr>
          <w:rFonts w:asciiTheme="minorHAnsi" w:hAnsiTheme="minorHAnsi" w:cstheme="minorHAnsi"/>
          <w:i/>
          <w:iCs/>
        </w:rPr>
        <w:t xml:space="preserve">Hospital </w:t>
      </w:r>
      <w:r w:rsidRPr="009F604A">
        <w:rPr>
          <w:rFonts w:asciiTheme="minorHAnsi" w:hAnsiTheme="minorHAnsi" w:cstheme="minorHAnsi"/>
          <w:i/>
          <w:iCs/>
        </w:rPr>
        <w:t xml:space="preserve">and John Hunter </w:t>
      </w:r>
      <w:r>
        <w:rPr>
          <w:rFonts w:asciiTheme="minorHAnsi" w:hAnsiTheme="minorHAnsi" w:cstheme="minorHAnsi"/>
          <w:i/>
          <w:iCs/>
        </w:rPr>
        <w:t xml:space="preserve">Hospital </w:t>
      </w:r>
      <w:r w:rsidRPr="009F604A">
        <w:rPr>
          <w:rFonts w:asciiTheme="minorHAnsi" w:hAnsiTheme="minorHAnsi" w:cstheme="minorHAnsi"/>
          <w:i/>
          <w:iCs/>
        </w:rPr>
        <w:t xml:space="preserve">use TCCD, with </w:t>
      </w:r>
      <w:r>
        <w:rPr>
          <w:rFonts w:asciiTheme="minorHAnsi" w:hAnsiTheme="minorHAnsi" w:cstheme="minorHAnsi"/>
          <w:i/>
          <w:iCs/>
        </w:rPr>
        <w:t>modality selection reflecting the ultrasound equipment</w:t>
      </w:r>
      <w:r w:rsidRPr="009F604A">
        <w:rPr>
          <w:rFonts w:asciiTheme="minorHAnsi" w:hAnsiTheme="minorHAnsi" w:cstheme="minorHAnsi"/>
          <w:i/>
          <w:iCs/>
        </w:rPr>
        <w:t xml:space="preserve"> available at </w:t>
      </w:r>
      <w:r>
        <w:rPr>
          <w:rFonts w:asciiTheme="minorHAnsi" w:hAnsiTheme="minorHAnsi" w:cstheme="minorHAnsi"/>
          <w:i/>
          <w:iCs/>
        </w:rPr>
        <w:t>each</w:t>
      </w:r>
      <w:r w:rsidRPr="009F604A">
        <w:rPr>
          <w:rFonts w:asciiTheme="minorHAnsi" w:hAnsiTheme="minorHAnsi" w:cstheme="minorHAnsi"/>
          <w:i/>
          <w:iCs/>
        </w:rPr>
        <w:t xml:space="preserve"> institution</w:t>
      </w:r>
      <w:r>
        <w:rPr>
          <w:rFonts w:asciiTheme="minorHAnsi" w:hAnsiTheme="minorHAnsi" w:cstheme="minorHAnsi"/>
          <w:i/>
          <w:iCs/>
        </w:rPr>
        <w:t>. The applicant further advised that both modalities have</w:t>
      </w:r>
      <w:r w:rsidRPr="009F604A">
        <w:rPr>
          <w:rFonts w:asciiTheme="minorHAnsi" w:hAnsiTheme="minorHAnsi" w:cstheme="minorHAnsi"/>
          <w:i/>
          <w:iCs/>
        </w:rPr>
        <w:t xml:space="preserve"> </w:t>
      </w:r>
      <w:r>
        <w:rPr>
          <w:rFonts w:asciiTheme="minorHAnsi" w:hAnsiTheme="minorHAnsi" w:cstheme="minorHAnsi"/>
          <w:i/>
          <w:iCs/>
        </w:rPr>
        <w:t xml:space="preserve">broadly </w:t>
      </w:r>
      <w:r w:rsidRPr="009F604A">
        <w:rPr>
          <w:rFonts w:asciiTheme="minorHAnsi" w:hAnsiTheme="minorHAnsi" w:cstheme="minorHAnsi"/>
          <w:i/>
          <w:iCs/>
        </w:rPr>
        <w:t xml:space="preserve">similar </w:t>
      </w:r>
      <w:r>
        <w:rPr>
          <w:rFonts w:asciiTheme="minorHAnsi" w:hAnsiTheme="minorHAnsi" w:cstheme="minorHAnsi"/>
          <w:i/>
          <w:iCs/>
        </w:rPr>
        <w:t xml:space="preserve">diagnostic </w:t>
      </w:r>
      <w:r w:rsidRPr="009F604A">
        <w:rPr>
          <w:rFonts w:asciiTheme="minorHAnsi" w:hAnsiTheme="minorHAnsi" w:cstheme="minorHAnsi"/>
          <w:i/>
          <w:iCs/>
        </w:rPr>
        <w:t>performance</w:t>
      </w:r>
      <w:r>
        <w:rPr>
          <w:rFonts w:asciiTheme="minorHAnsi" w:hAnsiTheme="minorHAnsi" w:cstheme="minorHAnsi"/>
          <w:i/>
          <w:iCs/>
        </w:rPr>
        <w:t xml:space="preserve">, </w:t>
      </w:r>
      <w:r w:rsidRPr="00451ACC">
        <w:rPr>
          <w:rFonts w:asciiTheme="minorHAnsi" w:hAnsiTheme="minorHAnsi" w:cstheme="minorHAnsi"/>
          <w:i/>
          <w:iCs/>
        </w:rPr>
        <w:t>although TCD may offer some technical advantages</w:t>
      </w:r>
      <w:r>
        <w:rPr>
          <w:rFonts w:asciiTheme="minorHAnsi" w:hAnsiTheme="minorHAnsi" w:cstheme="minorHAnsi"/>
          <w:i/>
          <w:iCs/>
        </w:rPr>
        <w:t xml:space="preserve"> </w:t>
      </w:r>
      <w:r w:rsidRPr="009961EC">
        <w:rPr>
          <w:rFonts w:asciiTheme="minorHAnsi" w:hAnsiTheme="minorHAnsi" w:cstheme="minorHAnsi"/>
          <w:i/>
          <w:iCs/>
        </w:rPr>
        <w:t>related to signal detection, monitoring capability, and operator flexibility that may improve detection of lo</w:t>
      </w:r>
      <w:r>
        <w:rPr>
          <w:rFonts w:asciiTheme="minorHAnsi" w:hAnsiTheme="minorHAnsi" w:cstheme="minorHAnsi"/>
          <w:i/>
          <w:iCs/>
        </w:rPr>
        <w:t>w-</w:t>
      </w:r>
      <w:r w:rsidRPr="009961EC">
        <w:rPr>
          <w:rFonts w:asciiTheme="minorHAnsi" w:hAnsiTheme="minorHAnsi" w:cstheme="minorHAnsi"/>
          <w:i/>
          <w:iCs/>
        </w:rPr>
        <w:t>grade shunts</w:t>
      </w:r>
      <w:r w:rsidRPr="009F604A">
        <w:rPr>
          <w:rFonts w:asciiTheme="minorHAnsi" w:hAnsiTheme="minorHAnsi" w:cstheme="minorHAnsi"/>
          <w:i/>
          <w:iCs/>
        </w:rPr>
        <w:t>.</w:t>
      </w:r>
    </w:p>
    <w:p w14:paraId="79DD3338" w14:textId="0695BAFB" w:rsidR="00062E08" w:rsidRDefault="00062E08" w:rsidP="5A3A89BB">
      <w:pPr>
        <w:rPr>
          <w:rFonts w:asciiTheme="minorHAnsi" w:hAnsiTheme="minorHAnsi" w:cstheme="minorBidi"/>
          <w:i/>
          <w:iCs/>
        </w:rPr>
      </w:pPr>
      <w:r w:rsidRPr="5A3A89BB">
        <w:rPr>
          <w:rFonts w:asciiTheme="minorHAnsi" w:hAnsiTheme="minorHAnsi" w:cstheme="minorBidi"/>
          <w:i/>
          <w:iCs/>
        </w:rPr>
        <w:t xml:space="preserve">PASC considered the importance of equitable access to the proposed service. PASC noted that, if TCD bubble testing is shown to have superior diagnostic performance compared with TTE with bubble contrast, its use as the preferred triage test may reduce the need for additional </w:t>
      </w:r>
      <w:r w:rsidR="00C57184">
        <w:rPr>
          <w:rFonts w:asciiTheme="minorHAnsi" w:hAnsiTheme="minorHAnsi" w:cstheme="minorBidi"/>
          <w:i/>
          <w:iCs/>
        </w:rPr>
        <w:t xml:space="preserve">diagnostic </w:t>
      </w:r>
      <w:r w:rsidRPr="5A3A89BB">
        <w:rPr>
          <w:rFonts w:asciiTheme="minorHAnsi" w:hAnsiTheme="minorHAnsi" w:cstheme="minorBidi"/>
          <w:i/>
          <w:iCs/>
        </w:rPr>
        <w:t>investigations</w:t>
      </w:r>
      <w:r w:rsidR="00C57184">
        <w:rPr>
          <w:rFonts w:asciiTheme="minorHAnsi" w:hAnsiTheme="minorHAnsi" w:cstheme="minorBidi"/>
          <w:i/>
          <w:iCs/>
        </w:rPr>
        <w:t xml:space="preserve"> and allow for earlier PFO closure </w:t>
      </w:r>
      <w:r w:rsidR="00193576">
        <w:rPr>
          <w:rFonts w:asciiTheme="minorHAnsi" w:hAnsiTheme="minorHAnsi" w:cstheme="minorBidi"/>
          <w:i/>
          <w:iCs/>
        </w:rPr>
        <w:t xml:space="preserve">(i.e. with fewer </w:t>
      </w:r>
      <w:r w:rsidR="001940A9">
        <w:rPr>
          <w:rFonts w:asciiTheme="minorHAnsi" w:hAnsiTheme="minorHAnsi" w:cstheme="minorBidi"/>
          <w:i/>
          <w:iCs/>
        </w:rPr>
        <w:t>clinical appointments</w:t>
      </w:r>
      <w:r w:rsidR="00193576">
        <w:rPr>
          <w:rFonts w:asciiTheme="minorHAnsi" w:hAnsiTheme="minorHAnsi" w:cstheme="minorBidi"/>
          <w:i/>
          <w:iCs/>
        </w:rPr>
        <w:t xml:space="preserve"> required)</w:t>
      </w:r>
      <w:r w:rsidR="001940A9">
        <w:rPr>
          <w:rFonts w:asciiTheme="minorHAnsi" w:hAnsiTheme="minorHAnsi" w:cstheme="minorBidi"/>
          <w:i/>
          <w:iCs/>
        </w:rPr>
        <w:t xml:space="preserve">. </w:t>
      </w:r>
      <w:r w:rsidR="00193576">
        <w:rPr>
          <w:rFonts w:asciiTheme="minorHAnsi" w:hAnsiTheme="minorHAnsi" w:cstheme="minorBidi"/>
          <w:i/>
          <w:iCs/>
        </w:rPr>
        <w:t>PASC noted that this may reduce</w:t>
      </w:r>
      <w:r w:rsidRPr="5A3A89BB">
        <w:rPr>
          <w:rFonts w:asciiTheme="minorHAnsi" w:hAnsiTheme="minorHAnsi" w:cstheme="minorBidi"/>
          <w:i/>
          <w:iCs/>
        </w:rPr>
        <w:t xml:space="preserve"> associated</w:t>
      </w:r>
      <w:r w:rsidR="00193576">
        <w:rPr>
          <w:rFonts w:asciiTheme="minorHAnsi" w:hAnsiTheme="minorHAnsi" w:cstheme="minorBidi"/>
          <w:i/>
          <w:iCs/>
        </w:rPr>
        <w:t xml:space="preserve"> additional</w:t>
      </w:r>
      <w:r w:rsidRPr="5A3A89BB">
        <w:rPr>
          <w:rFonts w:asciiTheme="minorHAnsi" w:hAnsiTheme="minorHAnsi" w:cstheme="minorBidi"/>
          <w:i/>
          <w:iCs/>
        </w:rPr>
        <w:t xml:space="preserve"> travel for some patients. PASC considered that this could improve access to care and reduce the burden of further diagnostic assessment, particularly for patients who would otherwise need to travel to access specialist services.</w:t>
      </w:r>
    </w:p>
    <w:p w14:paraId="405D8D54" w14:textId="77777777" w:rsidR="005F578E" w:rsidRPr="002D2D98" w:rsidRDefault="005F578E" w:rsidP="00163319">
      <w:pPr>
        <w:pStyle w:val="Heading4"/>
      </w:pPr>
      <w:r w:rsidRPr="002D2D98">
        <w:t>Testing procedure</w:t>
      </w:r>
    </w:p>
    <w:p w14:paraId="437AA973" w14:textId="5C674D11" w:rsidR="007074D0" w:rsidRDefault="007074D0" w:rsidP="005E73E5">
      <w:r>
        <w:t xml:space="preserve">The TCD bubble test </w:t>
      </w:r>
      <w:r w:rsidR="001A38E6" w:rsidRPr="001A38E6">
        <w:t xml:space="preserve">combines </w:t>
      </w:r>
      <w:r w:rsidR="0010779C">
        <w:t>transcranial</w:t>
      </w:r>
      <w:r w:rsidR="001A38E6" w:rsidRPr="001A38E6">
        <w:t xml:space="preserve"> ultrasound monitoring with intravenous </w:t>
      </w:r>
      <w:r w:rsidR="00625062">
        <w:t xml:space="preserve">(IV) </w:t>
      </w:r>
      <w:r w:rsidR="001A38E6" w:rsidRPr="001A38E6">
        <w:t>administration of agitated saline contrast to detect righ</w:t>
      </w:r>
      <w:r w:rsidR="001A38E6">
        <w:t>t-</w:t>
      </w:r>
      <w:r w:rsidR="001A38E6" w:rsidRPr="001A38E6">
        <w:t>t</w:t>
      </w:r>
      <w:r w:rsidR="001A38E6">
        <w:t>o-</w:t>
      </w:r>
      <w:r w:rsidR="001A38E6" w:rsidRPr="001A38E6">
        <w:t>left shunt</w:t>
      </w:r>
      <w:r w:rsidR="0010779C">
        <w:t>ing</w:t>
      </w:r>
      <w:r w:rsidR="001A38E6" w:rsidRPr="001A38E6">
        <w:t xml:space="preserve">. </w:t>
      </w:r>
      <w:r w:rsidR="00A51A95">
        <w:t xml:space="preserve">The </w:t>
      </w:r>
      <w:r w:rsidR="0010779C">
        <w:t>procedure</w:t>
      </w:r>
      <w:r w:rsidR="001A38E6" w:rsidRPr="001A38E6">
        <w:t xml:space="preserve"> is performed without sedation</w:t>
      </w:r>
      <w:r w:rsidR="00A012FA">
        <w:t>.</w:t>
      </w:r>
      <w:r w:rsidR="001A38E6" w:rsidRPr="001A38E6">
        <w:t xml:space="preserve"> </w:t>
      </w:r>
      <w:r w:rsidR="00953679">
        <w:t>P</w:t>
      </w:r>
      <w:r w:rsidR="007E6EDE">
        <w:t xml:space="preserve">atient information </w:t>
      </w:r>
      <w:r w:rsidR="00953679">
        <w:t xml:space="preserve">from Australian centres </w:t>
      </w:r>
      <w:r w:rsidR="00233AB8">
        <w:t xml:space="preserve">indicates that it </w:t>
      </w:r>
      <w:r w:rsidR="001A38E6" w:rsidRPr="001A38E6">
        <w:t xml:space="preserve">typically takes </w:t>
      </w:r>
      <w:r w:rsidR="000A0FF0">
        <w:t>15</w:t>
      </w:r>
      <w:r w:rsidR="0080015E">
        <w:t>–</w:t>
      </w:r>
      <w:r w:rsidR="001A38E6" w:rsidRPr="001A38E6">
        <w:t>30 minutes</w:t>
      </w:r>
      <w:r w:rsidR="00A51A95">
        <w:t>,</w:t>
      </w:r>
      <w:r w:rsidR="002E3E65">
        <w:rPr>
          <w:rStyle w:val="FootnoteReference"/>
        </w:rPr>
        <w:footnoteReference w:id="5"/>
      </w:r>
      <w:r w:rsidR="00A51A95">
        <w:t xml:space="preserve"> although </w:t>
      </w:r>
      <w:r w:rsidR="002E3E65">
        <w:t xml:space="preserve">it may </w:t>
      </w:r>
      <w:r w:rsidR="00A012FA">
        <w:t xml:space="preserve">extend </w:t>
      </w:r>
      <w:r w:rsidR="00040644">
        <w:t xml:space="preserve">up to 45 minutes in </w:t>
      </w:r>
      <w:r w:rsidR="00A012FA">
        <w:t xml:space="preserve">more </w:t>
      </w:r>
      <w:r w:rsidR="001A38E6" w:rsidRPr="001A38E6">
        <w:t>complex cases.</w:t>
      </w:r>
    </w:p>
    <w:p w14:paraId="5C35345B" w14:textId="5C2BCC88" w:rsidR="0099569F" w:rsidRDefault="006A4702" w:rsidP="00976F6A">
      <w:r>
        <w:t>The patient is positioned supine or sem</w:t>
      </w:r>
      <w:r w:rsidR="00762CAA">
        <w:t>i-</w:t>
      </w:r>
      <w:r>
        <w:t>recumbent</w:t>
      </w:r>
      <w:r w:rsidR="00976F6A">
        <w:t>,</w:t>
      </w:r>
      <w:r w:rsidR="006E379D">
        <w:t xml:space="preserve"> and a peripheral IV cannula is inserted.</w:t>
      </w:r>
      <w:r>
        <w:t xml:space="preserve"> </w:t>
      </w:r>
      <w:r w:rsidR="00924DF4">
        <w:t xml:space="preserve">Ultrasound </w:t>
      </w:r>
      <w:r w:rsidR="00976F6A">
        <w:t xml:space="preserve">monitoring is established by positioning one or two probes over the transtemporal acoustic windows to </w:t>
      </w:r>
      <w:proofErr w:type="spellStart"/>
      <w:r w:rsidR="00976F6A">
        <w:t>insonate</w:t>
      </w:r>
      <w:proofErr w:type="spellEnd"/>
      <w:r w:rsidR="00976F6A">
        <w:t xml:space="preserve"> the middle cerebral artery</w:t>
      </w:r>
      <w:r w:rsidR="00071583">
        <w:t xml:space="preserve"> (MCA)</w:t>
      </w:r>
      <w:r w:rsidR="00976F6A">
        <w:t xml:space="preserve">. Depending on equipment and protocol, unilateral or bilateral monitoring may be </w:t>
      </w:r>
      <w:r w:rsidR="00DD1F95">
        <w:t>used</w:t>
      </w:r>
      <w:r w:rsidR="00976F6A">
        <w:t>.</w:t>
      </w:r>
    </w:p>
    <w:p w14:paraId="61B94134" w14:textId="17EFCCC6" w:rsidR="00976F6A" w:rsidRDefault="00DD1F95" w:rsidP="00976F6A">
      <w:r>
        <w:t>A</w:t>
      </w:r>
      <w:r w:rsidR="00976F6A">
        <w:t>dequate acoustic window</w:t>
      </w:r>
      <w:r>
        <w:t>s</w:t>
      </w:r>
      <w:r w:rsidR="00976F6A">
        <w:t xml:space="preserve"> </w:t>
      </w:r>
      <w:r>
        <w:t xml:space="preserve">are </w:t>
      </w:r>
      <w:r w:rsidR="00126FC1">
        <w:t>essential</w:t>
      </w:r>
      <w:r w:rsidR="00976F6A">
        <w:t xml:space="preserve"> for </w:t>
      </w:r>
      <w:r w:rsidR="001A7844">
        <w:t xml:space="preserve">reliable </w:t>
      </w:r>
      <w:r w:rsidR="00976F6A">
        <w:t>signal acquisition</w:t>
      </w:r>
      <w:r w:rsidR="00F24689">
        <w:t>.</w:t>
      </w:r>
      <w:r w:rsidR="00976F6A">
        <w:t xml:space="preserve"> </w:t>
      </w:r>
      <w:r w:rsidR="00072EF2" w:rsidRPr="00072EF2">
        <w:t>However, the literature indicates that suitable temporal bone windows for ultrasound are absent in</w:t>
      </w:r>
      <w:r w:rsidR="00072EF2">
        <w:t xml:space="preserve"> </w:t>
      </w:r>
      <w:r w:rsidR="00976F6A">
        <w:t xml:space="preserve">approximately </w:t>
      </w:r>
      <w:r w:rsidR="0068173A">
        <w:t>5</w:t>
      </w:r>
      <w:r w:rsidR="00976F6A">
        <w:t xml:space="preserve">–20% of </w:t>
      </w:r>
      <w:r w:rsidR="00565985">
        <w:t>adults (</w:t>
      </w:r>
      <w:r w:rsidR="008243CF">
        <w:t xml:space="preserve">Yavuz et </w:t>
      </w:r>
      <w:r w:rsidR="008243CF">
        <w:lastRenderedPageBreak/>
        <w:t>al. 2026)</w:t>
      </w:r>
      <w:r w:rsidR="00976F6A">
        <w:t>.</w:t>
      </w:r>
      <w:r w:rsidR="009B40D2">
        <w:t xml:space="preserve"> </w:t>
      </w:r>
      <w:r w:rsidR="008243CF">
        <w:t>In such cases, a</w:t>
      </w:r>
      <w:r w:rsidR="00762CAA" w:rsidRPr="00762CAA">
        <w:t xml:space="preserve">lternative </w:t>
      </w:r>
      <w:proofErr w:type="spellStart"/>
      <w:r w:rsidR="00A44C02">
        <w:t>insonation</w:t>
      </w:r>
      <w:proofErr w:type="spellEnd"/>
      <w:r w:rsidR="007A32E1">
        <w:rPr>
          <w:rStyle w:val="FootnoteReference"/>
        </w:rPr>
        <w:footnoteReference w:id="6"/>
      </w:r>
      <w:r w:rsidR="00A44C02">
        <w:t xml:space="preserve"> approaches </w:t>
      </w:r>
      <w:r w:rsidR="00112FCE">
        <w:t>(</w:t>
      </w:r>
      <w:r w:rsidR="0088462B">
        <w:t>e.g. via</w:t>
      </w:r>
      <w:r w:rsidR="00112FCE">
        <w:t xml:space="preserve"> the carotid artery in the neck) </w:t>
      </w:r>
      <w:r w:rsidR="0088462B">
        <w:t>may be considered, although these are</w:t>
      </w:r>
      <w:r w:rsidR="00A44C02">
        <w:t xml:space="preserve"> less common</w:t>
      </w:r>
      <w:r w:rsidR="0088462B">
        <w:t>ly used</w:t>
      </w:r>
      <w:r w:rsidR="00A44C02">
        <w:t xml:space="preserve"> and may </w:t>
      </w:r>
      <w:r w:rsidR="0088462B">
        <w:t>reduce diagnostic</w:t>
      </w:r>
      <w:r w:rsidR="00A44C02">
        <w:t xml:space="preserve"> sensitivity</w:t>
      </w:r>
      <w:r w:rsidR="00B47C71">
        <w:t xml:space="preserve"> (Yavuz et al. 2026)</w:t>
      </w:r>
      <w:r w:rsidR="00A44C02">
        <w:t xml:space="preserve">. </w:t>
      </w:r>
      <w:r w:rsidR="009D00F9" w:rsidRPr="00B13229">
        <w:t xml:space="preserve">In rare instances where </w:t>
      </w:r>
      <w:r w:rsidR="00702FCD" w:rsidRPr="00B13229">
        <w:t xml:space="preserve">adequate </w:t>
      </w:r>
      <w:proofErr w:type="spellStart"/>
      <w:r w:rsidR="00B47C71" w:rsidRPr="00B13229">
        <w:t>insonation</w:t>
      </w:r>
      <w:proofErr w:type="spellEnd"/>
      <w:r w:rsidR="00B47C71" w:rsidRPr="00B13229">
        <w:t xml:space="preserve"> </w:t>
      </w:r>
      <w:r w:rsidR="0055284B" w:rsidRPr="00B13229">
        <w:t xml:space="preserve">cannot be achieved, </w:t>
      </w:r>
      <w:r w:rsidR="00702FCD" w:rsidRPr="00B13229">
        <w:t xml:space="preserve">patients </w:t>
      </w:r>
      <w:r w:rsidR="00DC1C0E" w:rsidRPr="00B13229">
        <w:t xml:space="preserve">would </w:t>
      </w:r>
      <w:r w:rsidR="00702FCD" w:rsidRPr="00B13229">
        <w:t>typically proceed to TOE.</w:t>
      </w:r>
    </w:p>
    <w:p w14:paraId="1B074601" w14:textId="4C156FDA" w:rsidR="00976F6A" w:rsidRDefault="00C03725" w:rsidP="00976F6A">
      <w:r>
        <w:t>A</w:t>
      </w:r>
      <w:r w:rsidR="00976F6A">
        <w:t>gitated saline</w:t>
      </w:r>
      <w:r>
        <w:t xml:space="preserve"> contrast is</w:t>
      </w:r>
      <w:r w:rsidR="00976F6A">
        <w:t xml:space="preserve"> prepared immediately </w:t>
      </w:r>
      <w:r>
        <w:t>prior to injection</w:t>
      </w:r>
      <w:r w:rsidR="00976F6A">
        <w:t xml:space="preserve"> by mixing saline with a small volume of air</w:t>
      </w:r>
      <w:r>
        <w:t>,</w:t>
      </w:r>
      <w:r w:rsidR="00976F6A">
        <w:t xml:space="preserve"> and in some protocols a small quantity of the patient’s blood</w:t>
      </w:r>
      <w:r>
        <w:t>,</w:t>
      </w:r>
      <w:r w:rsidR="00976F6A">
        <w:t xml:space="preserve"> using two syringes connected via a </w:t>
      </w:r>
      <w:r w:rsidR="007C4932">
        <w:t>3-</w:t>
      </w:r>
      <w:r w:rsidR="00976F6A">
        <w:t xml:space="preserve">way stopcock. This </w:t>
      </w:r>
      <w:r>
        <w:t xml:space="preserve">produces </w:t>
      </w:r>
      <w:r w:rsidR="00976F6A">
        <w:t xml:space="preserve">microbubbles, </w:t>
      </w:r>
      <w:r w:rsidR="00330152">
        <w:t>with the</w:t>
      </w:r>
      <w:r w:rsidR="00411D05">
        <w:t xml:space="preserve"> addition of blood</w:t>
      </w:r>
      <w:r w:rsidR="007F4568" w:rsidRPr="007F4568">
        <w:t xml:space="preserve"> </w:t>
      </w:r>
      <w:r w:rsidR="00F81997" w:rsidRPr="00F81997">
        <w:t xml:space="preserve">improving </w:t>
      </w:r>
      <w:r w:rsidR="00B00B99">
        <w:t xml:space="preserve">bubble stability and </w:t>
      </w:r>
      <w:r w:rsidR="00F81997" w:rsidRPr="00F81997">
        <w:t>detection, while also reducing bubble coalescence and the risk of larger air emboli</w:t>
      </w:r>
      <w:r w:rsidR="00C20FA5">
        <w:t xml:space="preserve"> (Mahmoud et al. </w:t>
      </w:r>
      <w:r w:rsidR="002C4D68">
        <w:t>2017</w:t>
      </w:r>
      <w:r w:rsidR="00C20FA5">
        <w:t>)</w:t>
      </w:r>
      <w:r w:rsidR="00F81997" w:rsidRPr="00F81997">
        <w:t>.</w:t>
      </w:r>
    </w:p>
    <w:p w14:paraId="01154D3D" w14:textId="0424FB4D" w:rsidR="00976F6A" w:rsidRDefault="00976F6A" w:rsidP="00976F6A">
      <w:r>
        <w:t xml:space="preserve">Multiple injections are performed. Initial injections are </w:t>
      </w:r>
      <w:r w:rsidR="00B00B99">
        <w:t>conducted</w:t>
      </w:r>
      <w:r>
        <w:t xml:space="preserve"> during normal respiration to assess for spontaneous </w:t>
      </w:r>
      <w:r w:rsidR="00B00B99">
        <w:t>shunting</w:t>
      </w:r>
      <w:r w:rsidR="00615EA3">
        <w:t>, followed by i</w:t>
      </w:r>
      <w:r>
        <w:t>njections during a Valsalva manoeuvre</w:t>
      </w:r>
      <w:r w:rsidR="000665B3">
        <w:t xml:space="preserve"> to </w:t>
      </w:r>
      <w:r>
        <w:t>transiently increase right atrial pressure</w:t>
      </w:r>
      <w:r w:rsidR="000665B3">
        <w:t xml:space="preserve"> and </w:t>
      </w:r>
      <w:r>
        <w:t>improv</w:t>
      </w:r>
      <w:r w:rsidR="007771DC">
        <w:t xml:space="preserve">e detection of </w:t>
      </w:r>
      <w:r>
        <w:t xml:space="preserve">intermittent shunts. </w:t>
      </w:r>
      <w:r w:rsidR="007771DC">
        <w:t>A</w:t>
      </w:r>
      <w:r>
        <w:t xml:space="preserve">dditional injections may be </w:t>
      </w:r>
      <w:r w:rsidR="007771DC">
        <w:t xml:space="preserve">performed if </w:t>
      </w:r>
      <w:r>
        <w:t>required.</w:t>
      </w:r>
    </w:p>
    <w:p w14:paraId="2940CB78" w14:textId="01A58AF4" w:rsidR="00976F6A" w:rsidRDefault="00976F6A" w:rsidP="00976F6A">
      <w:r>
        <w:t>Following each injection, Doppler signals are monitored for approximately 2</w:t>
      </w:r>
      <w:r w:rsidR="00E12473">
        <w:t>0–</w:t>
      </w:r>
      <w:r>
        <w:t>30 seconds for hig</w:t>
      </w:r>
      <w:r w:rsidR="007C4932">
        <w:t>h-</w:t>
      </w:r>
      <w:r>
        <w:t>intensity transient signals (HITS), represent</w:t>
      </w:r>
      <w:r w:rsidR="004E65B4">
        <w:t>ing</w:t>
      </w:r>
      <w:r>
        <w:t xml:space="preserve"> microbubbles enter</w:t>
      </w:r>
      <w:r w:rsidR="004E65B4">
        <w:t>ing</w:t>
      </w:r>
      <w:r>
        <w:t xml:space="preserve"> the cerebral </w:t>
      </w:r>
      <w:r w:rsidR="00A2506C">
        <w:t>circulation</w:t>
      </w:r>
      <w:r>
        <w:t>. The number and timing of HITS are recorded and used to determine the presence of a shunt and to grade its severity on a sem</w:t>
      </w:r>
      <w:r w:rsidR="007C4932">
        <w:t>i-</w:t>
      </w:r>
      <w:r>
        <w:t>quantitative scale (e.g. 0</w:t>
      </w:r>
      <w:r w:rsidR="00E12473">
        <w:t>–</w:t>
      </w:r>
      <w:r>
        <w:t>5), with higher grades indicating larger shunts.</w:t>
      </w:r>
    </w:p>
    <w:p w14:paraId="5393A3C3" w14:textId="0F3F1CEF" w:rsidR="004250EE" w:rsidRDefault="004250EE" w:rsidP="00976F6A">
      <w:r w:rsidRPr="004250EE">
        <w:t>The threshold used to define a positive TCD bubble test may vary across clinical settings and studies, contributing to heterogeneity in test performance</w:t>
      </w:r>
      <w:r w:rsidR="00301E32">
        <w:t xml:space="preserve"> </w:t>
      </w:r>
      <w:r w:rsidR="00AC2161">
        <w:t>(Yavuz et al. 2026)</w:t>
      </w:r>
      <w:r w:rsidRPr="004250EE">
        <w:t xml:space="preserve">. Some protocols consider the detection of any microbubble (i.e. </w:t>
      </w:r>
      <w:r>
        <w:rPr>
          <w:rFonts w:cs="Calibri"/>
        </w:rPr>
        <w:t>≥</w:t>
      </w:r>
      <w:r w:rsidRPr="004250EE">
        <w:t xml:space="preserve">1 HITS) as a positive result in order to maximise sensitivity for screening purposes. In contrast, higher thresholds (e.g. </w:t>
      </w:r>
      <w:r>
        <w:t>&gt;</w:t>
      </w:r>
      <w:r w:rsidRPr="004250EE">
        <w:t xml:space="preserve">10 HITS) may be applied to improve specificity and preferentially identify </w:t>
      </w:r>
      <w:proofErr w:type="spellStart"/>
      <w:r w:rsidRPr="004250EE">
        <w:t>haemodynamically</w:t>
      </w:r>
      <w:proofErr w:type="spellEnd"/>
      <w:r w:rsidRPr="004250EE">
        <w:t xml:space="preserve"> significant shunts, accepting a reduced sensitivity for smaller or clinically insignificant PFOs. The selection of threshold is therefore aligned with the intended clinical role of the test within the diagnostic pathway.</w:t>
      </w:r>
    </w:p>
    <w:p w14:paraId="0A318013" w14:textId="467A9CD8" w:rsidR="00E76DB5" w:rsidRDefault="00976F6A" w:rsidP="00976F6A">
      <w:r>
        <w:t xml:space="preserve">Most protocols include </w:t>
      </w:r>
      <w:r w:rsidR="00537073">
        <w:t>2</w:t>
      </w:r>
      <w:r w:rsidR="00BF182E">
        <w:t>–</w:t>
      </w:r>
      <w:r w:rsidR="00537073">
        <w:t>4</w:t>
      </w:r>
      <w:r>
        <w:t xml:space="preserve"> </w:t>
      </w:r>
      <w:r w:rsidR="001B481E">
        <w:t xml:space="preserve">bubble contrast </w:t>
      </w:r>
      <w:r>
        <w:t xml:space="preserve">injections, </w:t>
      </w:r>
      <w:r w:rsidR="00BF182E">
        <w:t>with</w:t>
      </w:r>
      <w:r>
        <w:t xml:space="preserve"> at least one at rest and one during provocation. </w:t>
      </w:r>
      <w:r w:rsidR="00AC6738">
        <w:t>T</w:t>
      </w:r>
      <w:r>
        <w:t xml:space="preserve">he patient remains awake </w:t>
      </w:r>
      <w:r w:rsidR="00AC6738">
        <w:t xml:space="preserve">throughout the procedure and can typically leave </w:t>
      </w:r>
      <w:r w:rsidR="005E2354">
        <w:t xml:space="preserve">immediately after completion. </w:t>
      </w:r>
      <w:r>
        <w:t>A</w:t>
      </w:r>
      <w:r w:rsidR="005A3170">
        <w:t>ccording to the applicant, a</w:t>
      </w:r>
      <w:r>
        <w:t xml:space="preserve">dverse events are uncommon and </w:t>
      </w:r>
      <w:r w:rsidR="00590A52">
        <w:t>generally</w:t>
      </w:r>
      <w:r>
        <w:t xml:space="preserve"> limited to minor discomfort associated with venous </w:t>
      </w:r>
      <w:r w:rsidR="00590A52">
        <w:t>access</w:t>
      </w:r>
      <w:r>
        <w:t xml:space="preserve">. The </w:t>
      </w:r>
      <w:r w:rsidR="00590A52">
        <w:t>test</w:t>
      </w:r>
      <w:r>
        <w:t xml:space="preserve"> does not involve ionising radiation or pharmacological </w:t>
      </w:r>
      <w:r w:rsidR="00590A52">
        <w:t>contrast agents</w:t>
      </w:r>
      <w:r>
        <w:t>.</w:t>
      </w:r>
    </w:p>
    <w:p w14:paraId="0C664DFA" w14:textId="0A826358" w:rsidR="0068241A" w:rsidRDefault="0068241A" w:rsidP="00976F6A">
      <w:pPr>
        <w:rPr>
          <w:rFonts w:asciiTheme="minorHAnsi" w:hAnsiTheme="minorHAnsi" w:cstheme="minorHAnsi"/>
          <w:i/>
          <w:iCs/>
        </w:rPr>
      </w:pPr>
      <w:r w:rsidRPr="00B66504">
        <w:rPr>
          <w:rFonts w:asciiTheme="minorHAnsi" w:hAnsiTheme="minorHAnsi" w:cstheme="minorHAnsi"/>
          <w:i/>
          <w:iCs/>
        </w:rPr>
        <w:t xml:space="preserve">PASC noted the </w:t>
      </w:r>
      <w:r>
        <w:rPr>
          <w:rFonts w:asciiTheme="minorHAnsi" w:hAnsiTheme="minorHAnsi" w:cstheme="minorHAnsi"/>
          <w:i/>
          <w:iCs/>
        </w:rPr>
        <w:t>applicant’s clinical experts’ comments that, according to the literature, approximately 10% of patients do not have an adequate temporal bone window for successful TCD/TCCD assessment. In these patients, monitoring can instead be performed via the internal carotid arteries (located below the jawline) or the vertebral arteries (located at the back of the head).</w:t>
      </w:r>
    </w:p>
    <w:p w14:paraId="71A9A1F9" w14:textId="099610D5" w:rsidR="0068241A" w:rsidRDefault="0068241A" w:rsidP="52E28BFA">
      <w:pPr>
        <w:rPr>
          <w:rFonts w:asciiTheme="minorHAnsi" w:hAnsiTheme="minorHAnsi" w:cstheme="minorBidi"/>
          <w:i/>
          <w:iCs/>
        </w:rPr>
      </w:pPr>
      <w:r w:rsidRPr="52E28BFA">
        <w:rPr>
          <w:rFonts w:asciiTheme="minorHAnsi" w:hAnsiTheme="minorHAnsi" w:cstheme="minorBidi"/>
          <w:i/>
          <w:iCs/>
        </w:rPr>
        <w:t xml:space="preserve">PASC queried whether patients who are severely impaired by stroke would have difficulty performing the Valsalva manoeuvre for the TCD/TCCD and TTE tests. The applicant’s clinical experts stated that waiting to perform the test until patients have recovered enough function to perform the Valsalva manoeuvre (approximately </w:t>
      </w:r>
      <w:r w:rsidR="00A35BCD" w:rsidRPr="52E28BFA">
        <w:rPr>
          <w:rFonts w:asciiTheme="minorHAnsi" w:hAnsiTheme="minorHAnsi" w:cstheme="minorBidi"/>
          <w:i/>
          <w:iCs/>
        </w:rPr>
        <w:t>2</w:t>
      </w:r>
      <w:r w:rsidRPr="52E28BFA">
        <w:rPr>
          <w:rFonts w:asciiTheme="minorHAnsi" w:hAnsiTheme="minorHAnsi" w:cstheme="minorBidi"/>
          <w:i/>
          <w:iCs/>
        </w:rPr>
        <w:t xml:space="preserve"> weeks) is clinically acceptable</w:t>
      </w:r>
      <w:r w:rsidR="00110F97" w:rsidRPr="52E28BFA">
        <w:rPr>
          <w:rFonts w:asciiTheme="minorHAnsi" w:hAnsiTheme="minorHAnsi" w:cstheme="minorBidi"/>
          <w:i/>
          <w:iCs/>
        </w:rPr>
        <w:t>, and this was similar for both the intervention and comparator arms.</w:t>
      </w:r>
    </w:p>
    <w:p w14:paraId="1E6DD8B9" w14:textId="637FBA13" w:rsidR="00C97B66" w:rsidRDefault="00205B00" w:rsidP="0068241A">
      <w:r w:rsidRPr="2BA728D7">
        <w:rPr>
          <w:rFonts w:asciiTheme="minorHAnsi" w:hAnsiTheme="minorHAnsi" w:cstheme="minorBidi"/>
          <w:i/>
        </w:rPr>
        <w:lastRenderedPageBreak/>
        <w:t xml:space="preserve">PASC queried whether injection of the </w:t>
      </w:r>
      <w:r w:rsidR="002F551A">
        <w:rPr>
          <w:rFonts w:asciiTheme="minorHAnsi" w:hAnsiTheme="minorHAnsi" w:cstheme="minorBidi"/>
          <w:i/>
        </w:rPr>
        <w:t xml:space="preserve">agitated saline </w:t>
      </w:r>
      <w:r w:rsidRPr="2BA728D7">
        <w:rPr>
          <w:rFonts w:asciiTheme="minorHAnsi" w:hAnsiTheme="minorHAnsi" w:cstheme="minorBidi"/>
          <w:i/>
        </w:rPr>
        <w:t>contrast into the femoral vein, rather than the antebrachial vein, would increase diagnostic yield. The applicant’s clinical experts stated that femoral vein</w:t>
      </w:r>
      <w:r>
        <w:rPr>
          <w:rFonts w:asciiTheme="minorHAnsi" w:hAnsiTheme="minorHAnsi" w:cstheme="minorBidi"/>
          <w:i/>
        </w:rPr>
        <w:t xml:space="preserve"> access</w:t>
      </w:r>
      <w:r w:rsidRPr="2BA728D7">
        <w:rPr>
          <w:rFonts w:asciiTheme="minorHAnsi" w:hAnsiTheme="minorHAnsi" w:cstheme="minorBidi"/>
          <w:i/>
        </w:rPr>
        <w:t xml:space="preserve"> is not necessary</w:t>
      </w:r>
      <w:r>
        <w:rPr>
          <w:rFonts w:asciiTheme="minorHAnsi" w:hAnsiTheme="minorHAnsi" w:cstheme="minorBidi"/>
          <w:i/>
        </w:rPr>
        <w:t>,</w:t>
      </w:r>
      <w:r w:rsidRPr="2BA728D7">
        <w:rPr>
          <w:rFonts w:asciiTheme="minorHAnsi" w:hAnsiTheme="minorHAnsi" w:cstheme="minorBidi"/>
          <w:i/>
        </w:rPr>
        <w:t xml:space="preserve"> </w:t>
      </w:r>
      <w:r>
        <w:rPr>
          <w:rFonts w:asciiTheme="minorHAnsi" w:hAnsiTheme="minorHAnsi" w:cstheme="minorBidi"/>
          <w:i/>
        </w:rPr>
        <w:t>as</w:t>
      </w:r>
      <w:r w:rsidRPr="2BA728D7">
        <w:rPr>
          <w:rFonts w:asciiTheme="minorHAnsi" w:hAnsiTheme="minorHAnsi" w:cstheme="minorBidi"/>
          <w:i/>
        </w:rPr>
        <w:t xml:space="preserve"> TCD </w:t>
      </w:r>
      <w:r>
        <w:rPr>
          <w:rFonts w:asciiTheme="minorHAnsi" w:hAnsiTheme="minorHAnsi" w:cstheme="minorBidi"/>
          <w:i/>
        </w:rPr>
        <w:t xml:space="preserve">demonstrates high sensitivity (approximately </w:t>
      </w:r>
      <w:r w:rsidRPr="2BA728D7">
        <w:rPr>
          <w:rFonts w:asciiTheme="minorHAnsi" w:hAnsiTheme="minorHAnsi" w:cstheme="minorBidi"/>
          <w:i/>
        </w:rPr>
        <w:t>98%</w:t>
      </w:r>
      <w:r>
        <w:rPr>
          <w:rFonts w:asciiTheme="minorHAnsi" w:hAnsiTheme="minorHAnsi" w:cstheme="minorBidi"/>
          <w:i/>
        </w:rPr>
        <w:t xml:space="preserve">) using </w:t>
      </w:r>
      <w:r w:rsidRPr="2BA728D7">
        <w:rPr>
          <w:rFonts w:asciiTheme="minorHAnsi" w:hAnsiTheme="minorHAnsi" w:cstheme="minorBidi"/>
          <w:i/>
        </w:rPr>
        <w:t xml:space="preserve">antebrachial vein </w:t>
      </w:r>
      <w:r>
        <w:rPr>
          <w:rFonts w:asciiTheme="minorHAnsi" w:hAnsiTheme="minorHAnsi" w:cstheme="minorBidi"/>
          <w:i/>
        </w:rPr>
        <w:t xml:space="preserve">access, which </w:t>
      </w:r>
      <w:r w:rsidRPr="2BA728D7">
        <w:rPr>
          <w:rFonts w:asciiTheme="minorHAnsi" w:hAnsiTheme="minorHAnsi" w:cstheme="minorBidi"/>
          <w:i/>
        </w:rPr>
        <w:t xml:space="preserve">is </w:t>
      </w:r>
      <w:r>
        <w:rPr>
          <w:rFonts w:asciiTheme="minorHAnsi" w:hAnsiTheme="minorHAnsi" w:cstheme="minorBidi"/>
          <w:i/>
        </w:rPr>
        <w:t xml:space="preserve">generally </w:t>
      </w:r>
      <w:r w:rsidRPr="2BA728D7">
        <w:rPr>
          <w:rFonts w:asciiTheme="minorHAnsi" w:hAnsiTheme="minorHAnsi" w:cstheme="minorBidi"/>
          <w:i/>
        </w:rPr>
        <w:t>more accessible</w:t>
      </w:r>
      <w:r>
        <w:rPr>
          <w:rFonts w:asciiTheme="minorHAnsi" w:hAnsiTheme="minorHAnsi" w:cstheme="minorBidi"/>
          <w:i/>
        </w:rPr>
        <w:t xml:space="preserve"> and easier to perform in clinical practice</w:t>
      </w:r>
      <w:r w:rsidRPr="2BA728D7">
        <w:rPr>
          <w:rFonts w:asciiTheme="minorHAnsi" w:hAnsiTheme="minorHAnsi" w:cstheme="minorBidi"/>
          <w:i/>
        </w:rPr>
        <w:t>.</w:t>
      </w:r>
    </w:p>
    <w:p w14:paraId="0B5B5C84" w14:textId="3F267074" w:rsidR="006B53ED" w:rsidRDefault="006B53ED" w:rsidP="00163319">
      <w:pPr>
        <w:pStyle w:val="Heading4"/>
      </w:pPr>
      <w:r>
        <w:t>Service setting and delivery</w:t>
      </w:r>
    </w:p>
    <w:p w14:paraId="79715DD6" w14:textId="788494E3" w:rsidR="001813D3" w:rsidRDefault="001813D3" w:rsidP="001813D3">
      <w:r>
        <w:t xml:space="preserve">TCD bubble </w:t>
      </w:r>
      <w:r w:rsidR="00405A60">
        <w:t>testing</w:t>
      </w:r>
      <w:r>
        <w:t xml:space="preserve"> may be performed in </w:t>
      </w:r>
      <w:r w:rsidR="00641C6F">
        <w:t xml:space="preserve">public and private </w:t>
      </w:r>
      <w:r w:rsidR="003C4C15">
        <w:t xml:space="preserve">hospital </w:t>
      </w:r>
      <w:r>
        <w:t>inpatient settings</w:t>
      </w:r>
      <w:r w:rsidR="00A36C76">
        <w:t xml:space="preserve">, </w:t>
      </w:r>
      <w:r>
        <w:t>outpatient clinics</w:t>
      </w:r>
      <w:r w:rsidR="00A36C76">
        <w:t>,</w:t>
      </w:r>
      <w:r>
        <w:t xml:space="preserve"> or neurovascular laboratories. </w:t>
      </w:r>
      <w:r w:rsidR="003F58EA">
        <w:t>I</w:t>
      </w:r>
      <w:r>
        <w:t>n Australia</w:t>
      </w:r>
      <w:r w:rsidR="003F58EA">
        <w:t xml:space="preserve">, </w:t>
      </w:r>
      <w:r w:rsidR="000B06FB">
        <w:t xml:space="preserve">the applicant stated that </w:t>
      </w:r>
      <w:r w:rsidR="003F58EA">
        <w:t>availability</w:t>
      </w:r>
      <w:r>
        <w:t xml:space="preserve"> is currently limited, with </w:t>
      </w:r>
      <w:r w:rsidR="00A36C76">
        <w:t>services concentrated</w:t>
      </w:r>
      <w:r>
        <w:t xml:space="preserve"> in a small number of public </w:t>
      </w:r>
      <w:r w:rsidR="00A36C76">
        <w:t>tertiary centres</w:t>
      </w:r>
      <w:r>
        <w:t xml:space="preserve"> </w:t>
      </w:r>
      <w:r w:rsidR="008B6591" w:rsidRPr="004F6482">
        <w:t>(</w:t>
      </w:r>
      <w:r w:rsidR="008B6591">
        <w:t xml:space="preserve">e.g. </w:t>
      </w:r>
      <w:r w:rsidR="008B6591" w:rsidRPr="004F6482">
        <w:t>Austin Hospital</w:t>
      </w:r>
      <w:r w:rsidR="00574690">
        <w:t xml:space="preserve"> in Melbourne</w:t>
      </w:r>
      <w:r w:rsidR="008B6591" w:rsidRPr="004F6482">
        <w:t>, Royal Adelaide Hospital, and John Hunter Hospital</w:t>
      </w:r>
      <w:r w:rsidR="00036E3B">
        <w:t xml:space="preserve"> in Newcastle, New South Wales</w:t>
      </w:r>
      <w:r w:rsidR="008B6591" w:rsidRPr="004F6482">
        <w:t>)</w:t>
      </w:r>
      <w:r w:rsidR="004A2F69">
        <w:t>,</w:t>
      </w:r>
      <w:r w:rsidR="008B6591">
        <w:t xml:space="preserve"> </w:t>
      </w:r>
      <w:r>
        <w:t xml:space="preserve">and </w:t>
      </w:r>
      <w:r w:rsidR="00670E05">
        <w:t>only limited provision</w:t>
      </w:r>
      <w:r>
        <w:t xml:space="preserve"> in private practice.</w:t>
      </w:r>
    </w:p>
    <w:p w14:paraId="0D29D58E" w14:textId="26D6E32D" w:rsidR="001813D3" w:rsidRDefault="001813D3" w:rsidP="00A62096">
      <w:r>
        <w:t xml:space="preserve">The procedure requires </w:t>
      </w:r>
      <w:r w:rsidR="000C289F">
        <w:t>an</w:t>
      </w:r>
      <w:r>
        <w:t xml:space="preserve"> ultrasound system </w:t>
      </w:r>
      <w:r w:rsidR="000C289F">
        <w:t xml:space="preserve">capable of performing </w:t>
      </w:r>
      <w:r w:rsidR="00BA4EFC">
        <w:t xml:space="preserve">transcranial Doppler assessment (either a conventional </w:t>
      </w:r>
      <w:r w:rsidR="00531AB8">
        <w:t xml:space="preserve">TCD </w:t>
      </w:r>
      <w:r w:rsidR="00BA4EFC">
        <w:t xml:space="preserve">system or a </w:t>
      </w:r>
      <w:r w:rsidR="00531AB8">
        <w:t xml:space="preserve">TCCD system) </w:t>
      </w:r>
      <w:r>
        <w:t xml:space="preserve">and trained personnel, including an </w:t>
      </w:r>
      <w:r w:rsidR="00B91782">
        <w:t>experienced</w:t>
      </w:r>
      <w:r>
        <w:t xml:space="preserve"> operator and a </w:t>
      </w:r>
      <w:r w:rsidR="00DA7FE3">
        <w:t>clinician or appropriately</w:t>
      </w:r>
      <w:r>
        <w:t xml:space="preserve"> trained health professional to </w:t>
      </w:r>
      <w:r w:rsidR="00DA7FE3">
        <w:t>perform</w:t>
      </w:r>
      <w:r w:rsidR="00B91782">
        <w:t xml:space="preserve"> </w:t>
      </w:r>
      <w:r>
        <w:t xml:space="preserve">cannulation, </w:t>
      </w:r>
      <w:r w:rsidR="00DA7FE3">
        <w:t>administer</w:t>
      </w:r>
      <w:r w:rsidR="0052638D">
        <w:t xml:space="preserve"> agitated saline</w:t>
      </w:r>
      <w:r w:rsidR="00DA7FE3">
        <w:t xml:space="preserve"> </w:t>
      </w:r>
      <w:r w:rsidR="007A4E10">
        <w:t>contrast</w:t>
      </w:r>
      <w:r>
        <w:t>, and supervis</w:t>
      </w:r>
      <w:r w:rsidR="00DA7FE3">
        <w:t>e the test</w:t>
      </w:r>
      <w:r>
        <w:t>.</w:t>
      </w:r>
    </w:p>
    <w:p w14:paraId="699BDB3F" w14:textId="31DBD64A" w:rsidR="00B04174" w:rsidRDefault="001813D3" w:rsidP="001813D3">
      <w:r>
        <w:t>In established centres, testing is often performed during the index admission for cryptogenic stroke or within 1</w:t>
      </w:r>
      <w:r w:rsidR="009735A2">
        <w:t>–</w:t>
      </w:r>
      <w:r>
        <w:t>2 weeks pos</w:t>
      </w:r>
      <w:r w:rsidR="0099181E">
        <w:t>t-</w:t>
      </w:r>
      <w:r>
        <w:t>discharge</w:t>
      </w:r>
      <w:r w:rsidR="009529D7">
        <w:t>. However</w:t>
      </w:r>
      <w:r w:rsidR="00A57E27">
        <w:t xml:space="preserve">, </w:t>
      </w:r>
      <w:r w:rsidR="009529D7">
        <w:t>testing</w:t>
      </w:r>
      <w:r w:rsidR="00A57E27">
        <w:t xml:space="preserve"> may </w:t>
      </w:r>
      <w:r w:rsidR="0088047C">
        <w:t xml:space="preserve">be delayed </w:t>
      </w:r>
      <w:r w:rsidR="00CB65AE">
        <w:t>for</w:t>
      </w:r>
      <w:r w:rsidR="0088047C">
        <w:t xml:space="preserve"> a month </w:t>
      </w:r>
      <w:r w:rsidR="00CB65AE">
        <w:t xml:space="preserve">or longer </w:t>
      </w:r>
      <w:r w:rsidR="009529D7" w:rsidRPr="009529D7">
        <w:t>where access to specialised services is constrained, referral pathways are prolonged, additional diagnostic investigations are prioritised, or local resource limitations result in extended waiting times</w:t>
      </w:r>
      <w:r w:rsidR="008B6591" w:rsidRPr="008B6591">
        <w:t>.</w:t>
      </w:r>
    </w:p>
    <w:p w14:paraId="2F184256" w14:textId="307FB250" w:rsidR="00DB39A7" w:rsidRDefault="000B43CC" w:rsidP="00DB39A7">
      <w:r>
        <w:t xml:space="preserve">In rare </w:t>
      </w:r>
      <w:r w:rsidR="006F5BFF">
        <w:t>case</w:t>
      </w:r>
      <w:r>
        <w:t>s</w:t>
      </w:r>
      <w:r w:rsidR="005E6E52">
        <w:t xml:space="preserve"> (</w:t>
      </w:r>
      <w:r w:rsidR="002177C4">
        <w:t xml:space="preserve">approximately </w:t>
      </w:r>
      <w:r w:rsidR="005E6E52">
        <w:t>1% according to the applicant)</w:t>
      </w:r>
      <w:r>
        <w:t>,</w:t>
      </w:r>
      <w:r w:rsidR="00BF7AFE">
        <w:rPr>
          <w:rStyle w:val="FootnoteReference"/>
        </w:rPr>
        <w:footnoteReference w:id="7"/>
      </w:r>
      <w:r>
        <w:t xml:space="preserve"> </w:t>
      </w:r>
      <w:r w:rsidR="005E6E52" w:rsidRPr="005E6E52">
        <w:t>the test may need to be repeated at a separate visit if the patient is unable to perform an adequate Valsalva manoeuvre or if vascular access cannot be successfully obtained.</w:t>
      </w:r>
    </w:p>
    <w:p w14:paraId="77C8A4D6" w14:textId="0DDC7184" w:rsidR="00D31AB1" w:rsidRPr="008F5EA0" w:rsidRDefault="00D31AB1" w:rsidP="00163319">
      <w:pPr>
        <w:pStyle w:val="Heading4"/>
      </w:pPr>
      <w:r w:rsidRPr="008F5EA0">
        <w:t>Core components of transcranial Dopp</w:t>
      </w:r>
      <w:r w:rsidR="00AA4A4F">
        <w:t>l</w:t>
      </w:r>
      <w:r w:rsidRPr="008F5EA0">
        <w:t>er system</w:t>
      </w:r>
      <w:r w:rsidR="002E5D90">
        <w:t>s</w:t>
      </w:r>
    </w:p>
    <w:p w14:paraId="67689289" w14:textId="0E88C7FB" w:rsidR="00D31AB1" w:rsidRDefault="00D31AB1" w:rsidP="00D31AB1">
      <w:r w:rsidRPr="005F578E">
        <w:t xml:space="preserve">TCD </w:t>
      </w:r>
      <w:r>
        <w:t>and TCCD</w:t>
      </w:r>
      <w:r w:rsidR="00C4769A">
        <w:t xml:space="preserve"> </w:t>
      </w:r>
      <w:r w:rsidRPr="005F578E">
        <w:t>system</w:t>
      </w:r>
      <w:r>
        <w:t>s</w:t>
      </w:r>
      <w:r w:rsidRPr="005F578E">
        <w:t xml:space="preserve"> </w:t>
      </w:r>
      <w:r>
        <w:t xml:space="preserve">used for bubble studies are designed to detect intracranial </w:t>
      </w:r>
      <w:proofErr w:type="spellStart"/>
      <w:r>
        <w:t>microembolic</w:t>
      </w:r>
      <w:proofErr w:type="spellEnd"/>
      <w:r>
        <w:t xml:space="preserve"> signals following administration of agitated saline contrast. Both modalities use low-frequency (~2 MHz) ultrasound to </w:t>
      </w:r>
      <w:proofErr w:type="spellStart"/>
      <w:r>
        <w:t>insonate</w:t>
      </w:r>
      <w:proofErr w:type="spellEnd"/>
      <w:r>
        <w:t xml:space="preserve"> the MCAs.</w:t>
      </w:r>
      <w:r w:rsidR="00DA3328">
        <w:t xml:space="preserve"> </w:t>
      </w:r>
      <w:r w:rsidR="00DA3328" w:rsidRPr="00DA3328">
        <w:t>The choice of modality is generally dependent on local availability, equipment, and expertise, as both can be used to assess the presence of a righ</w:t>
      </w:r>
      <w:r w:rsidR="00DA3328">
        <w:t>t-</w:t>
      </w:r>
      <w:r w:rsidR="00DA3328" w:rsidRPr="00DA3328">
        <w:t>t</w:t>
      </w:r>
      <w:r w:rsidR="00DA3328">
        <w:t>o-</w:t>
      </w:r>
      <w:r w:rsidR="00DA3328" w:rsidRPr="00DA3328">
        <w:t>left shunt within the diagnostic pathway for PFO.</w:t>
      </w:r>
    </w:p>
    <w:p w14:paraId="31CA8815" w14:textId="14BC6D12" w:rsidR="00D31AB1" w:rsidRDefault="005F64E6" w:rsidP="00D31AB1">
      <w:r>
        <w:t>C</w:t>
      </w:r>
      <w:r w:rsidR="00D31AB1">
        <w:t>onventional TCD</w:t>
      </w:r>
      <w:r>
        <w:t xml:space="preserve"> systems </w:t>
      </w:r>
      <w:r w:rsidR="00D31AB1">
        <w:t xml:space="preserve">typically </w:t>
      </w:r>
      <w:r>
        <w:t>use</w:t>
      </w:r>
      <w:r w:rsidR="00D31AB1">
        <w:t xml:space="preserve"> bilateral probes secured within a headframe to enable continuous and stable </w:t>
      </w:r>
      <w:r>
        <w:t>monitoring</w:t>
      </w:r>
      <w:r w:rsidR="00D31AB1">
        <w:t xml:space="preserve"> during contrast injection and provocati</w:t>
      </w:r>
      <w:r w:rsidR="009F5FCB">
        <w:t>ve</w:t>
      </w:r>
      <w:r w:rsidR="00D31AB1">
        <w:t xml:space="preserve"> manoeuvres. TCCD systems incorporate B</w:t>
      </w:r>
      <w:r w:rsidR="00B17DE0">
        <w:noBreakHyphen/>
      </w:r>
      <w:r w:rsidR="00D31AB1">
        <w:t xml:space="preserve">mode and colour Doppler imaging, allowing direct visualisation of </w:t>
      </w:r>
      <w:r w:rsidR="00FD5F40">
        <w:t>intracranial</w:t>
      </w:r>
      <w:r w:rsidR="00D31AB1">
        <w:t xml:space="preserve"> vessels and facilitating probe positioning; fixation devices may be used </w:t>
      </w:r>
      <w:r w:rsidR="00FD5F40">
        <w:t>for</w:t>
      </w:r>
      <w:r w:rsidR="00D31AB1">
        <w:t xml:space="preserve"> prolonged monitoring.</w:t>
      </w:r>
      <w:r w:rsidR="00DD0589">
        <w:t xml:space="preserve"> </w:t>
      </w:r>
      <w:r w:rsidR="0091024B" w:rsidRPr="0091024B">
        <w:t xml:space="preserve">Available evidence suggests that TCD and TCCD </w:t>
      </w:r>
      <w:r w:rsidR="0091024B">
        <w:t xml:space="preserve">with contrast </w:t>
      </w:r>
      <w:r w:rsidR="00DD3718">
        <w:t xml:space="preserve">provide </w:t>
      </w:r>
      <w:r w:rsidR="00736740">
        <w:t xml:space="preserve">broadly </w:t>
      </w:r>
      <w:r w:rsidR="00DD3718">
        <w:t>comparative</w:t>
      </w:r>
      <w:r w:rsidR="0091024B" w:rsidRPr="0091024B">
        <w:t xml:space="preserve"> diagnostic </w:t>
      </w:r>
      <w:r w:rsidR="00DD3718">
        <w:t>performance</w:t>
      </w:r>
      <w:r w:rsidR="0091024B" w:rsidRPr="0091024B">
        <w:t xml:space="preserve"> for </w:t>
      </w:r>
      <w:r w:rsidR="009D57B1" w:rsidRPr="009D57B1">
        <w:t>righ</w:t>
      </w:r>
      <w:r w:rsidR="00BA65D8">
        <w:t>t-</w:t>
      </w:r>
      <w:r w:rsidR="009D57B1" w:rsidRPr="009D57B1">
        <w:t>t</w:t>
      </w:r>
      <w:r w:rsidR="00BA65D8">
        <w:t>o-</w:t>
      </w:r>
      <w:r w:rsidR="009D57B1" w:rsidRPr="009D57B1">
        <w:t xml:space="preserve">left shunt detection when adequate acoustic windows are obtained and standardised protocols are </w:t>
      </w:r>
      <w:r w:rsidR="00D4491F">
        <w:t>applied, although</w:t>
      </w:r>
      <w:r w:rsidR="00E5580B">
        <w:t xml:space="preserve"> direct comparative </w:t>
      </w:r>
      <w:r w:rsidR="00D4491F">
        <w:t>data remain</w:t>
      </w:r>
      <w:r w:rsidR="00E5580B">
        <w:t xml:space="preserve"> limited</w:t>
      </w:r>
      <w:r w:rsidR="005B13C0">
        <w:t xml:space="preserve"> (Yavuz et al. 2026)</w:t>
      </w:r>
      <w:r w:rsidR="009D57B1" w:rsidRPr="009D57B1">
        <w:t xml:space="preserve">. TCCD </w:t>
      </w:r>
      <w:r w:rsidR="00D4491F">
        <w:t>offers</w:t>
      </w:r>
      <w:r w:rsidR="009D57B1" w:rsidRPr="009D57B1">
        <w:t xml:space="preserve"> the additional </w:t>
      </w:r>
      <w:r w:rsidR="00D4491F">
        <w:t>advantage</w:t>
      </w:r>
      <w:r w:rsidR="009D57B1" w:rsidRPr="009D57B1">
        <w:t xml:space="preserve"> of anatomical visualisation of intracranial vessels, which may </w:t>
      </w:r>
      <w:r w:rsidR="00F54229">
        <w:t>assist with</w:t>
      </w:r>
      <w:r w:rsidR="009D57B1" w:rsidRPr="009D57B1">
        <w:t xml:space="preserve"> vessel identification and </w:t>
      </w:r>
      <w:proofErr w:type="spellStart"/>
      <w:r w:rsidR="009D57B1" w:rsidRPr="009D57B1">
        <w:t>insonation</w:t>
      </w:r>
      <w:proofErr w:type="spellEnd"/>
      <w:r w:rsidR="009D57B1" w:rsidRPr="009D57B1">
        <w:t xml:space="preserve">, whereas conventional TCD relies on identification of vessels using Doppler flow characteristics and standard </w:t>
      </w:r>
      <w:proofErr w:type="spellStart"/>
      <w:r w:rsidR="009D57B1" w:rsidRPr="009D57B1">
        <w:t>insonation</w:t>
      </w:r>
      <w:proofErr w:type="spellEnd"/>
      <w:r w:rsidR="009D57B1" w:rsidRPr="009D57B1">
        <w:t xml:space="preserve"> depths.</w:t>
      </w:r>
      <w:r w:rsidR="000C118B">
        <w:t xml:space="preserve"> </w:t>
      </w:r>
      <w:r w:rsidR="000C118B" w:rsidRPr="000C118B">
        <w:t xml:space="preserve">Notably, TCD </w:t>
      </w:r>
      <w:r w:rsidR="00441621">
        <w:t xml:space="preserve">with bubble contrast </w:t>
      </w:r>
      <w:r w:rsidR="000C118B" w:rsidRPr="000C118B">
        <w:t xml:space="preserve">has been more extensively validated as a </w:t>
      </w:r>
      <w:r w:rsidR="000C118B" w:rsidRPr="000C118B">
        <w:lastRenderedPageBreak/>
        <w:t>hig</w:t>
      </w:r>
      <w:r w:rsidR="00441621">
        <w:t>h-</w:t>
      </w:r>
      <w:r w:rsidR="000C118B" w:rsidRPr="000C118B">
        <w:t>sensitivity method for righ</w:t>
      </w:r>
      <w:r w:rsidR="00441621">
        <w:t>t-</w:t>
      </w:r>
      <w:r w:rsidR="000C118B" w:rsidRPr="000C118B">
        <w:t>t</w:t>
      </w:r>
      <w:r w:rsidR="00441621">
        <w:t>o-</w:t>
      </w:r>
      <w:r w:rsidR="000C118B" w:rsidRPr="000C118B">
        <w:t>left shunt</w:t>
      </w:r>
      <w:r w:rsidR="006C64B6">
        <w:t xml:space="preserve"> detection</w:t>
      </w:r>
      <w:r w:rsidR="000C118B" w:rsidRPr="000C118B">
        <w:t>, whereas corresponding larg</w:t>
      </w:r>
      <w:r w:rsidR="00441621">
        <w:t>e-</w:t>
      </w:r>
      <w:r w:rsidR="000C118B" w:rsidRPr="000C118B">
        <w:t>scale diagnostic accuracy data for TCCD in this specific application are more limited.</w:t>
      </w:r>
    </w:p>
    <w:p w14:paraId="41D36033" w14:textId="1BEE8E13" w:rsidR="00D31AB1" w:rsidRDefault="00F41350" w:rsidP="00D31AB1">
      <w:r>
        <w:t>Both modalities use digital s</w:t>
      </w:r>
      <w:r w:rsidR="00D31AB1">
        <w:t xml:space="preserve">ignal processing </w:t>
      </w:r>
      <w:r w:rsidR="00152CB2">
        <w:t>with</w:t>
      </w:r>
      <w:r w:rsidR="00D31AB1">
        <w:t xml:space="preserve"> high-resolution spectral analysis</w:t>
      </w:r>
      <w:r w:rsidR="00152CB2">
        <w:t xml:space="preserve"> (</w:t>
      </w:r>
      <w:r w:rsidR="00D31AB1">
        <w:t xml:space="preserve">often </w:t>
      </w:r>
      <w:r w:rsidR="007573FF">
        <w:t>incorporating</w:t>
      </w:r>
      <w:r w:rsidR="00D31AB1">
        <w:t xml:space="preserve"> </w:t>
      </w:r>
      <w:proofErr w:type="spellStart"/>
      <w:r w:rsidR="00D31AB1">
        <w:t>multigate</w:t>
      </w:r>
      <w:proofErr w:type="spellEnd"/>
      <w:r w:rsidR="00D31AB1">
        <w:t xml:space="preserve"> </w:t>
      </w:r>
      <w:r w:rsidR="00152CB2">
        <w:t>capability) and a</w:t>
      </w:r>
      <w:r w:rsidR="00D31AB1">
        <w:t xml:space="preserve">utomated or semi-automated </w:t>
      </w:r>
      <w:r w:rsidR="00113FA0">
        <w:t>detection of</w:t>
      </w:r>
      <w:r w:rsidR="00D31AB1">
        <w:t xml:space="preserve"> HITS corresponding to circulating microbubbles. Outputs </w:t>
      </w:r>
      <w:r w:rsidR="007573FF">
        <w:t xml:space="preserve">typically </w:t>
      </w:r>
      <w:r w:rsidR="00D31AB1">
        <w:t>include real-time waveform</w:t>
      </w:r>
      <w:r w:rsidR="00E80E3D">
        <w:t xml:space="preserve"> display and</w:t>
      </w:r>
      <w:r w:rsidR="00D31AB1">
        <w:t xml:space="preserve"> audio </w:t>
      </w:r>
      <w:r w:rsidR="00E80E3D">
        <w:t xml:space="preserve">feedback </w:t>
      </w:r>
      <w:r w:rsidR="00A41DB0">
        <w:t>to support</w:t>
      </w:r>
      <w:r w:rsidR="00223D30">
        <w:t xml:space="preserve"> confirmation and counting of</w:t>
      </w:r>
      <w:r w:rsidR="00D31AB1">
        <w:t xml:space="preserve"> embolic events.</w:t>
      </w:r>
    </w:p>
    <w:p w14:paraId="651E64CF" w14:textId="743282F4" w:rsidR="00D31AB1" w:rsidRDefault="001D3D45" w:rsidP="00D31AB1">
      <w:r>
        <w:t>S</w:t>
      </w:r>
      <w:r w:rsidR="00A41DB0">
        <w:t>ystem s</w:t>
      </w:r>
      <w:r w:rsidR="00D31AB1">
        <w:t xml:space="preserve">oftware </w:t>
      </w:r>
      <w:r w:rsidR="00A41DB0">
        <w:t xml:space="preserve">generally </w:t>
      </w:r>
      <w:r>
        <w:t>supports</w:t>
      </w:r>
      <w:r w:rsidR="00D31AB1">
        <w:t xml:space="preserve"> protocol-driven workflows, including tim</w:t>
      </w:r>
      <w:r>
        <w:t>ing of</w:t>
      </w:r>
      <w:r w:rsidR="00D31AB1">
        <w:t xml:space="preserve"> </w:t>
      </w:r>
      <w:r w:rsidR="00A41DB0">
        <w:t xml:space="preserve">contrast </w:t>
      </w:r>
      <w:r w:rsidR="00C92EF5">
        <w:t>injections</w:t>
      </w:r>
      <w:r w:rsidR="00D31AB1">
        <w:t xml:space="preserve">, </w:t>
      </w:r>
      <w:r w:rsidR="00C92EF5">
        <w:t xml:space="preserve">coordination of </w:t>
      </w:r>
      <w:r w:rsidR="00D31AB1">
        <w:t>provocati</w:t>
      </w:r>
      <w:r w:rsidR="00A41DB0">
        <w:t>ve manoeuvres</w:t>
      </w:r>
      <w:r w:rsidR="00D31AB1">
        <w:t xml:space="preserve">, and semi-quantitative </w:t>
      </w:r>
      <w:r w:rsidR="00C92EF5">
        <w:t>grading of shunt burden</w:t>
      </w:r>
      <w:r w:rsidR="00D31AB1">
        <w:t>. Data storage, reporting, and network connectivity are standard features</w:t>
      </w:r>
      <w:r w:rsidR="0031357C">
        <w:t>, and s</w:t>
      </w:r>
      <w:r w:rsidR="00D1785F">
        <w:t>ystems</w:t>
      </w:r>
      <w:r w:rsidR="00D31AB1">
        <w:t xml:space="preserve"> are available in </w:t>
      </w:r>
      <w:r w:rsidR="0031357C">
        <w:t xml:space="preserve">both </w:t>
      </w:r>
      <w:r w:rsidR="00D31AB1">
        <w:t>portable and cart-based configurations suitable for inpatient and outpatient use.</w:t>
      </w:r>
    </w:p>
    <w:p w14:paraId="79B91592" w14:textId="507B4294" w:rsidR="00EA4D27" w:rsidRDefault="0031357C" w:rsidP="00D31AB1">
      <w:r>
        <w:t>Emerging technologies include</w:t>
      </w:r>
      <w:r w:rsidR="005A1014">
        <w:t xml:space="preserve"> </w:t>
      </w:r>
      <w:r w:rsidR="00A221C8">
        <w:t>robot-assisted TCD</w:t>
      </w:r>
      <w:r w:rsidR="008E6E33">
        <w:t xml:space="preserve"> </w:t>
      </w:r>
      <w:r w:rsidR="00FC00E5">
        <w:t>systems aimed at</w:t>
      </w:r>
      <w:r w:rsidR="00D5583A">
        <w:t xml:space="preserve"> reduc</w:t>
      </w:r>
      <w:r w:rsidR="00FC00E5">
        <w:t>ing</w:t>
      </w:r>
      <w:r w:rsidR="00D5583A">
        <w:t xml:space="preserve"> operator dependence and </w:t>
      </w:r>
      <w:r w:rsidR="00FC00E5">
        <w:t xml:space="preserve">improving </w:t>
      </w:r>
      <w:r w:rsidR="00867F01">
        <w:t>standardis</w:t>
      </w:r>
      <w:r w:rsidR="00FC00E5">
        <w:t>ation of testing; however</w:t>
      </w:r>
      <w:r w:rsidR="00A45AD8">
        <w:t xml:space="preserve">, </w:t>
      </w:r>
      <w:r w:rsidR="00DE38BF">
        <w:t xml:space="preserve">further </w:t>
      </w:r>
      <w:r w:rsidR="00FC00E5">
        <w:t>evidence is required to establish their clinical utility</w:t>
      </w:r>
      <w:r w:rsidR="00B60F79">
        <w:t xml:space="preserve"> (</w:t>
      </w:r>
      <w:r w:rsidR="007165F3">
        <w:t>Caso et al. 202</w:t>
      </w:r>
      <w:r w:rsidR="00523188">
        <w:t xml:space="preserve">4; </w:t>
      </w:r>
      <w:r w:rsidR="00B60F79">
        <w:t xml:space="preserve">Rubin et al. </w:t>
      </w:r>
      <w:r w:rsidR="00B20122">
        <w:t>202</w:t>
      </w:r>
      <w:r w:rsidR="005D6FAE">
        <w:t>1</w:t>
      </w:r>
      <w:r w:rsidR="00523188">
        <w:t>)</w:t>
      </w:r>
      <w:r w:rsidR="00D5583A">
        <w:t xml:space="preserve">. </w:t>
      </w:r>
    </w:p>
    <w:p w14:paraId="342E10B3" w14:textId="3B774204" w:rsidR="00B34038" w:rsidRPr="00251340" w:rsidRDefault="00B34038" w:rsidP="00163319">
      <w:pPr>
        <w:pStyle w:val="Heading4"/>
      </w:pPr>
      <w:r w:rsidRPr="00251340">
        <w:t>Regulatory status</w:t>
      </w:r>
      <w:r w:rsidR="00492D80">
        <w:t xml:space="preserve"> </w:t>
      </w:r>
      <w:r w:rsidR="00492D80" w:rsidRPr="00251340">
        <w:t>of transcranial Doppler systems</w:t>
      </w:r>
    </w:p>
    <w:p w14:paraId="6B4CF4EF" w14:textId="3BC564B6" w:rsidR="00B34038" w:rsidRDefault="0049346A" w:rsidP="002638B4">
      <w:r>
        <w:t xml:space="preserve">In Australia, </w:t>
      </w:r>
      <w:r w:rsidR="00136F83">
        <w:t xml:space="preserve">TCD </w:t>
      </w:r>
      <w:r w:rsidR="00D1785F">
        <w:t>systems</w:t>
      </w:r>
      <w:r w:rsidR="00136F83" w:rsidRPr="00136F83">
        <w:t xml:space="preserve"> are regulated as medical devices and must be included on the Australian Register of Therapeutic Goods (ARTG) </w:t>
      </w:r>
      <w:r>
        <w:t>before they can be supplied</w:t>
      </w:r>
      <w:r w:rsidR="00136F83" w:rsidRPr="00136F83">
        <w:t>.</w:t>
      </w:r>
      <w:r w:rsidR="00136F83">
        <w:t xml:space="preserve"> </w:t>
      </w:r>
      <w:r>
        <w:t>Systems</w:t>
      </w:r>
      <w:r w:rsidR="0026703F">
        <w:t xml:space="preserve"> used </w:t>
      </w:r>
      <w:r w:rsidR="000D5F57">
        <w:t>for</w:t>
      </w:r>
      <w:r w:rsidR="00536977" w:rsidRPr="00536977">
        <w:t xml:space="preserve"> </w:t>
      </w:r>
      <w:r>
        <w:t xml:space="preserve">applications </w:t>
      </w:r>
      <w:r w:rsidR="00DA49F5">
        <w:t xml:space="preserve">such as </w:t>
      </w:r>
      <w:r w:rsidR="00536977" w:rsidRPr="00536977">
        <w:t>bubble studies</w:t>
      </w:r>
      <w:r w:rsidR="00A23FE2">
        <w:t xml:space="preserve"> </w:t>
      </w:r>
      <w:r w:rsidR="00536977" w:rsidRPr="00536977">
        <w:t xml:space="preserve">are </w:t>
      </w:r>
      <w:r w:rsidR="00DA49F5">
        <w:t>typically</w:t>
      </w:r>
      <w:r w:rsidR="00536977" w:rsidRPr="00536977">
        <w:t xml:space="preserve"> classified as active diagnostic ultrasound </w:t>
      </w:r>
      <w:r w:rsidR="00DA49F5">
        <w:t xml:space="preserve">devices, generally falling within </w:t>
      </w:r>
      <w:r w:rsidR="00536977" w:rsidRPr="00536977">
        <w:t>Class IIa or Class IIb</w:t>
      </w:r>
      <w:r w:rsidR="00DA49F5">
        <w:t xml:space="preserve"> depending on their intended use and risk profile</w:t>
      </w:r>
      <w:r w:rsidR="00536977" w:rsidRPr="00536977">
        <w:t>.</w:t>
      </w:r>
      <w:r w:rsidR="00A82698">
        <w:t xml:space="preserve"> They are </w:t>
      </w:r>
      <w:r w:rsidR="001A69AB">
        <w:t xml:space="preserve">largely used for </w:t>
      </w:r>
      <w:r w:rsidR="00FE3EA8" w:rsidRPr="00FE3EA8">
        <w:t xml:space="preserve">monitoring after cerebral aneurysm, diagnosis of intracranial stenosis and detection of </w:t>
      </w:r>
      <w:proofErr w:type="spellStart"/>
      <w:r w:rsidR="00FE3EA8" w:rsidRPr="00FE3EA8">
        <w:t>microembolic</w:t>
      </w:r>
      <w:proofErr w:type="spellEnd"/>
      <w:r w:rsidR="00FE3EA8" w:rsidRPr="00FE3EA8">
        <w:t xml:space="preserve"> signals</w:t>
      </w:r>
      <w:r w:rsidR="00144783">
        <w:t>.</w:t>
      </w:r>
    </w:p>
    <w:p w14:paraId="1F94B057" w14:textId="77777777" w:rsidR="00A05D4D" w:rsidRDefault="005E11FA" w:rsidP="002638B4">
      <w:r w:rsidRPr="005E11FA">
        <w:t xml:space="preserve">ARTG </w:t>
      </w:r>
      <w:r w:rsidR="00DA49F5">
        <w:t>listings encom</w:t>
      </w:r>
      <w:r w:rsidR="00FB3FA1">
        <w:t>pass both dedicated</w:t>
      </w:r>
      <w:r w:rsidR="00A7095F" w:rsidRPr="00A7095F">
        <w:t xml:space="preserve"> no</w:t>
      </w:r>
      <w:r w:rsidR="0099181E">
        <w:t>n-</w:t>
      </w:r>
      <w:r w:rsidR="00A7095F" w:rsidRPr="00A7095F">
        <w:t xml:space="preserve">imaging Doppler systems (e.g. ARTG ID </w:t>
      </w:r>
      <w:hyperlink r:id="rId9" w:tooltip="Hyperlink to ARTG entry" w:history="1">
        <w:r w:rsidR="00A7095F" w:rsidRPr="00717403">
          <w:rPr>
            <w:rStyle w:val="Hyperlink"/>
            <w:rFonts w:ascii="Calibri" w:hAnsi="Calibri"/>
          </w:rPr>
          <w:t>119626</w:t>
        </w:r>
      </w:hyperlink>
      <w:r w:rsidR="00A7095F" w:rsidRPr="00A7095F">
        <w:t xml:space="preserve">) and vascular ultrasound </w:t>
      </w:r>
      <w:r w:rsidR="00FB3FA1">
        <w:t>platforms</w:t>
      </w:r>
      <w:r w:rsidR="00A7095F" w:rsidRPr="00A7095F">
        <w:t xml:space="preserve"> with </w:t>
      </w:r>
      <w:r w:rsidR="00FB3FA1">
        <w:t xml:space="preserve">integrated </w:t>
      </w:r>
      <w:r w:rsidR="00A7095F" w:rsidRPr="00A7095F">
        <w:t xml:space="preserve">TCD capability (e.g. ARTG ID </w:t>
      </w:r>
      <w:hyperlink r:id="rId10" w:tooltip="Hyperlink to ARTG entry" w:history="1">
        <w:r w:rsidR="00A7095F" w:rsidRPr="00C037C9">
          <w:rPr>
            <w:rStyle w:val="Hyperlink"/>
            <w:rFonts w:ascii="Calibri" w:hAnsi="Calibri"/>
          </w:rPr>
          <w:t>292236</w:t>
        </w:r>
      </w:hyperlink>
      <w:r w:rsidR="00A7095F" w:rsidRPr="00A7095F">
        <w:t xml:space="preserve">). </w:t>
      </w:r>
      <w:r w:rsidR="00FB3FA1">
        <w:t>In addition, g</w:t>
      </w:r>
      <w:r w:rsidR="00A7095F" w:rsidRPr="00A7095F">
        <w:t>enera</w:t>
      </w:r>
      <w:r w:rsidR="0099181E">
        <w:t>l-</w:t>
      </w:r>
      <w:r w:rsidR="00A7095F" w:rsidRPr="00A7095F">
        <w:t xml:space="preserve">purpose ultrasound systems (e.g. ARTG IDs </w:t>
      </w:r>
      <w:hyperlink r:id="rId11" w:tooltip="Hyperlink to ARTG entry" w:history="1">
        <w:r w:rsidR="00A7095F" w:rsidRPr="00F267D2">
          <w:rPr>
            <w:rStyle w:val="Hyperlink"/>
            <w:rFonts w:ascii="Calibri" w:hAnsi="Calibri"/>
          </w:rPr>
          <w:t>387110</w:t>
        </w:r>
      </w:hyperlink>
      <w:r w:rsidR="00A7095F" w:rsidRPr="00A7095F">
        <w:t xml:space="preserve"> and </w:t>
      </w:r>
      <w:hyperlink r:id="rId12" w:tooltip="Hyperlink to ARTG entry" w:history="1">
        <w:r w:rsidR="00A7095F" w:rsidRPr="0069460A">
          <w:rPr>
            <w:rStyle w:val="Hyperlink"/>
            <w:rFonts w:ascii="Calibri" w:hAnsi="Calibri"/>
          </w:rPr>
          <w:t>462120</w:t>
        </w:r>
      </w:hyperlink>
      <w:r w:rsidR="00A7095F" w:rsidRPr="00A7095F">
        <w:t>)</w:t>
      </w:r>
      <w:r w:rsidR="00A05D4D">
        <w:t xml:space="preserve">, widely used </w:t>
      </w:r>
      <w:r w:rsidR="006D6BAB">
        <w:t xml:space="preserve">in </w:t>
      </w:r>
      <w:r w:rsidR="005035B2">
        <w:t>radiology, cardiology and vascular laboratories</w:t>
      </w:r>
      <w:r w:rsidR="00A05D4D">
        <w:t>,</w:t>
      </w:r>
      <w:r w:rsidR="005035B2">
        <w:t xml:space="preserve"> </w:t>
      </w:r>
      <w:r w:rsidR="00A05D4D">
        <w:t xml:space="preserve">may also be used for transcranial applications when fitted with appropriate probes. </w:t>
      </w:r>
    </w:p>
    <w:p w14:paraId="2885F076" w14:textId="084559E7" w:rsidR="00A05D4D" w:rsidRDefault="00A05D4D" w:rsidP="002638B4">
      <w:r>
        <w:t>However, these general</w:t>
      </w:r>
      <w:r w:rsidR="00AC408E">
        <w:t xml:space="preserve">-purpose systems are not specifically optimised for intracranial Doppler monitoring or emboli detection. </w:t>
      </w:r>
      <w:r w:rsidR="00D910E2" w:rsidRPr="00D910E2">
        <w:t>While they can perform unilateral TCCD and are capable of detecting embolic signals, their performance and functionality may be more limited compared with dedicated TCD systems designed for continuous monitoring and specialised cerebrovascular assessments.</w:t>
      </w:r>
      <w:r w:rsidR="00AC408E">
        <w:t xml:space="preserve"> </w:t>
      </w:r>
    </w:p>
    <w:p w14:paraId="18007607" w14:textId="21FB6132" w:rsidR="00DD5DB7" w:rsidRPr="00251340" w:rsidRDefault="00DD5DB7" w:rsidP="00251340">
      <w:pPr>
        <w:pStyle w:val="Heading4"/>
      </w:pPr>
      <w:r w:rsidRPr="00251340">
        <w:t xml:space="preserve">Current funding of </w:t>
      </w:r>
      <w:r w:rsidR="004D3B53" w:rsidRPr="00251340">
        <w:t>transcranial Doppler systems</w:t>
      </w:r>
    </w:p>
    <w:p w14:paraId="7FC8D722" w14:textId="1968217C" w:rsidR="007166A3" w:rsidRDefault="004C4DCF" w:rsidP="004C4DCF">
      <w:r w:rsidRPr="004F5AD6">
        <w:t xml:space="preserve">The capital cost of establishing a TCD </w:t>
      </w:r>
      <w:r>
        <w:t xml:space="preserve">bubble testing </w:t>
      </w:r>
      <w:r w:rsidRPr="004F5AD6">
        <w:t xml:space="preserve">service in Australia is </w:t>
      </w:r>
      <w:r>
        <w:t>primarily</w:t>
      </w:r>
      <w:r w:rsidRPr="004F5AD6">
        <w:t xml:space="preserve"> driven by </w:t>
      </w:r>
      <w:r>
        <w:t xml:space="preserve">the </w:t>
      </w:r>
      <w:r w:rsidRPr="004F5AD6">
        <w:t xml:space="preserve">acquisition of a specialised TCD system, with indicative costs ranging from approximately </w:t>
      </w:r>
      <w:r>
        <w:t>$</w:t>
      </w:r>
      <w:r w:rsidRPr="004F5AD6">
        <w:t xml:space="preserve">40,000 to </w:t>
      </w:r>
      <w:r>
        <w:t>$</w:t>
      </w:r>
      <w:r w:rsidRPr="004F5AD6">
        <w:t xml:space="preserve">90,000 depending on </w:t>
      </w:r>
      <w:r w:rsidR="00343D77">
        <w:t xml:space="preserve">system </w:t>
      </w:r>
      <w:r w:rsidRPr="004F5AD6">
        <w:t>configuration</w:t>
      </w:r>
      <w:r>
        <w:t xml:space="preserve">, </w:t>
      </w:r>
      <w:r w:rsidR="00343D77">
        <w:t xml:space="preserve">software capabilities, and the number of channels. </w:t>
      </w:r>
      <w:r w:rsidR="008C4E19">
        <w:t xml:space="preserve">These systems generally include the required Doppler probes. Ongoing costs include </w:t>
      </w:r>
      <w:r w:rsidR="008C4CB9">
        <w:t>maintenance, servicing contracts, and periodic software upgrades.</w:t>
      </w:r>
    </w:p>
    <w:p w14:paraId="1F8AF546" w14:textId="00A23632" w:rsidR="004C4DCF" w:rsidRDefault="004C4DCF" w:rsidP="004C4DCF">
      <w:r>
        <w:t>Centres with e</w:t>
      </w:r>
      <w:r w:rsidRPr="004F5AD6">
        <w:t xml:space="preserve">xisting neurovascular laboratories </w:t>
      </w:r>
      <w:r>
        <w:t>and</w:t>
      </w:r>
      <w:r w:rsidRPr="004F5AD6">
        <w:t xml:space="preserve"> TCD </w:t>
      </w:r>
      <w:r>
        <w:t xml:space="preserve">capability would </w:t>
      </w:r>
      <w:r w:rsidRPr="004F5AD6">
        <w:t xml:space="preserve">incur minimal </w:t>
      </w:r>
      <w:r>
        <w:t>incremental</w:t>
      </w:r>
      <w:r w:rsidRPr="004F5AD6">
        <w:t xml:space="preserve"> costs to </w:t>
      </w:r>
      <w:r>
        <w:t>introduce</w:t>
      </w:r>
      <w:r w:rsidRPr="004F5AD6">
        <w:t xml:space="preserve"> bubble testing, </w:t>
      </w:r>
      <w:r>
        <w:t>largely limited to low-cost</w:t>
      </w:r>
      <w:r w:rsidRPr="004F5AD6">
        <w:t xml:space="preserve"> consumables </w:t>
      </w:r>
      <w:r w:rsidR="00E725DE">
        <w:t xml:space="preserve">(e.g. </w:t>
      </w:r>
      <w:r w:rsidR="00E725DE" w:rsidRPr="004F5AD6">
        <w:t>agitated saline</w:t>
      </w:r>
      <w:r w:rsidR="00E725DE">
        <w:t xml:space="preserve">, syringes) </w:t>
      </w:r>
      <w:r w:rsidRPr="004F5AD6">
        <w:t xml:space="preserve">and staff training. </w:t>
      </w:r>
      <w:r>
        <w:t>Consequent</w:t>
      </w:r>
      <w:r w:rsidRPr="004F5AD6">
        <w:t xml:space="preserve">ly, the marginal cost of </w:t>
      </w:r>
      <w:r>
        <w:t>implementation is</w:t>
      </w:r>
      <w:r w:rsidRPr="004F5AD6">
        <w:t xml:space="preserve"> substantially lower in </w:t>
      </w:r>
      <w:r>
        <w:t>such settings compared with</w:t>
      </w:r>
      <w:r w:rsidRPr="004F5AD6">
        <w:t xml:space="preserve"> centres requiring de novo capital investment.</w:t>
      </w:r>
    </w:p>
    <w:p w14:paraId="30F04709" w14:textId="29CD2048" w:rsidR="004C4DCF" w:rsidRDefault="004C4DCF" w:rsidP="004C4DCF">
      <w:r>
        <w:t>Headframes are</w:t>
      </w:r>
      <w:r w:rsidRPr="00580603">
        <w:t xml:space="preserve"> typically reusable</w:t>
      </w:r>
      <w:r w:rsidR="00DF4334">
        <w:t xml:space="preserve"> and cost approximately </w:t>
      </w:r>
      <w:r>
        <w:t>$1,000</w:t>
      </w:r>
      <w:r w:rsidR="000F33EF">
        <w:t xml:space="preserve"> to </w:t>
      </w:r>
      <w:r>
        <w:t>$3,000, while m</w:t>
      </w:r>
      <w:r w:rsidRPr="00580603">
        <w:t xml:space="preserve">inor accessories (e.g. probe covers) </w:t>
      </w:r>
      <w:r>
        <w:t>are generally</w:t>
      </w:r>
      <w:r w:rsidRPr="00580603">
        <w:t xml:space="preserve"> </w:t>
      </w:r>
      <w:r w:rsidR="00570C8C">
        <w:t xml:space="preserve">low-cost and </w:t>
      </w:r>
      <w:r w:rsidRPr="00580603">
        <w:t>single</w:t>
      </w:r>
      <w:r w:rsidR="00FB319B">
        <w:t xml:space="preserve"> </w:t>
      </w:r>
      <w:r w:rsidRPr="00580603">
        <w:t>use</w:t>
      </w:r>
      <w:r>
        <w:t>.</w:t>
      </w:r>
    </w:p>
    <w:p w14:paraId="49CB676F" w14:textId="77777777" w:rsidR="00A0580B" w:rsidRDefault="004C4DCF" w:rsidP="004C4DCF">
      <w:r>
        <w:lastRenderedPageBreak/>
        <w:t>For centres using TCCD systems, capital costs are higher</w:t>
      </w:r>
      <w:r w:rsidR="00D12C43">
        <w:t xml:space="preserve">, </w:t>
      </w:r>
      <w:r>
        <w:t>typically rang</w:t>
      </w:r>
      <w:r w:rsidR="00D12C43">
        <w:t>ing</w:t>
      </w:r>
      <w:r>
        <w:t xml:space="preserve"> from approximately $80,000 to $180,000 depending on</w:t>
      </w:r>
      <w:r w:rsidR="00D12C43">
        <w:t xml:space="preserve"> imaging capability and system</w:t>
      </w:r>
      <w:r>
        <w:t xml:space="preserve"> configuration</w:t>
      </w:r>
      <w:r w:rsidR="00D12C43">
        <w:t xml:space="preserve">. </w:t>
      </w:r>
      <w:r w:rsidR="001E3B18" w:rsidRPr="001E3B18">
        <w:t>These costs generally reflect a full ultrasound platform; however, they may not always include all transducers. Additional phase</w:t>
      </w:r>
      <w:r w:rsidR="001E3B18">
        <w:t>d-</w:t>
      </w:r>
      <w:r w:rsidR="001E3B18" w:rsidRPr="001E3B18">
        <w:t>array transducers suitable for transcranial imaging may cost in the order of several thousand to tens of thousands of dollars depending on vendor and specifications.</w:t>
      </w:r>
      <w:r w:rsidR="001E3B18">
        <w:t xml:space="preserve"> </w:t>
      </w:r>
    </w:p>
    <w:p w14:paraId="251B3347" w14:textId="1A9D1BF6" w:rsidR="004C4DCF" w:rsidRPr="004C4DCF" w:rsidRDefault="00A0580B" w:rsidP="004C4DCF">
      <w:r>
        <w:t>W</w:t>
      </w:r>
      <w:r w:rsidR="005300B6">
        <w:t xml:space="preserve">here </w:t>
      </w:r>
      <w:r w:rsidR="004C4DCF">
        <w:t xml:space="preserve">TCCD </w:t>
      </w:r>
      <w:r w:rsidR="005300B6">
        <w:t>platforms</w:t>
      </w:r>
      <w:r w:rsidR="004C4DCF">
        <w:t xml:space="preserve"> are already </w:t>
      </w:r>
      <w:r w:rsidR="00E17D23">
        <w:t>in use</w:t>
      </w:r>
      <w:r w:rsidR="004C4DCF">
        <w:t xml:space="preserve"> for broader neurovascular </w:t>
      </w:r>
      <w:r>
        <w:t xml:space="preserve">or general ultrasound </w:t>
      </w:r>
      <w:r w:rsidR="004C4DCF">
        <w:t xml:space="preserve">imaging (e.g. carotid or </w:t>
      </w:r>
      <w:r w:rsidR="000F4A69">
        <w:t>cardiac applications</w:t>
      </w:r>
      <w:r w:rsidR="004C4DCF">
        <w:t>)</w:t>
      </w:r>
      <w:r w:rsidR="00E17D23">
        <w:t xml:space="preserve">, </w:t>
      </w:r>
      <w:r w:rsidR="004C4DCF">
        <w:t xml:space="preserve">the incremental cost of </w:t>
      </w:r>
      <w:r w:rsidR="00E17D23">
        <w:t>introducing</w:t>
      </w:r>
      <w:r w:rsidR="004C4DCF">
        <w:t xml:space="preserve"> bubble </w:t>
      </w:r>
      <w:r w:rsidR="00491733">
        <w:t>testing is minimal and comparable to conventional TCD</w:t>
      </w:r>
      <w:r w:rsidR="004C4DCF">
        <w:t>.</w:t>
      </w:r>
      <w:r w:rsidR="000F4A69">
        <w:t xml:space="preserve"> </w:t>
      </w:r>
      <w:r w:rsidR="004C4DCF">
        <w:t>Accordingly, while TCCD</w:t>
      </w:r>
      <w:r w:rsidR="00EA69A4">
        <w:t xml:space="preserve"> systems</w:t>
      </w:r>
      <w:r w:rsidR="004C4DCF">
        <w:t xml:space="preserve"> involve higher upfront </w:t>
      </w:r>
      <w:r w:rsidR="00EA69A4">
        <w:t>costs</w:t>
      </w:r>
      <w:r w:rsidR="004C4DCF">
        <w:t xml:space="preserve"> when purchased specifically for </w:t>
      </w:r>
      <w:r w:rsidR="00EA69A4">
        <w:t>this purpose</w:t>
      </w:r>
      <w:r w:rsidR="004C4DCF">
        <w:t xml:space="preserve">, their marginal cost for </w:t>
      </w:r>
      <w:r w:rsidR="008A59B4">
        <w:t>bubble testing</w:t>
      </w:r>
      <w:r w:rsidR="004C4DCF">
        <w:t xml:space="preserve"> remains low when integrated into existing ultrasound services.</w:t>
      </w:r>
    </w:p>
    <w:p w14:paraId="1C0A4FF1" w14:textId="5C290756" w:rsidR="00BC1814" w:rsidRDefault="00BC1814" w:rsidP="00163319">
      <w:pPr>
        <w:pStyle w:val="Heading4"/>
      </w:pPr>
      <w:r>
        <w:t xml:space="preserve">Current funding of the </w:t>
      </w:r>
      <w:r w:rsidR="004E35B9">
        <w:t>service</w:t>
      </w:r>
    </w:p>
    <w:p w14:paraId="45FDE90C" w14:textId="568E9F6E" w:rsidR="009868E6" w:rsidRDefault="00DF52EF" w:rsidP="009868E6">
      <w:r w:rsidRPr="006111A0">
        <w:t xml:space="preserve">The </w:t>
      </w:r>
      <w:r w:rsidR="004D1583" w:rsidRPr="006111A0">
        <w:t xml:space="preserve">application </w:t>
      </w:r>
      <w:r w:rsidR="00886283" w:rsidRPr="006111A0">
        <w:t>state</w:t>
      </w:r>
      <w:r w:rsidR="0069460A">
        <w:t>s</w:t>
      </w:r>
      <w:r w:rsidR="004D1583" w:rsidRPr="006111A0">
        <w:t xml:space="preserve"> that </w:t>
      </w:r>
      <w:r w:rsidRPr="006111A0">
        <w:t>TCD bubble test</w:t>
      </w:r>
      <w:r w:rsidR="0069460A">
        <w:t>ing</w:t>
      </w:r>
      <w:r w:rsidRPr="006111A0">
        <w:t xml:space="preserve"> is currently funded using existing MBS items for diagnostic TCD </w:t>
      </w:r>
      <w:r w:rsidR="0094472F" w:rsidRPr="006111A0">
        <w:t>(</w:t>
      </w:r>
      <w:r w:rsidR="0094472F" w:rsidRPr="006111A0">
        <w:fldChar w:fldCharType="begin"/>
      </w:r>
      <w:r w:rsidR="0094472F" w:rsidRPr="006111A0">
        <w:instrText xml:space="preserve"> REF _Ref231214335 \h </w:instrText>
      </w:r>
      <w:r w:rsidR="0053060E" w:rsidRPr="006111A0">
        <w:instrText xml:space="preserve"> \* MERGEFORMAT </w:instrText>
      </w:r>
      <w:r w:rsidR="0094472F" w:rsidRPr="006111A0">
        <w:fldChar w:fldCharType="separate"/>
      </w:r>
      <w:r w:rsidR="000D54C3">
        <w:t xml:space="preserve">Box </w:t>
      </w:r>
      <w:r w:rsidR="000D54C3">
        <w:rPr>
          <w:noProof/>
        </w:rPr>
        <w:t>1</w:t>
      </w:r>
      <w:r w:rsidR="0094472F" w:rsidRPr="006111A0">
        <w:fldChar w:fldCharType="end"/>
      </w:r>
      <w:r w:rsidR="0094472F" w:rsidRPr="006111A0">
        <w:t>)</w:t>
      </w:r>
      <w:r w:rsidRPr="006111A0">
        <w:t xml:space="preserve">. The application </w:t>
      </w:r>
      <w:r w:rsidR="008540D7" w:rsidRPr="006111A0">
        <w:t>note</w:t>
      </w:r>
      <w:r w:rsidR="00F74276">
        <w:t>s</w:t>
      </w:r>
      <w:r w:rsidR="008540D7" w:rsidRPr="006111A0">
        <w:t xml:space="preserve"> that t</w:t>
      </w:r>
      <w:r w:rsidR="004C1D3A">
        <w:t xml:space="preserve">hese items do not specifically reflect the additional requirements of bubble testing, including longer </w:t>
      </w:r>
      <w:r w:rsidR="00E73CAF">
        <w:t xml:space="preserve">procedure </w:t>
      </w:r>
      <w:r w:rsidR="00337D0D">
        <w:t>duration, use of contrast (agitated saline), and involvement of multiple staff</w:t>
      </w:r>
      <w:r w:rsidRPr="006111A0">
        <w:t>.</w:t>
      </w:r>
    </w:p>
    <w:p w14:paraId="02D59A64" w14:textId="5B35BFF7" w:rsidR="00BC1814" w:rsidRDefault="00BC1814" w:rsidP="00BC1814">
      <w:pPr>
        <w:pStyle w:val="Caption"/>
      </w:pPr>
      <w:bookmarkStart w:id="4" w:name="_Ref231214335"/>
      <w:r>
        <w:t xml:space="preserve">Box </w:t>
      </w:r>
      <w:r>
        <w:fldChar w:fldCharType="begin"/>
      </w:r>
      <w:r>
        <w:instrText xml:space="preserve"> SEQ Box \* ARABIC </w:instrText>
      </w:r>
      <w:r>
        <w:fldChar w:fldCharType="separate"/>
      </w:r>
      <w:r w:rsidR="000D54C3">
        <w:rPr>
          <w:noProof/>
        </w:rPr>
        <w:t>1</w:t>
      </w:r>
      <w:r>
        <w:fldChar w:fldCharType="end"/>
      </w:r>
      <w:bookmarkEnd w:id="4"/>
      <w:r>
        <w:tab/>
        <w:t>Existing MBS item</w:t>
      </w:r>
      <w:r w:rsidR="00E71D1D">
        <w:t>s</w:t>
      </w:r>
      <w:r>
        <w:t xml:space="preserve"> </w:t>
      </w:r>
      <w:r w:rsidR="003C0C9B">
        <w:t xml:space="preserve">for standard diagnostic TCD tests, currently </w:t>
      </w:r>
      <w:r>
        <w:t>used for transcranial Doppler bubble test</w:t>
      </w:r>
    </w:p>
    <w:tbl>
      <w:tblPr>
        <w:tblStyle w:val="TableGrid"/>
        <w:tblW w:w="5000" w:type="pct"/>
        <w:tblInd w:w="0" w:type="dxa"/>
        <w:tblLook w:val="04A0" w:firstRow="1" w:lastRow="0" w:firstColumn="1" w:lastColumn="0" w:noHBand="0" w:noVBand="1"/>
        <w:tblCaption w:val="Existing MBS items for standard diagnostic TCD tests, currently used for transcranial Doppler bubble test"/>
        <w:tblDescription w:val="The box presents the descriptors and fees for MBS items 11614 and 55280."/>
      </w:tblPr>
      <w:tblGrid>
        <w:gridCol w:w="9571"/>
      </w:tblGrid>
      <w:tr w:rsidR="00BC1814" w:rsidRPr="00D2670B" w14:paraId="6331A6C9" w14:textId="77777777" w:rsidTr="006E0A27">
        <w:trPr>
          <w:cantSplit/>
          <w:tblHeader/>
        </w:trPr>
        <w:tc>
          <w:tcPr>
            <w:tcW w:w="5000" w:type="pct"/>
            <w:tcBorders>
              <w:top w:val="single" w:sz="4" w:space="0" w:color="auto"/>
              <w:left w:val="single" w:sz="4" w:space="0" w:color="auto"/>
              <w:bottom w:val="single" w:sz="4" w:space="0" w:color="auto"/>
              <w:right w:val="single" w:sz="4" w:space="0" w:color="auto"/>
            </w:tcBorders>
            <w:hideMark/>
          </w:tcPr>
          <w:p w14:paraId="1C0DC1D0" w14:textId="77777777" w:rsidR="00BC1814" w:rsidRDefault="00BC1814" w:rsidP="006E0A27">
            <w:pPr>
              <w:pStyle w:val="TableHeading"/>
              <w:jc w:val="right"/>
            </w:pPr>
            <w:r w:rsidRPr="00DE762F">
              <w:t xml:space="preserve">Category </w:t>
            </w:r>
            <w:r>
              <w:t>2</w:t>
            </w:r>
            <w:r w:rsidRPr="00D2670B">
              <w:t xml:space="preserve"> – </w:t>
            </w:r>
            <w:r>
              <w:t>DIAGNOSTIC PROCEDURES AND INVESTIGATIONS</w:t>
            </w:r>
          </w:p>
          <w:p w14:paraId="56D0FDFC" w14:textId="77777777" w:rsidR="006E0A27" w:rsidRDefault="006E0A27" w:rsidP="006E0A27">
            <w:pPr>
              <w:spacing w:before="40" w:after="40" w:line="240" w:lineRule="auto"/>
              <w:jc w:val="right"/>
              <w:rPr>
                <w:rFonts w:ascii="Arial Narrow" w:hAnsi="Arial Narrow"/>
                <w:sz w:val="20"/>
                <w:szCs w:val="20"/>
              </w:rPr>
            </w:pPr>
            <w:r w:rsidRPr="000061E5">
              <w:rPr>
                <w:rFonts w:ascii="Arial Narrow" w:hAnsi="Arial Narrow"/>
                <w:sz w:val="20"/>
                <w:szCs w:val="20"/>
              </w:rPr>
              <w:t>Group D1 – Miscellaneous Diagnostic Procedures and Investigations</w:t>
            </w:r>
          </w:p>
          <w:p w14:paraId="5790A5B3" w14:textId="41C55A8A" w:rsidR="006E0A27" w:rsidRPr="006E0A27" w:rsidRDefault="006E0A27" w:rsidP="006E0A27">
            <w:pPr>
              <w:spacing w:after="120" w:line="240" w:lineRule="auto"/>
              <w:jc w:val="right"/>
              <w:rPr>
                <w:rFonts w:ascii="Arial Narrow" w:hAnsi="Arial Narrow"/>
                <w:sz w:val="20"/>
                <w:szCs w:val="20"/>
              </w:rPr>
            </w:pPr>
            <w:r>
              <w:rPr>
                <w:rFonts w:ascii="Arial Narrow" w:hAnsi="Arial Narrow"/>
                <w:sz w:val="20"/>
                <w:szCs w:val="20"/>
              </w:rPr>
              <w:t>Subgroup 5 – Vascular</w:t>
            </w:r>
          </w:p>
        </w:tc>
      </w:tr>
      <w:tr w:rsidR="00BC1814" w:rsidRPr="005771DC" w14:paraId="6AFBFBF9" w14:textId="77777777" w:rsidTr="006E0A27">
        <w:trPr>
          <w:cantSplit/>
          <w:tblHeader/>
        </w:trPr>
        <w:tc>
          <w:tcPr>
            <w:tcW w:w="5000" w:type="pct"/>
            <w:tcBorders>
              <w:top w:val="single" w:sz="4" w:space="0" w:color="auto"/>
              <w:left w:val="single" w:sz="4" w:space="0" w:color="auto"/>
              <w:bottom w:val="dotted" w:sz="4" w:space="0" w:color="auto"/>
              <w:right w:val="single" w:sz="4" w:space="0" w:color="auto"/>
            </w:tcBorders>
          </w:tcPr>
          <w:p w14:paraId="565F0580" w14:textId="5E58956C" w:rsidR="00BC1814" w:rsidRDefault="005B2DC3">
            <w:pPr>
              <w:spacing w:before="120" w:after="120" w:line="240" w:lineRule="auto"/>
              <w:rPr>
                <w:rFonts w:ascii="Arial Narrow" w:hAnsi="Arial Narrow"/>
                <w:sz w:val="20"/>
                <w:szCs w:val="20"/>
              </w:rPr>
            </w:pPr>
            <w:r>
              <w:rPr>
                <w:rFonts w:ascii="Arial Narrow" w:hAnsi="Arial Narrow"/>
                <w:sz w:val="20"/>
                <w:szCs w:val="20"/>
              </w:rPr>
              <w:t>I</w:t>
            </w:r>
            <w:r w:rsidR="00172304">
              <w:rPr>
                <w:rFonts w:ascii="Arial Narrow" w:hAnsi="Arial Narrow"/>
                <w:sz w:val="20"/>
                <w:szCs w:val="20"/>
              </w:rPr>
              <w:t xml:space="preserve">tem </w:t>
            </w:r>
            <w:r w:rsidR="00BC1814">
              <w:rPr>
                <w:rFonts w:ascii="Arial Narrow" w:hAnsi="Arial Narrow"/>
                <w:sz w:val="20"/>
                <w:szCs w:val="20"/>
              </w:rPr>
              <w:t>11614</w:t>
            </w:r>
          </w:p>
          <w:p w14:paraId="1662E51B" w14:textId="77777777" w:rsidR="00BC1814" w:rsidRPr="00DE762F" w:rsidRDefault="00BC1814">
            <w:pPr>
              <w:spacing w:before="120" w:after="120" w:line="240" w:lineRule="auto"/>
              <w:rPr>
                <w:rFonts w:ascii="Arial Narrow" w:hAnsi="Arial Narrow"/>
                <w:sz w:val="20"/>
                <w:szCs w:val="20"/>
              </w:rPr>
            </w:pPr>
            <w:r w:rsidRPr="00B66CD3">
              <w:rPr>
                <w:rFonts w:ascii="Arial Narrow" w:hAnsi="Arial Narrow"/>
                <w:sz w:val="20"/>
                <w:szCs w:val="20"/>
              </w:rPr>
              <w:t>Transcranial doppler, examination of the intracranial arterial circulation using CW Doppler or pulsed Doppler with hard copy recording of waveforms, examination and report, other than a service associated with a service to which item 55280 of the diagnostic imaging services table applies</w:t>
            </w:r>
          </w:p>
        </w:tc>
      </w:tr>
      <w:tr w:rsidR="00BC1814" w:rsidRPr="005771DC" w14:paraId="3C69A249" w14:textId="77777777" w:rsidTr="006E0A27">
        <w:trPr>
          <w:cantSplit/>
          <w:tblHeader/>
        </w:trPr>
        <w:tc>
          <w:tcPr>
            <w:tcW w:w="5000" w:type="pct"/>
            <w:tcBorders>
              <w:top w:val="dotted" w:sz="4" w:space="0" w:color="auto"/>
              <w:left w:val="single" w:sz="4" w:space="0" w:color="auto"/>
              <w:bottom w:val="single" w:sz="4" w:space="0" w:color="auto"/>
              <w:right w:val="single" w:sz="4" w:space="0" w:color="auto"/>
            </w:tcBorders>
            <w:vAlign w:val="center"/>
          </w:tcPr>
          <w:p w14:paraId="5FFE5E04" w14:textId="6FA4E9D1" w:rsidR="00BC1814" w:rsidRPr="00DE762F" w:rsidRDefault="00BC1814">
            <w:pPr>
              <w:spacing w:before="40" w:after="40" w:line="240" w:lineRule="auto"/>
              <w:rPr>
                <w:rFonts w:ascii="Arial Narrow" w:hAnsi="Arial Narrow"/>
                <w:sz w:val="20"/>
                <w:szCs w:val="20"/>
              </w:rPr>
            </w:pPr>
            <w:r w:rsidRPr="00FA591B">
              <w:rPr>
                <w:rFonts w:ascii="Arial Narrow" w:hAnsi="Arial Narrow"/>
                <w:b/>
                <w:bCs/>
                <w:sz w:val="20"/>
                <w:szCs w:val="20"/>
              </w:rPr>
              <w:t>Fee:</w:t>
            </w:r>
            <w:r w:rsidRPr="00DE762F">
              <w:rPr>
                <w:rFonts w:ascii="Arial Narrow" w:hAnsi="Arial Narrow"/>
                <w:sz w:val="20"/>
                <w:szCs w:val="20"/>
              </w:rPr>
              <w:t xml:space="preserve"> </w:t>
            </w:r>
            <w:r>
              <w:rPr>
                <w:rFonts w:ascii="Arial Narrow" w:hAnsi="Arial Narrow"/>
                <w:sz w:val="20"/>
                <w:szCs w:val="20"/>
              </w:rPr>
              <w:t>$</w:t>
            </w:r>
            <w:r w:rsidR="008E26A3">
              <w:rPr>
                <w:rFonts w:ascii="Arial Narrow" w:hAnsi="Arial Narrow"/>
                <w:sz w:val="20"/>
                <w:szCs w:val="20"/>
              </w:rPr>
              <w:t>90.55</w:t>
            </w:r>
            <w:r>
              <w:rPr>
                <w:rFonts w:ascii="Arial Narrow" w:hAnsi="Arial Narrow"/>
                <w:sz w:val="20"/>
                <w:szCs w:val="20"/>
              </w:rPr>
              <w:t xml:space="preserve"> </w:t>
            </w:r>
            <w:r w:rsidRPr="00FA591B">
              <w:rPr>
                <w:rFonts w:ascii="Arial Narrow" w:hAnsi="Arial Narrow"/>
                <w:b/>
                <w:bCs/>
                <w:sz w:val="20"/>
                <w:szCs w:val="20"/>
              </w:rPr>
              <w:t>Benefit:</w:t>
            </w:r>
            <w:r>
              <w:rPr>
                <w:rFonts w:ascii="Arial Narrow" w:hAnsi="Arial Narrow"/>
                <w:sz w:val="20"/>
                <w:szCs w:val="20"/>
              </w:rPr>
              <w:t xml:space="preserve"> 75% = $</w:t>
            </w:r>
            <w:r w:rsidR="008E26A3">
              <w:rPr>
                <w:rFonts w:ascii="Arial Narrow" w:hAnsi="Arial Narrow"/>
                <w:sz w:val="20"/>
                <w:szCs w:val="20"/>
              </w:rPr>
              <w:t>67.95</w:t>
            </w:r>
            <w:r>
              <w:rPr>
                <w:rFonts w:ascii="Arial Narrow" w:hAnsi="Arial Narrow"/>
                <w:sz w:val="20"/>
                <w:szCs w:val="20"/>
              </w:rPr>
              <w:t xml:space="preserve"> 85% = $</w:t>
            </w:r>
            <w:r w:rsidR="008E26A3">
              <w:rPr>
                <w:rFonts w:ascii="Arial Narrow" w:hAnsi="Arial Narrow"/>
                <w:sz w:val="20"/>
                <w:szCs w:val="20"/>
              </w:rPr>
              <w:t>77.00</w:t>
            </w:r>
          </w:p>
        </w:tc>
      </w:tr>
      <w:tr w:rsidR="00886283" w:rsidRPr="005771DC" w14:paraId="78780D8A" w14:textId="77777777" w:rsidTr="006E0A27">
        <w:trPr>
          <w:cantSplit/>
          <w:tblHeader/>
        </w:trPr>
        <w:tc>
          <w:tcPr>
            <w:tcW w:w="5000" w:type="pct"/>
            <w:tcBorders>
              <w:top w:val="single" w:sz="4" w:space="0" w:color="auto"/>
              <w:left w:val="single" w:sz="4" w:space="0" w:color="auto"/>
              <w:bottom w:val="single" w:sz="4" w:space="0" w:color="auto"/>
              <w:right w:val="single" w:sz="4" w:space="0" w:color="auto"/>
            </w:tcBorders>
            <w:vAlign w:val="center"/>
          </w:tcPr>
          <w:p w14:paraId="17CD146A" w14:textId="77777777" w:rsidR="00886283" w:rsidRDefault="00886283" w:rsidP="00B51CD4">
            <w:pPr>
              <w:pStyle w:val="TableHeading"/>
              <w:jc w:val="right"/>
            </w:pPr>
            <w:r w:rsidRPr="00DE762F">
              <w:t xml:space="preserve">Category </w:t>
            </w:r>
            <w:r>
              <w:t>5</w:t>
            </w:r>
            <w:r w:rsidRPr="00D2670B">
              <w:t xml:space="preserve"> – </w:t>
            </w:r>
            <w:r>
              <w:t>DIAGNOSTIC IMAGING SERVICES</w:t>
            </w:r>
          </w:p>
          <w:p w14:paraId="3194E933" w14:textId="77777777" w:rsidR="006E0A27" w:rsidRDefault="006E0A27" w:rsidP="006E0A27">
            <w:pPr>
              <w:spacing w:before="40" w:after="40" w:line="240" w:lineRule="auto"/>
              <w:jc w:val="right"/>
              <w:rPr>
                <w:rFonts w:ascii="Arial Narrow" w:hAnsi="Arial Narrow"/>
                <w:sz w:val="20"/>
                <w:szCs w:val="20"/>
              </w:rPr>
            </w:pPr>
            <w:r w:rsidRPr="000061E5">
              <w:rPr>
                <w:rFonts w:ascii="Arial Narrow" w:hAnsi="Arial Narrow"/>
                <w:sz w:val="20"/>
                <w:szCs w:val="20"/>
              </w:rPr>
              <w:t xml:space="preserve">Group </w:t>
            </w:r>
            <w:r>
              <w:rPr>
                <w:rFonts w:ascii="Arial Narrow" w:hAnsi="Arial Narrow"/>
                <w:sz w:val="20"/>
                <w:szCs w:val="20"/>
              </w:rPr>
              <w:t>I</w:t>
            </w:r>
            <w:r w:rsidRPr="000061E5">
              <w:rPr>
                <w:rFonts w:ascii="Arial Narrow" w:hAnsi="Arial Narrow"/>
                <w:sz w:val="20"/>
                <w:szCs w:val="20"/>
              </w:rPr>
              <w:t xml:space="preserve">1 – </w:t>
            </w:r>
            <w:r>
              <w:rPr>
                <w:rFonts w:ascii="Arial Narrow" w:hAnsi="Arial Narrow"/>
                <w:sz w:val="20"/>
                <w:szCs w:val="20"/>
              </w:rPr>
              <w:t>Ultrasound</w:t>
            </w:r>
          </w:p>
          <w:p w14:paraId="58921D3A" w14:textId="44DE8D53" w:rsidR="006E0A27" w:rsidRPr="006E0A27" w:rsidRDefault="006E0A27" w:rsidP="006E0A27">
            <w:pPr>
              <w:spacing w:after="120" w:line="240" w:lineRule="auto"/>
              <w:jc w:val="right"/>
              <w:rPr>
                <w:rFonts w:ascii="Arial Narrow" w:hAnsi="Arial Narrow"/>
                <w:sz w:val="20"/>
                <w:szCs w:val="20"/>
              </w:rPr>
            </w:pPr>
            <w:r>
              <w:rPr>
                <w:rFonts w:ascii="Arial Narrow" w:hAnsi="Arial Narrow"/>
                <w:sz w:val="20"/>
                <w:szCs w:val="20"/>
              </w:rPr>
              <w:t>Subgroup 3 – Vascular</w:t>
            </w:r>
          </w:p>
        </w:tc>
      </w:tr>
      <w:tr w:rsidR="00886283" w:rsidRPr="005771DC" w14:paraId="5D450B2F" w14:textId="77777777" w:rsidTr="006E0A27">
        <w:trPr>
          <w:cantSplit/>
          <w:tblHeader/>
        </w:trPr>
        <w:tc>
          <w:tcPr>
            <w:tcW w:w="5000" w:type="pct"/>
            <w:tcBorders>
              <w:top w:val="single" w:sz="4" w:space="0" w:color="auto"/>
              <w:left w:val="single" w:sz="4" w:space="0" w:color="auto"/>
              <w:bottom w:val="dotted" w:sz="4" w:space="0" w:color="auto"/>
              <w:right w:val="single" w:sz="4" w:space="0" w:color="auto"/>
            </w:tcBorders>
            <w:vAlign w:val="center"/>
          </w:tcPr>
          <w:p w14:paraId="67556B44" w14:textId="67F312E9" w:rsidR="00172304" w:rsidRDefault="005B2DC3" w:rsidP="00172304">
            <w:pPr>
              <w:spacing w:before="120" w:after="120" w:line="240" w:lineRule="auto"/>
              <w:rPr>
                <w:rFonts w:ascii="Arial Narrow" w:hAnsi="Arial Narrow"/>
                <w:sz w:val="20"/>
                <w:szCs w:val="20"/>
              </w:rPr>
            </w:pPr>
            <w:r>
              <w:rPr>
                <w:rFonts w:ascii="Arial Narrow" w:hAnsi="Arial Narrow"/>
                <w:sz w:val="20"/>
                <w:szCs w:val="20"/>
              </w:rPr>
              <w:t>I</w:t>
            </w:r>
            <w:r w:rsidR="00172304">
              <w:rPr>
                <w:rFonts w:ascii="Arial Narrow" w:hAnsi="Arial Narrow"/>
                <w:sz w:val="20"/>
                <w:szCs w:val="20"/>
              </w:rPr>
              <w:t xml:space="preserve">tem </w:t>
            </w:r>
            <w:r>
              <w:rPr>
                <w:rFonts w:ascii="Arial Narrow" w:hAnsi="Arial Narrow"/>
                <w:sz w:val="20"/>
                <w:szCs w:val="20"/>
              </w:rPr>
              <w:t>55280</w:t>
            </w:r>
          </w:p>
          <w:p w14:paraId="1EE730EA" w14:textId="77777777" w:rsidR="00886283" w:rsidRDefault="00AF2C30" w:rsidP="00172304">
            <w:pPr>
              <w:spacing w:before="40" w:after="40" w:line="240" w:lineRule="auto"/>
              <w:rPr>
                <w:rFonts w:ascii="Arial Narrow" w:hAnsi="Arial Narrow"/>
                <w:sz w:val="20"/>
                <w:szCs w:val="20"/>
              </w:rPr>
            </w:pPr>
            <w:r w:rsidRPr="00AF2C30">
              <w:rPr>
                <w:rFonts w:ascii="Arial Narrow" w:hAnsi="Arial Narrow"/>
                <w:sz w:val="20"/>
                <w:szCs w:val="20"/>
              </w:rPr>
              <w:t>Duplex scanning involving B mode ultrasound imaging and integrated Doppler flow measurements by spectral analysis of intra cranial vessels, not being a service associated with a service to which an item in Subgroup 4 applies (R)</w:t>
            </w:r>
          </w:p>
          <w:p w14:paraId="30AC4E4F" w14:textId="1D938014" w:rsidR="00AF2C30" w:rsidRPr="00977620" w:rsidRDefault="00AF2C30" w:rsidP="00172304">
            <w:pPr>
              <w:spacing w:before="40" w:after="40" w:line="240" w:lineRule="auto"/>
              <w:rPr>
                <w:rFonts w:ascii="Arial Narrow" w:hAnsi="Arial Narrow"/>
                <w:sz w:val="20"/>
                <w:szCs w:val="20"/>
                <w:u w:val="single"/>
              </w:rPr>
            </w:pPr>
            <w:r w:rsidRPr="00977620">
              <w:rPr>
                <w:rFonts w:ascii="Arial Narrow" w:hAnsi="Arial Narrow"/>
                <w:sz w:val="20"/>
                <w:szCs w:val="20"/>
                <w:u w:val="single"/>
              </w:rPr>
              <w:t>Bulk bill incentive</w:t>
            </w:r>
          </w:p>
        </w:tc>
      </w:tr>
      <w:tr w:rsidR="00977620" w:rsidRPr="005771DC" w14:paraId="4EDE3672" w14:textId="77777777" w:rsidTr="001602EC">
        <w:trPr>
          <w:cantSplit/>
          <w:tblHeader/>
        </w:trPr>
        <w:tc>
          <w:tcPr>
            <w:tcW w:w="5000" w:type="pct"/>
            <w:tcBorders>
              <w:top w:val="dotted" w:sz="4" w:space="0" w:color="auto"/>
              <w:left w:val="single" w:sz="4" w:space="0" w:color="auto"/>
              <w:bottom w:val="single" w:sz="4" w:space="0" w:color="auto"/>
              <w:right w:val="single" w:sz="4" w:space="0" w:color="auto"/>
            </w:tcBorders>
            <w:vAlign w:val="center"/>
          </w:tcPr>
          <w:p w14:paraId="3CCAE5C9" w14:textId="5A333018" w:rsidR="00977620" w:rsidRPr="00FA591B" w:rsidRDefault="00977620" w:rsidP="00977620">
            <w:pPr>
              <w:spacing w:before="40" w:after="40" w:line="240" w:lineRule="auto"/>
              <w:rPr>
                <w:rFonts w:ascii="Arial Narrow" w:hAnsi="Arial Narrow"/>
                <w:b/>
                <w:bCs/>
                <w:sz w:val="20"/>
                <w:szCs w:val="20"/>
              </w:rPr>
            </w:pPr>
            <w:r w:rsidRPr="00FA591B">
              <w:rPr>
                <w:rFonts w:ascii="Arial Narrow" w:hAnsi="Arial Narrow"/>
                <w:b/>
                <w:bCs/>
                <w:sz w:val="20"/>
                <w:szCs w:val="20"/>
              </w:rPr>
              <w:t>Fee:</w:t>
            </w:r>
            <w:r w:rsidRPr="00DE762F">
              <w:rPr>
                <w:rFonts w:ascii="Arial Narrow" w:hAnsi="Arial Narrow"/>
                <w:sz w:val="20"/>
                <w:szCs w:val="20"/>
              </w:rPr>
              <w:t xml:space="preserve"> </w:t>
            </w:r>
            <w:r>
              <w:rPr>
                <w:rFonts w:ascii="Arial Narrow" w:hAnsi="Arial Narrow"/>
                <w:sz w:val="20"/>
                <w:szCs w:val="20"/>
              </w:rPr>
              <w:t>$</w:t>
            </w:r>
            <w:r w:rsidR="07908EF3" w:rsidRPr="008C179C">
              <w:rPr>
                <w:rFonts w:ascii="Arial Narrow" w:hAnsi="Arial Narrow"/>
                <w:sz w:val="20"/>
                <w:szCs w:val="20"/>
              </w:rPr>
              <w:t>199.70</w:t>
            </w:r>
            <w:r w:rsidRPr="00541DC8">
              <w:rPr>
                <w:rFonts w:ascii="Arial Narrow" w:hAnsi="Arial Narrow"/>
                <w:sz w:val="20"/>
                <w:szCs w:val="20"/>
              </w:rPr>
              <w:t xml:space="preserve"> </w:t>
            </w:r>
            <w:r w:rsidRPr="00FA591B">
              <w:rPr>
                <w:rFonts w:ascii="Arial Narrow" w:hAnsi="Arial Narrow"/>
                <w:b/>
                <w:bCs/>
                <w:sz w:val="20"/>
                <w:szCs w:val="20"/>
              </w:rPr>
              <w:t>Benefit:</w:t>
            </w:r>
            <w:r>
              <w:rPr>
                <w:rFonts w:ascii="Arial Narrow" w:hAnsi="Arial Narrow"/>
                <w:sz w:val="20"/>
                <w:szCs w:val="20"/>
              </w:rPr>
              <w:t xml:space="preserve"> 75% = $</w:t>
            </w:r>
            <w:r w:rsidR="00C827DC">
              <w:rPr>
                <w:rFonts w:ascii="Arial Narrow" w:hAnsi="Arial Narrow"/>
                <w:sz w:val="20"/>
                <w:szCs w:val="20"/>
              </w:rPr>
              <w:t>149</w:t>
            </w:r>
            <w:r>
              <w:rPr>
                <w:rFonts w:ascii="Arial Narrow" w:hAnsi="Arial Narrow"/>
                <w:sz w:val="20"/>
                <w:szCs w:val="20"/>
              </w:rPr>
              <w:t>.</w:t>
            </w:r>
            <w:r w:rsidR="00C827DC">
              <w:rPr>
                <w:rFonts w:ascii="Arial Narrow" w:hAnsi="Arial Narrow"/>
                <w:sz w:val="20"/>
                <w:szCs w:val="20"/>
              </w:rPr>
              <w:t xml:space="preserve">80 </w:t>
            </w:r>
            <w:r>
              <w:rPr>
                <w:rFonts w:ascii="Arial Narrow" w:hAnsi="Arial Narrow"/>
                <w:sz w:val="20"/>
                <w:szCs w:val="20"/>
              </w:rPr>
              <w:t>85% = $</w:t>
            </w:r>
            <w:r w:rsidR="00C827DC">
              <w:rPr>
                <w:rFonts w:ascii="Arial Narrow" w:hAnsi="Arial Narrow"/>
                <w:sz w:val="20"/>
                <w:szCs w:val="20"/>
              </w:rPr>
              <w:t>169</w:t>
            </w:r>
            <w:r w:rsidR="00326B34">
              <w:rPr>
                <w:rFonts w:ascii="Arial Narrow" w:hAnsi="Arial Narrow"/>
                <w:sz w:val="20"/>
                <w:szCs w:val="20"/>
              </w:rPr>
              <w:t>.</w:t>
            </w:r>
            <w:r w:rsidR="00C827DC">
              <w:rPr>
                <w:rFonts w:ascii="Arial Narrow" w:hAnsi="Arial Narrow"/>
                <w:sz w:val="20"/>
                <w:szCs w:val="20"/>
              </w:rPr>
              <w:t>75</w:t>
            </w:r>
          </w:p>
        </w:tc>
      </w:tr>
    </w:tbl>
    <w:p w14:paraId="3B839466" w14:textId="78C8FE5A" w:rsidR="00BC1814" w:rsidRDefault="005E47F8" w:rsidP="00E73CAF">
      <w:pPr>
        <w:pStyle w:val="Tablenotes"/>
        <w:spacing w:after="240"/>
      </w:pPr>
      <w:r>
        <w:t>Source: MBS Online</w:t>
      </w:r>
      <w:r w:rsidR="003B237D">
        <w:t>,</w:t>
      </w:r>
      <w:r>
        <w:t xml:space="preserve"> </w:t>
      </w:r>
      <w:r w:rsidR="000A40D5">
        <w:t xml:space="preserve">accessed </w:t>
      </w:r>
      <w:r w:rsidR="008D28C4">
        <w:t>14 July</w:t>
      </w:r>
      <w:r w:rsidR="007911F3">
        <w:t xml:space="preserve"> 2026.</w:t>
      </w:r>
    </w:p>
    <w:p w14:paraId="1B6354D1" w14:textId="77777777" w:rsidR="00B94E8F" w:rsidRDefault="00B94E8F" w:rsidP="00163319">
      <w:pPr>
        <w:pStyle w:val="Heading4"/>
      </w:pPr>
      <w:r>
        <w:t>Workforce and implementation considerations</w:t>
      </w:r>
    </w:p>
    <w:p w14:paraId="3CFA91B2" w14:textId="1A7A4988" w:rsidR="00AD702F" w:rsidRDefault="00B94E8F" w:rsidP="00AD702F">
      <w:r>
        <w:t>Implementation of TCD bubble studies has implications for workforce capability</w:t>
      </w:r>
      <w:r w:rsidR="00337D0D">
        <w:t>,</w:t>
      </w:r>
      <w:r>
        <w:t xml:space="preserve"> service </w:t>
      </w:r>
      <w:r w:rsidR="00337D0D">
        <w:t>delivery, and regulatory compliance</w:t>
      </w:r>
      <w:r>
        <w:t xml:space="preserve">. </w:t>
      </w:r>
      <w:r w:rsidR="00AD702F">
        <w:t>As outlined above, current funding relies on existing MBS items that operate within different regulatory frameworks.</w:t>
      </w:r>
      <w:r w:rsidR="00DF30A5">
        <w:t xml:space="preserve"> Where i</w:t>
      </w:r>
      <w:r w:rsidR="00AD702F">
        <w:t>tem </w:t>
      </w:r>
      <w:hyperlink r:id="rId13" w:history="1">
        <w:r w:rsidR="00AD702F" w:rsidRPr="00BA6F7F">
          <w:rPr>
            <w:rStyle w:val="Hyperlink"/>
            <w:rFonts w:ascii="Calibri" w:hAnsi="Calibri"/>
          </w:rPr>
          <w:t>11614</w:t>
        </w:r>
      </w:hyperlink>
      <w:r w:rsidR="00AD702F">
        <w:t xml:space="preserve"> is </w:t>
      </w:r>
      <w:r w:rsidR="00DF30A5">
        <w:t xml:space="preserve">used, the service is </w:t>
      </w:r>
      <w:r w:rsidR="00AD702F">
        <w:t>classified as a diagnostic investigation, whereas item </w:t>
      </w:r>
      <w:hyperlink r:id="rId14" w:history="1">
        <w:r w:rsidR="00AD702F" w:rsidRPr="00735DFE">
          <w:rPr>
            <w:rStyle w:val="Hyperlink"/>
            <w:rFonts w:ascii="Calibri" w:hAnsi="Calibri"/>
          </w:rPr>
          <w:t>55280</w:t>
        </w:r>
      </w:hyperlink>
      <w:r w:rsidR="00AD702F">
        <w:t xml:space="preserve"> is a diagnostic imaging service subject to the Diagnostic Imaging Accreditation Scheme (DIAS). </w:t>
      </w:r>
      <w:r w:rsidR="00C32F19" w:rsidRPr="00C32F19">
        <w:t>Consequently, regulatory obligations may vary depending on the MBS item used and local service arrangements.</w:t>
      </w:r>
      <w:r w:rsidR="0044257C">
        <w:t xml:space="preserve"> </w:t>
      </w:r>
      <w:r w:rsidR="006F5BB1" w:rsidRPr="006F5BB1">
        <w:t>In settings where DIAS requirements apply, providers may need to ensure compliance with relevant accreditation, quality assurance, equipment, recor</w:t>
      </w:r>
      <w:r w:rsidR="006F5BB1">
        <w:t>d-</w:t>
      </w:r>
      <w:r w:rsidR="006F5BB1" w:rsidRPr="006F5BB1">
        <w:t xml:space="preserve">keeping and clinical </w:t>
      </w:r>
      <w:r w:rsidR="006F5BB1" w:rsidRPr="006F5BB1">
        <w:lastRenderedPageBreak/>
        <w:t xml:space="preserve">governance requirements. As a result, implementation </w:t>
      </w:r>
      <w:r w:rsidR="006F5BB1">
        <w:t xml:space="preserve">requirements – </w:t>
      </w:r>
      <w:r w:rsidR="006F5BB1" w:rsidRPr="006F5BB1">
        <w:t>and the associated resource implicatio</w:t>
      </w:r>
      <w:r w:rsidR="004537FF">
        <w:t xml:space="preserve">ns – </w:t>
      </w:r>
      <w:r w:rsidR="006F5BB1" w:rsidRPr="006F5BB1">
        <w:t>may differ across providers and jurisdictions.</w:t>
      </w:r>
    </w:p>
    <w:p w14:paraId="2E4D318D" w14:textId="1E8E77AA" w:rsidR="005E13A9" w:rsidRDefault="003844C9" w:rsidP="00AD702F">
      <w:r>
        <w:t>The procedure can be delivered through</w:t>
      </w:r>
      <w:r w:rsidR="00AD702F">
        <w:t xml:space="preserve"> a range of workforce models. TCD bubble </w:t>
      </w:r>
      <w:r w:rsidR="00051A69">
        <w:t>tests</w:t>
      </w:r>
      <w:r w:rsidR="00AD702F">
        <w:t xml:space="preserve"> may be performed by appropriately trained health professionals</w:t>
      </w:r>
      <w:r w:rsidR="00051A69">
        <w:t>,</w:t>
      </w:r>
      <w:r w:rsidR="00AD702F">
        <w:t xml:space="preserve"> </w:t>
      </w:r>
      <w:r w:rsidR="00E55E0B" w:rsidRPr="00E55E0B">
        <w:t>including radiologists, neurologists, cardiologists, fellows, registrars, nurse practitioners, sonographers, vascular scientists, and other allied health practitioners, in accordance with local governance arrangements, scop</w:t>
      </w:r>
      <w:r w:rsidR="00E55E0B">
        <w:t>e-</w:t>
      </w:r>
      <w:r w:rsidR="00E55E0B" w:rsidRPr="00E55E0B">
        <w:t>o</w:t>
      </w:r>
      <w:r w:rsidR="005E13A9">
        <w:t>f-</w:t>
      </w:r>
      <w:r w:rsidR="00E55E0B" w:rsidRPr="00E55E0B">
        <w:t>practice requirements, and appropriate clinical oversight.</w:t>
      </w:r>
    </w:p>
    <w:p w14:paraId="39EACE03" w14:textId="5A917B7D" w:rsidR="008D4A73" w:rsidRDefault="00AD702F" w:rsidP="00AD702F">
      <w:r>
        <w:t xml:space="preserve">However, </w:t>
      </w:r>
      <w:r w:rsidR="008A4130" w:rsidRPr="008A4130">
        <w:t xml:space="preserve">the </w:t>
      </w:r>
      <w:r w:rsidR="00AB53AC">
        <w:t>diagnostic performance</w:t>
      </w:r>
      <w:r w:rsidR="00CE3895">
        <w:t xml:space="preserve"> of</w:t>
      </w:r>
      <w:r>
        <w:t xml:space="preserve"> </w:t>
      </w:r>
      <w:r w:rsidR="008A4130" w:rsidRPr="008A4130">
        <w:t>the procedure is operator dependent, and reliable acquisition and interpretation of embolic signals require</w:t>
      </w:r>
      <w:r w:rsidR="005E13A9">
        <w:t xml:space="preserve">s demonstrated </w:t>
      </w:r>
      <w:r w:rsidR="008A4130" w:rsidRPr="008A4130">
        <w:t xml:space="preserve">competency in probe positioning, optimisation of Doppler signals, preparation and administration of agitated saline contrast, and </w:t>
      </w:r>
      <w:r w:rsidR="005E13A9">
        <w:t xml:space="preserve">the </w:t>
      </w:r>
      <w:r w:rsidR="008A4130" w:rsidRPr="008A4130">
        <w:t xml:space="preserve">execution of provocative manoeuvres. </w:t>
      </w:r>
    </w:p>
    <w:p w14:paraId="317702A3" w14:textId="77777777" w:rsidR="00444227" w:rsidRDefault="00A87DBB" w:rsidP="00AD702F">
      <w:r w:rsidRPr="00A87DBB">
        <w:t xml:space="preserve">In practice, </w:t>
      </w:r>
      <w:r w:rsidR="00B75A4E">
        <w:t>successful</w:t>
      </w:r>
      <w:r w:rsidRPr="00A87DBB">
        <w:t xml:space="preserve"> implementation is </w:t>
      </w:r>
      <w:r w:rsidR="005E13A9">
        <w:t xml:space="preserve">most </w:t>
      </w:r>
      <w:r w:rsidR="00B75A4E">
        <w:t xml:space="preserve">likely </w:t>
      </w:r>
      <w:r w:rsidRPr="00A87DBB">
        <w:t xml:space="preserve">in appropriately equipped clinical settings with </w:t>
      </w:r>
      <w:r w:rsidR="00D83773">
        <w:t xml:space="preserve">access to </w:t>
      </w:r>
      <w:r w:rsidRPr="00A87DBB">
        <w:t xml:space="preserve">suitable ultrasound systems and transducers, trained personnel, and </w:t>
      </w:r>
      <w:r w:rsidR="00D83773">
        <w:t xml:space="preserve">appropriate </w:t>
      </w:r>
      <w:r w:rsidRPr="00A87DBB">
        <w:t xml:space="preserve">clinical </w:t>
      </w:r>
      <w:r w:rsidR="00304325">
        <w:t>governance</w:t>
      </w:r>
      <w:r w:rsidRPr="00A87DBB">
        <w:t xml:space="preserve">. </w:t>
      </w:r>
      <w:r w:rsidR="006B6602" w:rsidRPr="006B6602">
        <w:t xml:space="preserve">Accordingly, irrespective of the funding pathway used, providers delivering TCD bubble </w:t>
      </w:r>
      <w:r w:rsidR="00304325">
        <w:t>tests</w:t>
      </w:r>
      <w:r w:rsidR="006B6602" w:rsidRPr="006B6602">
        <w:t xml:space="preserve"> should ensure that practitioners have appropriate training and experience, that equipment </w:t>
      </w:r>
      <w:r w:rsidR="00AC3F59">
        <w:t>complies with</w:t>
      </w:r>
      <w:r w:rsidR="006B6602" w:rsidRPr="006B6602">
        <w:t xml:space="preserve"> relevant regulatory and safety </w:t>
      </w:r>
      <w:r w:rsidR="00AC3F59">
        <w:t>requirements</w:t>
      </w:r>
      <w:r w:rsidR="006B6602" w:rsidRPr="006B6602">
        <w:t xml:space="preserve">, and that systems are in place to support ongoing competency, supervision, and quality assurance. </w:t>
      </w:r>
    </w:p>
    <w:p w14:paraId="2029D6E2" w14:textId="35963969" w:rsidR="003E6E21" w:rsidRDefault="006B6602" w:rsidP="00AD702F">
      <w:r w:rsidRPr="006B6602">
        <w:t xml:space="preserve">Introduction of TCD bubble testing in centres without existing </w:t>
      </w:r>
      <w:r w:rsidR="00EC4B00">
        <w:t xml:space="preserve">expertise in </w:t>
      </w:r>
      <w:r w:rsidR="00ED17DD">
        <w:t>TCD techniques</w:t>
      </w:r>
      <w:r w:rsidRPr="006B6602">
        <w:t xml:space="preserve"> may therefore require additional investment in workforce training</w:t>
      </w:r>
      <w:r w:rsidR="00ED17DD">
        <w:t xml:space="preserve">, as well as </w:t>
      </w:r>
      <w:r w:rsidR="00D632AC">
        <w:t xml:space="preserve">the establishment of local </w:t>
      </w:r>
      <w:r w:rsidRPr="006B6602">
        <w:t xml:space="preserve">clinical governance </w:t>
      </w:r>
      <w:r w:rsidR="00D632AC">
        <w:t xml:space="preserve">and quality assurance </w:t>
      </w:r>
      <w:r w:rsidR="00D67A55">
        <w:t>processes</w:t>
      </w:r>
      <w:r w:rsidRPr="006B6602">
        <w:t xml:space="preserve"> to support diagnostic </w:t>
      </w:r>
      <w:r w:rsidR="00CF1874">
        <w:t>accuracy, consistency</w:t>
      </w:r>
      <w:r w:rsidR="00E97762">
        <w:t xml:space="preserve"> and</w:t>
      </w:r>
      <w:r w:rsidRPr="006B6602">
        <w:t xml:space="preserve"> reproducibilit</w:t>
      </w:r>
      <w:r w:rsidR="00E97762">
        <w:t>y</w:t>
      </w:r>
      <w:r w:rsidRPr="006B6602">
        <w:t>.</w:t>
      </w:r>
    </w:p>
    <w:p w14:paraId="27802A6C" w14:textId="66B8AA41" w:rsidR="00CB213D" w:rsidRDefault="00C32347" w:rsidP="00AD702F">
      <w:r w:rsidRPr="00C32347">
        <w:t xml:space="preserve">The Austin Hospital Stroke Unit </w:t>
      </w:r>
      <w:r w:rsidR="00D338FA">
        <w:t>offers</w:t>
      </w:r>
      <w:r w:rsidRPr="00C32347">
        <w:t xml:space="preserve"> annual </w:t>
      </w:r>
      <w:r w:rsidR="005E13A9">
        <w:t>2-</w:t>
      </w:r>
      <w:r w:rsidRPr="00C32347">
        <w:t xml:space="preserve">day training workshops for centres </w:t>
      </w:r>
      <w:r w:rsidR="00D338FA">
        <w:t>planning</w:t>
      </w:r>
      <w:r w:rsidRPr="00C32347">
        <w:t xml:space="preserve"> to implement TCD bubble testing.</w:t>
      </w:r>
      <w:r>
        <w:t xml:space="preserve"> These workshops are </w:t>
      </w:r>
      <w:r w:rsidR="00D338FA">
        <w:t>tailored</w:t>
      </w:r>
      <w:r>
        <w:t xml:space="preserve"> for sonographers, stroke clinic</w:t>
      </w:r>
      <w:r w:rsidR="002B2F7E">
        <w:t>ians and nurse practitioners</w:t>
      </w:r>
      <w:r w:rsidR="005D1EAB">
        <w:t xml:space="preserve">, </w:t>
      </w:r>
      <w:r w:rsidR="005D1EAB" w:rsidRPr="005D1EAB">
        <w:t>and support the development of practical skills and service capability</w:t>
      </w:r>
      <w:r w:rsidR="002B2F7E">
        <w:t>.</w:t>
      </w:r>
    </w:p>
    <w:p w14:paraId="0BA03C37" w14:textId="60CCDF51" w:rsidR="00743F07" w:rsidRPr="000849E1" w:rsidRDefault="00743F07" w:rsidP="00AD702F">
      <w:r w:rsidRPr="007C1CAF">
        <w:rPr>
          <w:rFonts w:asciiTheme="minorHAnsi" w:hAnsiTheme="minorHAnsi" w:cstheme="minorHAnsi"/>
          <w:i/>
          <w:iCs/>
        </w:rPr>
        <w:t>PASC noted the importance of appropriate training and credentialling to support the provision of TCD bubble testing</w:t>
      </w:r>
      <w:r>
        <w:rPr>
          <w:rFonts w:asciiTheme="minorHAnsi" w:hAnsiTheme="minorHAnsi" w:cstheme="minorHAnsi"/>
          <w:i/>
          <w:iCs/>
        </w:rPr>
        <w:t>. PASC noted that bubble testing performed</w:t>
      </w:r>
      <w:r w:rsidRPr="00A45978">
        <w:rPr>
          <w:rFonts w:asciiTheme="minorHAnsi" w:hAnsiTheme="minorHAnsi" w:cstheme="minorHAnsi"/>
          <w:i/>
          <w:iCs/>
        </w:rPr>
        <w:t xml:space="preserve"> </w:t>
      </w:r>
      <w:r>
        <w:rPr>
          <w:rFonts w:asciiTheme="minorHAnsi" w:hAnsiTheme="minorHAnsi" w:cstheme="minorHAnsi"/>
          <w:i/>
          <w:iCs/>
        </w:rPr>
        <w:t>using conventional TCD systems requires acquisition of</w:t>
      </w:r>
      <w:r w:rsidRPr="00A45978">
        <w:rPr>
          <w:rFonts w:asciiTheme="minorHAnsi" w:hAnsiTheme="minorHAnsi" w:cstheme="minorHAnsi"/>
          <w:i/>
          <w:iCs/>
        </w:rPr>
        <w:t xml:space="preserve"> Doppler signal</w:t>
      </w:r>
      <w:r>
        <w:rPr>
          <w:rFonts w:asciiTheme="minorHAnsi" w:hAnsiTheme="minorHAnsi" w:cstheme="minorHAnsi"/>
          <w:i/>
          <w:iCs/>
        </w:rPr>
        <w:t>s</w:t>
      </w:r>
      <w:r w:rsidRPr="00A45978">
        <w:rPr>
          <w:rFonts w:asciiTheme="minorHAnsi" w:hAnsiTheme="minorHAnsi" w:cstheme="minorHAnsi"/>
          <w:i/>
          <w:iCs/>
        </w:rPr>
        <w:t xml:space="preserve"> without direct visualisation of the target intracranial artery and therefore </w:t>
      </w:r>
      <w:r>
        <w:rPr>
          <w:rFonts w:asciiTheme="minorHAnsi" w:hAnsiTheme="minorHAnsi" w:cstheme="minorHAnsi"/>
          <w:i/>
          <w:iCs/>
        </w:rPr>
        <w:t xml:space="preserve">may </w:t>
      </w:r>
      <w:r w:rsidRPr="00A45978">
        <w:rPr>
          <w:rFonts w:asciiTheme="minorHAnsi" w:hAnsiTheme="minorHAnsi" w:cstheme="minorHAnsi"/>
          <w:i/>
          <w:iCs/>
        </w:rPr>
        <w:t>require greater operator experience and expertise</w:t>
      </w:r>
      <w:r>
        <w:rPr>
          <w:rFonts w:asciiTheme="minorHAnsi" w:hAnsiTheme="minorHAnsi" w:cstheme="minorHAnsi"/>
          <w:i/>
          <w:iCs/>
        </w:rPr>
        <w:t xml:space="preserve"> than TCCD</w:t>
      </w:r>
      <w:r w:rsidRPr="00A45978">
        <w:rPr>
          <w:rFonts w:asciiTheme="minorHAnsi" w:hAnsiTheme="minorHAnsi" w:cstheme="minorHAnsi"/>
          <w:i/>
          <w:iCs/>
        </w:rPr>
        <w:t>.</w:t>
      </w:r>
      <w:r w:rsidRPr="007C1CAF">
        <w:rPr>
          <w:rFonts w:asciiTheme="minorHAnsi" w:hAnsiTheme="minorHAnsi" w:cstheme="minorHAnsi"/>
          <w:i/>
          <w:iCs/>
        </w:rPr>
        <w:t xml:space="preserve"> </w:t>
      </w:r>
      <w:r>
        <w:rPr>
          <w:rFonts w:asciiTheme="minorHAnsi" w:hAnsiTheme="minorHAnsi" w:cstheme="minorHAnsi"/>
          <w:i/>
          <w:iCs/>
        </w:rPr>
        <w:t>PASC further</w:t>
      </w:r>
      <w:r w:rsidRPr="007C1CAF">
        <w:rPr>
          <w:rFonts w:asciiTheme="minorHAnsi" w:hAnsiTheme="minorHAnsi" w:cstheme="minorHAnsi"/>
          <w:i/>
          <w:iCs/>
        </w:rPr>
        <w:t xml:space="preserve"> noted the applicant's advice that the centres currently providing </w:t>
      </w:r>
      <w:r>
        <w:rPr>
          <w:rFonts w:asciiTheme="minorHAnsi" w:hAnsiTheme="minorHAnsi" w:cstheme="minorHAnsi"/>
          <w:i/>
          <w:iCs/>
        </w:rPr>
        <w:t>TCD bubble testing</w:t>
      </w:r>
      <w:r w:rsidRPr="007C1CAF">
        <w:rPr>
          <w:rFonts w:asciiTheme="minorHAnsi" w:hAnsiTheme="minorHAnsi" w:cstheme="minorHAnsi"/>
          <w:i/>
          <w:iCs/>
        </w:rPr>
        <w:t xml:space="preserve"> service</w:t>
      </w:r>
      <w:r>
        <w:rPr>
          <w:rFonts w:asciiTheme="minorHAnsi" w:hAnsiTheme="minorHAnsi" w:cstheme="minorHAnsi"/>
          <w:i/>
          <w:iCs/>
        </w:rPr>
        <w:t>s</w:t>
      </w:r>
      <w:r w:rsidRPr="007C1CAF">
        <w:rPr>
          <w:rFonts w:asciiTheme="minorHAnsi" w:hAnsiTheme="minorHAnsi" w:cstheme="minorHAnsi"/>
          <w:i/>
          <w:iCs/>
        </w:rPr>
        <w:t xml:space="preserve"> meet </w:t>
      </w:r>
      <w:r>
        <w:rPr>
          <w:rFonts w:asciiTheme="minorHAnsi" w:hAnsiTheme="minorHAnsi" w:cstheme="minorHAnsi"/>
          <w:i/>
          <w:iCs/>
        </w:rPr>
        <w:t xml:space="preserve">DIAS </w:t>
      </w:r>
      <w:r w:rsidRPr="007C1CAF">
        <w:rPr>
          <w:rFonts w:asciiTheme="minorHAnsi" w:hAnsiTheme="minorHAnsi" w:cstheme="minorHAnsi"/>
          <w:i/>
          <w:iCs/>
        </w:rPr>
        <w:t>requirements</w:t>
      </w:r>
      <w:r>
        <w:rPr>
          <w:rFonts w:asciiTheme="minorHAnsi" w:hAnsiTheme="minorHAnsi" w:cstheme="minorHAnsi"/>
          <w:i/>
          <w:iCs/>
        </w:rPr>
        <w:t xml:space="preserve">, </w:t>
      </w:r>
      <w:r w:rsidRPr="00805ABC">
        <w:rPr>
          <w:rFonts w:asciiTheme="minorHAnsi" w:hAnsiTheme="minorHAnsi" w:cstheme="minorHAnsi"/>
          <w:i/>
          <w:iCs/>
        </w:rPr>
        <w:t>and that all TCD and TCCD bubble testing services should reasonably be expected to comply with DIAS standards and requirements</w:t>
      </w:r>
      <w:r w:rsidRPr="007C1CAF">
        <w:rPr>
          <w:rFonts w:asciiTheme="minorHAnsi" w:hAnsiTheme="minorHAnsi" w:cstheme="minorHAnsi"/>
          <w:i/>
          <w:iCs/>
        </w:rPr>
        <w:t>.</w:t>
      </w:r>
    </w:p>
    <w:p w14:paraId="617830EF" w14:textId="583226DA" w:rsidR="00473C49" w:rsidRDefault="00225104" w:rsidP="00163319">
      <w:pPr>
        <w:pStyle w:val="Heading4"/>
      </w:pPr>
      <w:r>
        <w:t>Barriers to</w:t>
      </w:r>
      <w:r w:rsidR="00473C49">
        <w:t xml:space="preserve"> uptake</w:t>
      </w:r>
    </w:p>
    <w:p w14:paraId="253995AB" w14:textId="1DFE47B2" w:rsidR="0065402C" w:rsidRDefault="0002043D" w:rsidP="00473C49">
      <w:r w:rsidRPr="0002043D">
        <w:t xml:space="preserve">Key barriers to uptake include limited </w:t>
      </w:r>
      <w:r w:rsidR="00D30638">
        <w:t xml:space="preserve">access to TCD-capable </w:t>
      </w:r>
      <w:r w:rsidRPr="0002043D">
        <w:t xml:space="preserve">equipment and trained operators, particularly outside </w:t>
      </w:r>
      <w:r w:rsidR="00D30638">
        <w:t xml:space="preserve">major </w:t>
      </w:r>
      <w:r w:rsidRPr="0002043D">
        <w:t>tertiary centres</w:t>
      </w:r>
      <w:r w:rsidR="00D30638">
        <w:t>.</w:t>
      </w:r>
      <w:r w:rsidRPr="0002043D">
        <w:t xml:space="preserve"> </w:t>
      </w:r>
      <w:r w:rsidR="0019173E">
        <w:t>As</w:t>
      </w:r>
      <w:r w:rsidR="004B0539">
        <w:t xml:space="preserve"> the</w:t>
      </w:r>
      <w:r w:rsidR="00D30638">
        <w:t xml:space="preserve"> technique is</w:t>
      </w:r>
      <w:r w:rsidRPr="0002043D">
        <w:t xml:space="preserve"> operator-dependent, </w:t>
      </w:r>
      <w:r w:rsidR="0019173E">
        <w:t>variation in practitioner experience and competency</w:t>
      </w:r>
      <w:r w:rsidRPr="0002043D">
        <w:t xml:space="preserve"> may affect </w:t>
      </w:r>
      <w:r w:rsidR="0014294D">
        <w:t>the</w:t>
      </w:r>
      <w:r w:rsidR="0014294D" w:rsidRPr="0002043D">
        <w:t xml:space="preserve"> </w:t>
      </w:r>
      <w:r w:rsidRPr="0002043D">
        <w:t>consistency</w:t>
      </w:r>
      <w:r w:rsidR="0065402C">
        <w:t xml:space="preserve"> and </w:t>
      </w:r>
      <w:r w:rsidR="0014294D">
        <w:t xml:space="preserve">reproducibility of results and </w:t>
      </w:r>
      <w:r w:rsidR="0065402C">
        <w:t>limit scalability in settings without established expertise</w:t>
      </w:r>
      <w:r w:rsidRPr="0002043D">
        <w:t xml:space="preserve">. </w:t>
      </w:r>
    </w:p>
    <w:p w14:paraId="3E4D7B6E" w14:textId="0DC4755E" w:rsidR="0052237A" w:rsidRDefault="00527DBD" w:rsidP="00473C49">
      <w:r>
        <w:t>Additional barriers include</w:t>
      </w:r>
      <w:r w:rsidR="0002043D" w:rsidRPr="0002043D">
        <w:t xml:space="preserve"> infrastructure and accreditation requirements</w:t>
      </w:r>
      <w:r w:rsidR="00F2371E">
        <w:t xml:space="preserve"> where services are delivered under diagnostic imaging frameworks</w:t>
      </w:r>
      <w:r w:rsidR="0002043D" w:rsidRPr="0002043D">
        <w:t xml:space="preserve">, as well as </w:t>
      </w:r>
      <w:r w:rsidR="00EE04B2">
        <w:t>entrenched</w:t>
      </w:r>
      <w:r w:rsidR="0002043D" w:rsidRPr="0002043D">
        <w:t xml:space="preserve"> reliance on </w:t>
      </w:r>
      <w:r w:rsidR="00EE04B2">
        <w:t xml:space="preserve">existing </w:t>
      </w:r>
      <w:r w:rsidR="0002043D" w:rsidRPr="0002043D">
        <w:t>echocardiographic pathways (TTE</w:t>
      </w:r>
      <w:r w:rsidR="00EE04B2">
        <w:t xml:space="preserve"> and </w:t>
      </w:r>
      <w:r w:rsidR="0002043D" w:rsidRPr="0002043D">
        <w:t>TOE) and clinician familiarity with these modalities.</w:t>
      </w:r>
    </w:p>
    <w:p w14:paraId="7319E75B" w14:textId="1546F4CD" w:rsidR="00B76D1F" w:rsidRDefault="0052237A" w:rsidP="00A0320A">
      <w:r>
        <w:lastRenderedPageBreak/>
        <w:t xml:space="preserve">As a result, </w:t>
      </w:r>
      <w:r w:rsidR="0002043D" w:rsidRPr="0002043D">
        <w:t xml:space="preserve">potential benefits </w:t>
      </w:r>
      <w:r>
        <w:t xml:space="preserve">of </w:t>
      </w:r>
      <w:r w:rsidRPr="0002043D">
        <w:t>TCD bubble testing</w:t>
      </w:r>
      <w:r>
        <w:t>,</w:t>
      </w:r>
      <w:r w:rsidRPr="0002043D">
        <w:t xml:space="preserve"> </w:t>
      </w:r>
      <w:r w:rsidR="0002043D" w:rsidRPr="0002043D">
        <w:t xml:space="preserve">such as reduced time to diagnosis </w:t>
      </w:r>
      <w:r w:rsidR="002014CE">
        <w:t xml:space="preserve">of a </w:t>
      </w:r>
      <w:r w:rsidR="00A46B01">
        <w:t>cau</w:t>
      </w:r>
      <w:r w:rsidR="00A55EFA">
        <w:t>s</w:t>
      </w:r>
      <w:r w:rsidR="00A46B01">
        <w:t>ally related</w:t>
      </w:r>
      <w:r w:rsidR="002014CE">
        <w:t xml:space="preserve"> PFO </w:t>
      </w:r>
      <w:r w:rsidR="00AC7859">
        <w:t xml:space="preserve">and decreased use of invasive investigations, </w:t>
      </w:r>
      <w:r w:rsidR="0002043D" w:rsidRPr="0002043D">
        <w:t xml:space="preserve">may not be realised </w:t>
      </w:r>
      <w:r w:rsidR="00AC7859">
        <w:t xml:space="preserve">in practice </w:t>
      </w:r>
      <w:r w:rsidR="0002043D" w:rsidRPr="0002043D">
        <w:t xml:space="preserve">where access remains limited </w:t>
      </w:r>
      <w:r w:rsidR="002569B9">
        <w:t>or unevenly distributed</w:t>
      </w:r>
      <w:r w:rsidR="0002043D" w:rsidRPr="0002043D">
        <w:t>.</w:t>
      </w:r>
    </w:p>
    <w:p w14:paraId="665B0675" w14:textId="46713553" w:rsidR="007A66C8" w:rsidRDefault="007A66C8" w:rsidP="00A241D9">
      <w:pPr>
        <w:pStyle w:val="Heading3"/>
      </w:pPr>
      <w:r w:rsidRPr="00F709AD">
        <w:t>Comparator</w:t>
      </w:r>
    </w:p>
    <w:p w14:paraId="0FD92B26" w14:textId="4717922C" w:rsidR="003C0E82" w:rsidRDefault="003C0E82" w:rsidP="003C0E82">
      <w:r>
        <w:t>The nominated comparator is TTE with bubble contrast, also referred to as contras</w:t>
      </w:r>
      <w:r w:rsidR="004A1A89">
        <w:t>t-</w:t>
      </w:r>
      <w:r>
        <w:t>enhanced TTE (</w:t>
      </w:r>
      <w:r w:rsidR="0099181E">
        <w:t>c-</w:t>
      </w:r>
      <w:r>
        <w:t>TTE) or bubble TTE. This is a no</w:t>
      </w:r>
      <w:r w:rsidR="0099181E">
        <w:t>n-</w:t>
      </w:r>
      <w:r>
        <w:t>invasive cardiac ultrasound imaging test that uses agitated saline contrast to detect righ</w:t>
      </w:r>
      <w:r w:rsidR="00E223FF">
        <w:t>t-</w:t>
      </w:r>
      <w:r>
        <w:t>t</w:t>
      </w:r>
      <w:r w:rsidR="00E223FF">
        <w:t>o-</w:t>
      </w:r>
      <w:r>
        <w:t>left shunting and is widely used in clinical practice.</w:t>
      </w:r>
    </w:p>
    <w:p w14:paraId="1958FE24" w14:textId="70805517" w:rsidR="003C0E82" w:rsidRDefault="003C0E82" w:rsidP="003C0E82">
      <w:r>
        <w:t>TTE with bubble contrast represents an appropriate comparator, as it is commonly used as a firs</w:t>
      </w:r>
      <w:r w:rsidR="0099181E">
        <w:t>t-</w:t>
      </w:r>
      <w:r>
        <w:t>line, no</w:t>
      </w:r>
      <w:r w:rsidR="0099181E">
        <w:t>n-</w:t>
      </w:r>
      <w:r>
        <w:t>invasive investigation for detecting righ</w:t>
      </w:r>
      <w:r w:rsidR="00E223FF">
        <w:t>t-</w:t>
      </w:r>
      <w:r>
        <w:t>t</w:t>
      </w:r>
      <w:r w:rsidR="00E223FF">
        <w:t>o-</w:t>
      </w:r>
      <w:r>
        <w:t>left shunt in patients with suspected PFO. Similar to the TCD bubble test, it functions as a triage test within the diagnostic pathway, identifying patients who require confirmatory imaging with TOE. The comparison between TCD and TTE therefore reflects alternative triage strategies for selecting patients for further investigation.</w:t>
      </w:r>
    </w:p>
    <w:p w14:paraId="061A5A70" w14:textId="1F18019E" w:rsidR="003C0E82" w:rsidRPr="008F6A9A" w:rsidRDefault="003C0E82" w:rsidP="008F6A9A">
      <w:r>
        <w:t>In practice, TTE is more commonly used by cardiologists, whereas TCD is typically used by neurologists, reflecting differences in clinical pathways, local expertise, and service availability (Van der Giessen et</w:t>
      </w:r>
      <w:r w:rsidR="009B7007">
        <w:t xml:space="preserve"> </w:t>
      </w:r>
      <w:r>
        <w:t xml:space="preserve">al. 2020). </w:t>
      </w:r>
      <w:r w:rsidR="009317E9">
        <w:t xml:space="preserve">In the Australian setting, patients with cryptogenic stroke are typically managed by </w:t>
      </w:r>
      <w:r w:rsidR="30AC06E5">
        <w:t>a</w:t>
      </w:r>
      <w:r w:rsidR="009317E9">
        <w:t xml:space="preserve"> neurologist </w:t>
      </w:r>
      <w:r w:rsidR="46DC1876">
        <w:t xml:space="preserve">with a subspecialisation in stroke </w:t>
      </w:r>
      <w:r w:rsidR="00BD5FE5">
        <w:t>where</w:t>
      </w:r>
      <w:r w:rsidR="006077D3">
        <w:t xml:space="preserve"> available</w:t>
      </w:r>
      <w:r w:rsidR="009578CF">
        <w:t>;</w:t>
      </w:r>
      <w:r w:rsidR="006077D3">
        <w:t xml:space="preserve"> </w:t>
      </w:r>
      <w:r w:rsidR="009578CF">
        <w:t xml:space="preserve">in regional and rural settings, care may be provided </w:t>
      </w:r>
      <w:r w:rsidR="006077D3">
        <w:t>by general physicians</w:t>
      </w:r>
      <w:r w:rsidR="00770A67">
        <w:t xml:space="preserve"> supported by telemedicine stroke consultation services</w:t>
      </w:r>
      <w:r w:rsidR="00C4284A">
        <w:t>.</w:t>
      </w:r>
      <w:r w:rsidR="006077D3">
        <w:t xml:space="preserve"> </w:t>
      </w:r>
      <w:r w:rsidR="00C4284A">
        <w:t xml:space="preserve">Patients may be </w:t>
      </w:r>
      <w:r w:rsidR="009317E9">
        <w:t>referred for TCD bubble testing where available</w:t>
      </w:r>
      <w:r w:rsidR="69BE5C9D">
        <w:t xml:space="preserve">. </w:t>
      </w:r>
      <w:r w:rsidR="0A671901">
        <w:t>W</w:t>
      </w:r>
      <w:r w:rsidR="009317E9">
        <w:t xml:space="preserve">here </w:t>
      </w:r>
      <w:r w:rsidR="00E77067">
        <w:t xml:space="preserve">TCD bubble testing services are not available, patients may </w:t>
      </w:r>
      <w:r w:rsidR="6545AE39">
        <w:t>be referred to a cardiologist to</w:t>
      </w:r>
      <w:r w:rsidR="00DF17E3">
        <w:t xml:space="preserve"> </w:t>
      </w:r>
      <w:r w:rsidR="00E77067">
        <w:t xml:space="preserve">undergo </w:t>
      </w:r>
      <w:r w:rsidR="7B512ABB">
        <w:t xml:space="preserve">a </w:t>
      </w:r>
      <w:r w:rsidR="00E77067">
        <w:t>TTE</w:t>
      </w:r>
      <w:r w:rsidR="00926089">
        <w:t xml:space="preserve"> with bubble contrast</w:t>
      </w:r>
      <w:r w:rsidR="00E77067">
        <w:t xml:space="preserve">. </w:t>
      </w:r>
      <w:r>
        <w:t xml:space="preserve">The proposed </w:t>
      </w:r>
      <w:r w:rsidR="00096068">
        <w:t>test</w:t>
      </w:r>
      <w:r>
        <w:t xml:space="preserve"> would partially replace TTE with bubble </w:t>
      </w:r>
      <w:r w:rsidR="00A21BEF">
        <w:t>contrast</w:t>
      </w:r>
      <w:r>
        <w:t xml:space="preserve"> in settings where TCD is available and technically feasible (i.e. where an adequate temporal acoustic window is present).</w:t>
      </w:r>
    </w:p>
    <w:p w14:paraId="3C0C265F" w14:textId="4655D8DE" w:rsidR="003C0E82" w:rsidRDefault="003C0E82" w:rsidP="003C0E82">
      <w:r>
        <w:t xml:space="preserve">TTE with bubble contrast involves administration of agitated saline via peripheral </w:t>
      </w:r>
      <w:r w:rsidR="00770E43">
        <w:t>IV</w:t>
      </w:r>
      <w:r>
        <w:t xml:space="preserve"> injection, with imaging performed via a transducer placed on the chest wall to visualise passage of microbubbles through the cardiac chambers. Unlike TCD, which detects </w:t>
      </w:r>
      <w:proofErr w:type="spellStart"/>
      <w:r>
        <w:t>microembolic</w:t>
      </w:r>
      <w:proofErr w:type="spellEnd"/>
      <w:r>
        <w:t xml:space="preserve"> signals in the cerebral circulation, TTE provides direct visualisation of intracardiac flow. However, it has limited sensitivity for detecting small shunts and may have difficulty distinguishing between PFO, atrial septal defect, and extracardiac shunts due to relatively poor visualisation of the interatrial septum (Mahmoud et al. 2017).</w:t>
      </w:r>
    </w:p>
    <w:p w14:paraId="4245446B" w14:textId="2FFC3E06" w:rsidR="004A29B2" w:rsidRDefault="003C0E82" w:rsidP="002F148E">
      <w:r>
        <w:t xml:space="preserve">TTE with bubble </w:t>
      </w:r>
      <w:r w:rsidR="00A21BEF">
        <w:t>contrast</w:t>
      </w:r>
      <w:r>
        <w:t xml:space="preserve"> also relies on performance of a Valsalva manoeuvre to provoke righ</w:t>
      </w:r>
      <w:r w:rsidR="00E223FF">
        <w:t>t-</w:t>
      </w:r>
      <w:r>
        <w:t>t</w:t>
      </w:r>
      <w:r w:rsidR="00E223FF">
        <w:t>o-</w:t>
      </w:r>
      <w:r>
        <w:t xml:space="preserve">left shunting. </w:t>
      </w:r>
      <w:r w:rsidR="00FE1C36">
        <w:t>In practice, t</w:t>
      </w:r>
      <w:r>
        <w:t xml:space="preserve">his may be suboptimal, particularly as patients are typically positioned in the left lateral position during examination, </w:t>
      </w:r>
      <w:r w:rsidR="004D4847">
        <w:t xml:space="preserve">which may reduce the effectiveness of the manoeuvre, </w:t>
      </w:r>
      <w:r>
        <w:t xml:space="preserve">potentially </w:t>
      </w:r>
      <w:r w:rsidR="004D4847">
        <w:t>decreas</w:t>
      </w:r>
      <w:r>
        <w:t>ing test sensitivity and contributing to false</w:t>
      </w:r>
      <w:r w:rsidR="00EC4106">
        <w:t>-</w:t>
      </w:r>
      <w:r>
        <w:t>negative results.</w:t>
      </w:r>
    </w:p>
    <w:p w14:paraId="243601DD" w14:textId="2A4508A5" w:rsidR="007B4E3B" w:rsidRDefault="003C0E82" w:rsidP="00661E2D">
      <w:r>
        <w:t xml:space="preserve">TTE is funded under existing MBS </w:t>
      </w:r>
      <w:r w:rsidRPr="000613E1">
        <w:t>echocardiography items</w:t>
      </w:r>
      <w:r w:rsidR="008F1BD6">
        <w:t xml:space="preserve"> </w:t>
      </w:r>
      <w:hyperlink r:id="rId15" w:history="1">
        <w:r w:rsidR="008F1BD6" w:rsidRPr="001F05F9">
          <w:rPr>
            <w:rStyle w:val="Hyperlink"/>
            <w:rFonts w:ascii="Calibri" w:hAnsi="Calibri"/>
          </w:rPr>
          <w:t>55126</w:t>
        </w:r>
      </w:hyperlink>
      <w:r w:rsidR="008F1BD6">
        <w:t xml:space="preserve"> and </w:t>
      </w:r>
      <w:hyperlink r:id="rId16" w:history="1">
        <w:r w:rsidR="008F1BD6" w:rsidRPr="00055F8B">
          <w:rPr>
            <w:rStyle w:val="Hyperlink"/>
            <w:rFonts w:ascii="Calibri" w:hAnsi="Calibri"/>
          </w:rPr>
          <w:t>55129</w:t>
        </w:r>
      </w:hyperlink>
      <w:r w:rsidR="003B4546" w:rsidRPr="000613E1">
        <w:t xml:space="preserve"> </w:t>
      </w:r>
      <w:r w:rsidR="00C22B08">
        <w:t>(</w:t>
      </w:r>
      <w:r w:rsidR="003B4546" w:rsidRPr="000613E1">
        <w:fldChar w:fldCharType="begin"/>
      </w:r>
      <w:r w:rsidR="003B4546" w:rsidRPr="000613E1">
        <w:instrText xml:space="preserve"> REF _Ref231295950 \h </w:instrText>
      </w:r>
      <w:r w:rsidR="000613E1">
        <w:instrText xml:space="preserve"> \* MERGEFORMAT </w:instrText>
      </w:r>
      <w:r w:rsidR="003B4546" w:rsidRPr="000613E1">
        <w:fldChar w:fldCharType="separate"/>
      </w:r>
      <w:r w:rsidR="000D54C3">
        <w:t xml:space="preserve">Box </w:t>
      </w:r>
      <w:r w:rsidR="000D54C3">
        <w:rPr>
          <w:noProof/>
        </w:rPr>
        <w:t>2</w:t>
      </w:r>
      <w:r w:rsidR="003B4546" w:rsidRPr="000613E1">
        <w:fldChar w:fldCharType="end"/>
      </w:r>
      <w:r w:rsidR="00C22B08">
        <w:t>)</w:t>
      </w:r>
      <w:r w:rsidR="003B4546" w:rsidRPr="000613E1">
        <w:t xml:space="preserve">. </w:t>
      </w:r>
      <w:r w:rsidR="000613E1" w:rsidRPr="000613E1">
        <w:t xml:space="preserve">There is no dedicated MBS item for the bubble study component, including </w:t>
      </w:r>
      <w:r w:rsidR="00770E43">
        <w:t>IV</w:t>
      </w:r>
      <w:r w:rsidR="000613E1" w:rsidRPr="000613E1">
        <w:t xml:space="preserve"> cannulation, preparation and administration of agitated saline, or additional staff time. These components are generally absorbed within the echocardiography service, and agitated saline is prepared at the point of care without separate reimbursement.</w:t>
      </w:r>
    </w:p>
    <w:p w14:paraId="44D5BC92" w14:textId="5C0FA0DA" w:rsidR="00121C3D" w:rsidRDefault="001C15F4" w:rsidP="00661E2D">
      <w:r>
        <w:lastRenderedPageBreak/>
        <w:t xml:space="preserve">Patient information from </w:t>
      </w:r>
      <w:r w:rsidR="00604221">
        <w:t xml:space="preserve">Australian </w:t>
      </w:r>
      <w:r>
        <w:t>centres</w:t>
      </w:r>
      <w:r w:rsidR="00121C3D">
        <w:t xml:space="preserve"> </w:t>
      </w:r>
      <w:r w:rsidR="00604221">
        <w:t xml:space="preserve">indicates that </w:t>
      </w:r>
      <w:r w:rsidR="00953679">
        <w:t>the</w:t>
      </w:r>
      <w:r w:rsidR="00604221">
        <w:t xml:space="preserve"> </w:t>
      </w:r>
      <w:r w:rsidR="00121C3D">
        <w:t xml:space="preserve">TTE with bubble contrast </w:t>
      </w:r>
      <w:r w:rsidR="00953679">
        <w:t xml:space="preserve">procedure </w:t>
      </w:r>
      <w:r w:rsidR="00121C3D">
        <w:t xml:space="preserve">typically takes </w:t>
      </w:r>
      <w:r w:rsidR="00477ACB">
        <w:t>30</w:t>
      </w:r>
      <w:r w:rsidR="00121C3D">
        <w:t>–</w:t>
      </w:r>
      <w:r w:rsidR="00A6496F">
        <w:t>45</w:t>
      </w:r>
      <w:r w:rsidR="00121C3D">
        <w:t xml:space="preserve"> minutes.</w:t>
      </w:r>
      <w:r w:rsidR="001346B7">
        <w:rPr>
          <w:rStyle w:val="FootnoteReference"/>
        </w:rPr>
        <w:footnoteReference w:id="8"/>
      </w:r>
    </w:p>
    <w:p w14:paraId="6C82506B" w14:textId="02BCE5E9" w:rsidR="00D35202" w:rsidRDefault="00D35202" w:rsidP="00D35202">
      <w:r>
        <w:t>Access to TTE with bubble contrast varies across clinical settings. While it is often readily available in private cardiology practices, wait times may be prolonged in public hospitals (Chambers et</w:t>
      </w:r>
      <w:r w:rsidR="00306FFD">
        <w:t xml:space="preserve"> </w:t>
      </w:r>
      <w:r>
        <w:t xml:space="preserve">al. 2026). In many cases, a standard TTE is initially performed without contrast, necessitating repeat imaging with bubble contrast </w:t>
      </w:r>
      <w:r w:rsidR="00140D67">
        <w:t xml:space="preserve">and potentially delaying </w:t>
      </w:r>
      <w:r w:rsidR="00A85135">
        <w:t xml:space="preserve">the identification </w:t>
      </w:r>
      <w:r w:rsidR="002014CE">
        <w:t xml:space="preserve">of a </w:t>
      </w:r>
      <w:r w:rsidR="00A46B01">
        <w:t>causally related</w:t>
      </w:r>
      <w:r w:rsidR="002014CE">
        <w:t xml:space="preserve"> PFO</w:t>
      </w:r>
      <w:r>
        <w:t xml:space="preserve">. </w:t>
      </w:r>
      <w:r w:rsidR="00FD7B71">
        <w:t>Additionally</w:t>
      </w:r>
      <w:r w:rsidR="004E4752">
        <w:t xml:space="preserve">, </w:t>
      </w:r>
      <w:r w:rsidR="001E630A">
        <w:t xml:space="preserve">TTE </w:t>
      </w:r>
      <w:r w:rsidR="00100C4A">
        <w:t xml:space="preserve">with bubble contrast may not provide sufficient </w:t>
      </w:r>
      <w:r w:rsidR="008B6437">
        <w:t xml:space="preserve">diagnostic certainty to conclusively exclude a PFO in all patients. </w:t>
      </w:r>
      <w:r w:rsidR="007B0556">
        <w:t>As a result</w:t>
      </w:r>
      <w:r w:rsidR="008B6437">
        <w:t xml:space="preserve">, </w:t>
      </w:r>
      <w:r>
        <w:t xml:space="preserve">patients frequently proceed to TOE </w:t>
      </w:r>
      <w:r w:rsidR="007B0556">
        <w:t xml:space="preserve">for confirmation and anatomical </w:t>
      </w:r>
      <w:r w:rsidR="003B572C">
        <w:t xml:space="preserve">characterisation irrespective </w:t>
      </w:r>
      <w:r>
        <w:t>of TTE findings</w:t>
      </w:r>
      <w:r w:rsidR="00B57B51">
        <w:t xml:space="preserve"> </w:t>
      </w:r>
      <w:r>
        <w:t>(Chambers et al. 2026).</w:t>
      </w:r>
    </w:p>
    <w:p w14:paraId="1E6A3BBC" w14:textId="05958849" w:rsidR="00D35202" w:rsidRPr="00D35202" w:rsidRDefault="00D35202" w:rsidP="00661E2D">
      <w:r>
        <w:t>In the public system, the sequential pathway of TTE with bubble contrast, outpatient review, TOE, and follow-up review may result in substantial delays before treatment is initiated. These delays may have clinical implications, including prolonged uncertainty for patients and risk of recurrent events.</w:t>
      </w:r>
      <w:r w:rsidR="001829E2">
        <w:t xml:space="preserve"> </w:t>
      </w:r>
    </w:p>
    <w:p w14:paraId="4BA0CF1F" w14:textId="30595F64" w:rsidR="00443683" w:rsidRDefault="00443683" w:rsidP="00443683">
      <w:pPr>
        <w:pStyle w:val="Caption"/>
      </w:pPr>
      <w:bookmarkStart w:id="5" w:name="_Ref231295950"/>
      <w:r>
        <w:lastRenderedPageBreak/>
        <w:t xml:space="preserve">Box </w:t>
      </w:r>
      <w:r>
        <w:fldChar w:fldCharType="begin"/>
      </w:r>
      <w:r>
        <w:instrText xml:space="preserve"> SEQ Box \* ARABIC </w:instrText>
      </w:r>
      <w:r>
        <w:fldChar w:fldCharType="separate"/>
      </w:r>
      <w:r w:rsidR="000D54C3">
        <w:rPr>
          <w:noProof/>
        </w:rPr>
        <w:t>2</w:t>
      </w:r>
      <w:r>
        <w:fldChar w:fldCharType="end"/>
      </w:r>
      <w:bookmarkEnd w:id="5"/>
      <w:r>
        <w:tab/>
        <w:t xml:space="preserve">MBS items for </w:t>
      </w:r>
      <w:r w:rsidR="00E1468A">
        <w:t>transthoracic echocardiography (</w:t>
      </w:r>
      <w:r w:rsidR="00477761">
        <w:t>TTE</w:t>
      </w:r>
      <w:r w:rsidR="00E1468A">
        <w:t>)</w:t>
      </w:r>
    </w:p>
    <w:tbl>
      <w:tblPr>
        <w:tblStyle w:val="TableGrid"/>
        <w:tblW w:w="5000" w:type="pct"/>
        <w:tblInd w:w="0" w:type="dxa"/>
        <w:tblLook w:val="04A0" w:firstRow="1" w:lastRow="0" w:firstColumn="1" w:lastColumn="0" w:noHBand="0" w:noVBand="1"/>
        <w:tblCaption w:val="MBS items for transthoracic echocardiography (TTE)"/>
        <w:tblDescription w:val="The box presents the descriptors and fees for MBS items 55126 and 55129."/>
      </w:tblPr>
      <w:tblGrid>
        <w:gridCol w:w="9571"/>
      </w:tblGrid>
      <w:tr w:rsidR="00443683" w:rsidRPr="00D2670B" w14:paraId="127B56B8" w14:textId="77777777" w:rsidTr="00125558">
        <w:trPr>
          <w:cantSplit/>
          <w:tblHeader/>
        </w:trPr>
        <w:tc>
          <w:tcPr>
            <w:tcW w:w="5000" w:type="pct"/>
            <w:tcBorders>
              <w:top w:val="single" w:sz="4" w:space="0" w:color="auto"/>
              <w:left w:val="single" w:sz="4" w:space="0" w:color="auto"/>
              <w:bottom w:val="single" w:sz="4" w:space="0" w:color="auto"/>
              <w:right w:val="single" w:sz="4" w:space="0" w:color="auto"/>
            </w:tcBorders>
            <w:hideMark/>
          </w:tcPr>
          <w:p w14:paraId="2CC0B733" w14:textId="77777777" w:rsidR="00443683" w:rsidRDefault="00AF59A3">
            <w:pPr>
              <w:pStyle w:val="TableHeading"/>
              <w:jc w:val="right"/>
            </w:pPr>
            <w:r w:rsidRPr="00DE762F">
              <w:t xml:space="preserve">Category </w:t>
            </w:r>
            <w:r>
              <w:t>5</w:t>
            </w:r>
            <w:r w:rsidRPr="00D2670B">
              <w:t xml:space="preserve"> – </w:t>
            </w:r>
            <w:r>
              <w:t>DIAGNOSTIC IMAGING SERVICES</w:t>
            </w:r>
          </w:p>
          <w:p w14:paraId="7840EF06" w14:textId="77777777" w:rsidR="00125558" w:rsidRDefault="00125558" w:rsidP="00125558">
            <w:pPr>
              <w:spacing w:before="40" w:after="40" w:line="240" w:lineRule="auto"/>
              <w:jc w:val="right"/>
              <w:rPr>
                <w:rFonts w:ascii="Arial Narrow" w:hAnsi="Arial Narrow"/>
                <w:sz w:val="20"/>
                <w:szCs w:val="20"/>
              </w:rPr>
            </w:pPr>
            <w:r w:rsidRPr="000061E5">
              <w:rPr>
                <w:rFonts w:ascii="Arial Narrow" w:hAnsi="Arial Narrow"/>
                <w:sz w:val="20"/>
                <w:szCs w:val="20"/>
              </w:rPr>
              <w:t xml:space="preserve">Group </w:t>
            </w:r>
            <w:r>
              <w:rPr>
                <w:rFonts w:ascii="Arial Narrow" w:hAnsi="Arial Narrow"/>
                <w:sz w:val="20"/>
                <w:szCs w:val="20"/>
              </w:rPr>
              <w:t>I</w:t>
            </w:r>
            <w:r w:rsidRPr="000061E5">
              <w:rPr>
                <w:rFonts w:ascii="Arial Narrow" w:hAnsi="Arial Narrow"/>
                <w:sz w:val="20"/>
                <w:szCs w:val="20"/>
              </w:rPr>
              <w:t xml:space="preserve">1 – </w:t>
            </w:r>
            <w:r>
              <w:rPr>
                <w:rFonts w:ascii="Arial Narrow" w:hAnsi="Arial Narrow"/>
                <w:sz w:val="20"/>
                <w:szCs w:val="20"/>
              </w:rPr>
              <w:t>Ultrasound</w:t>
            </w:r>
          </w:p>
          <w:p w14:paraId="7336A596" w14:textId="12754162" w:rsidR="00125558" w:rsidRPr="00125558" w:rsidRDefault="00125558" w:rsidP="00125558">
            <w:pPr>
              <w:spacing w:after="120" w:line="240" w:lineRule="auto"/>
              <w:jc w:val="right"/>
              <w:rPr>
                <w:rFonts w:ascii="Arial Narrow" w:hAnsi="Arial Narrow"/>
                <w:sz w:val="20"/>
                <w:szCs w:val="20"/>
              </w:rPr>
            </w:pPr>
            <w:r>
              <w:rPr>
                <w:rFonts w:ascii="Arial Narrow" w:hAnsi="Arial Narrow"/>
                <w:sz w:val="20"/>
                <w:szCs w:val="20"/>
              </w:rPr>
              <w:t>Subgroup 7 – Transthoracic Echocardiogram and Stress Echocardiogram</w:t>
            </w:r>
          </w:p>
        </w:tc>
      </w:tr>
      <w:tr w:rsidR="00443683" w:rsidRPr="005771DC" w14:paraId="58790A5C" w14:textId="77777777" w:rsidTr="00125558">
        <w:trPr>
          <w:cantSplit/>
          <w:tblHeader/>
        </w:trPr>
        <w:tc>
          <w:tcPr>
            <w:tcW w:w="5000" w:type="pct"/>
            <w:tcBorders>
              <w:top w:val="single" w:sz="4" w:space="0" w:color="auto"/>
              <w:left w:val="single" w:sz="4" w:space="0" w:color="auto"/>
              <w:bottom w:val="dotted" w:sz="4" w:space="0" w:color="auto"/>
              <w:right w:val="single" w:sz="4" w:space="0" w:color="auto"/>
            </w:tcBorders>
          </w:tcPr>
          <w:p w14:paraId="0D3E1732" w14:textId="3ABDC833" w:rsidR="00443683" w:rsidRDefault="00443683">
            <w:pPr>
              <w:spacing w:before="120" w:after="120" w:line="240" w:lineRule="auto"/>
              <w:rPr>
                <w:rFonts w:ascii="Arial Narrow" w:hAnsi="Arial Narrow"/>
                <w:sz w:val="20"/>
                <w:szCs w:val="20"/>
              </w:rPr>
            </w:pPr>
            <w:r>
              <w:rPr>
                <w:rFonts w:ascii="Arial Narrow" w:hAnsi="Arial Narrow"/>
                <w:sz w:val="20"/>
                <w:szCs w:val="20"/>
              </w:rPr>
              <w:t xml:space="preserve">Item </w:t>
            </w:r>
            <w:r w:rsidR="00AF59A3">
              <w:rPr>
                <w:rFonts w:ascii="Arial Narrow" w:hAnsi="Arial Narrow"/>
                <w:sz w:val="20"/>
                <w:szCs w:val="20"/>
              </w:rPr>
              <w:t>55126</w:t>
            </w:r>
          </w:p>
          <w:p w14:paraId="0D70ACA5" w14:textId="77777777" w:rsidR="00AF59A3" w:rsidRPr="00AF59A3" w:rsidRDefault="00AF59A3" w:rsidP="00AF59A3">
            <w:pPr>
              <w:spacing w:before="120" w:after="120" w:line="240" w:lineRule="auto"/>
              <w:rPr>
                <w:rFonts w:ascii="Arial Narrow" w:hAnsi="Arial Narrow"/>
                <w:sz w:val="20"/>
                <w:szCs w:val="20"/>
              </w:rPr>
            </w:pPr>
            <w:r w:rsidRPr="00AF59A3">
              <w:rPr>
                <w:rFonts w:ascii="Arial Narrow" w:hAnsi="Arial Narrow"/>
                <w:sz w:val="20"/>
                <w:szCs w:val="20"/>
              </w:rPr>
              <w:t>Note: the service only applies if the patient meets the requirements of the descriptor and the requirements of Note: IR.1.2</w:t>
            </w:r>
          </w:p>
          <w:p w14:paraId="17D7AE37" w14:textId="77777777" w:rsidR="00AF59A3" w:rsidRPr="00AF59A3" w:rsidRDefault="00AF59A3" w:rsidP="00AF59A3">
            <w:pPr>
              <w:spacing w:before="120" w:after="120" w:line="240" w:lineRule="auto"/>
              <w:rPr>
                <w:rFonts w:ascii="Arial Narrow" w:hAnsi="Arial Narrow"/>
                <w:sz w:val="20"/>
                <w:szCs w:val="20"/>
              </w:rPr>
            </w:pPr>
            <w:r w:rsidRPr="00AF59A3">
              <w:rPr>
                <w:rFonts w:ascii="Arial Narrow" w:hAnsi="Arial Narrow"/>
                <w:sz w:val="20"/>
                <w:szCs w:val="20"/>
              </w:rPr>
              <w:t>Initial real time transthoracic echocardiographic examination of the heart with real time colour flow mapping from at least 3 acoustic windows, with recordings on digital media, if the service:</w:t>
            </w:r>
          </w:p>
          <w:p w14:paraId="56B75DDC" w14:textId="77777777" w:rsidR="00AF59A3" w:rsidRPr="00AF59A3" w:rsidRDefault="00AF59A3" w:rsidP="0004460F">
            <w:pPr>
              <w:spacing w:before="120" w:after="40" w:line="240" w:lineRule="auto"/>
              <w:rPr>
                <w:rFonts w:ascii="Arial Narrow" w:hAnsi="Arial Narrow"/>
                <w:sz w:val="20"/>
                <w:szCs w:val="20"/>
              </w:rPr>
            </w:pPr>
            <w:r w:rsidRPr="00AF59A3">
              <w:rPr>
                <w:rFonts w:ascii="Arial Narrow" w:hAnsi="Arial Narrow"/>
                <w:sz w:val="20"/>
                <w:szCs w:val="20"/>
              </w:rPr>
              <w:t>(a) is for the investigation of any of the following:</w:t>
            </w:r>
          </w:p>
          <w:p w14:paraId="225EA687" w14:textId="77777777"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w:t>
            </w:r>
            <w:proofErr w:type="spellStart"/>
            <w:r w:rsidRPr="00AF59A3">
              <w:rPr>
                <w:rFonts w:ascii="Arial Narrow" w:hAnsi="Arial Narrow"/>
                <w:sz w:val="20"/>
                <w:szCs w:val="20"/>
              </w:rPr>
              <w:t>i</w:t>
            </w:r>
            <w:proofErr w:type="spellEnd"/>
            <w:r w:rsidRPr="00AF59A3">
              <w:rPr>
                <w:rFonts w:ascii="Arial Narrow" w:hAnsi="Arial Narrow"/>
                <w:sz w:val="20"/>
                <w:szCs w:val="20"/>
              </w:rPr>
              <w:t>) symptoms or signs of cardiac failure;</w:t>
            </w:r>
          </w:p>
          <w:p w14:paraId="1476DBE2" w14:textId="77777777"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(ii) suspected or known ventricular hypertrophy or dysfunction;</w:t>
            </w:r>
          </w:p>
          <w:p w14:paraId="1ABCDDA1" w14:textId="77777777"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(iii) pulmonary hypertension;</w:t>
            </w:r>
          </w:p>
          <w:p w14:paraId="421FE154" w14:textId="77777777"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(iv) valvular, aortic, pericardial, thrombotic or embolic disease;</w:t>
            </w:r>
          </w:p>
          <w:p w14:paraId="0F1C76B7" w14:textId="77777777"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(v) heart tumour;</w:t>
            </w:r>
          </w:p>
          <w:p w14:paraId="5711FA78" w14:textId="77777777"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(vi) symptoms or signs of congenital heart disease;</w:t>
            </w:r>
          </w:p>
          <w:p w14:paraId="334D4B99" w14:textId="77777777" w:rsidR="00AF59A3" w:rsidRPr="00AF59A3" w:rsidRDefault="00AF59A3" w:rsidP="0004460F">
            <w:pPr>
              <w:spacing w:before="40" w:after="120" w:line="240" w:lineRule="auto"/>
              <w:ind w:left="306"/>
              <w:rPr>
                <w:rFonts w:ascii="Arial Narrow" w:hAnsi="Arial Narrow"/>
                <w:sz w:val="20"/>
                <w:szCs w:val="20"/>
              </w:rPr>
            </w:pPr>
            <w:r w:rsidRPr="00AF59A3">
              <w:rPr>
                <w:rFonts w:ascii="Arial Narrow" w:hAnsi="Arial Narrow"/>
                <w:sz w:val="20"/>
                <w:szCs w:val="20"/>
              </w:rPr>
              <w:t>(vii) other rare indications; and</w:t>
            </w:r>
          </w:p>
          <w:p w14:paraId="173ADAAC" w14:textId="2627545F" w:rsidR="00AF59A3" w:rsidRPr="00AF59A3" w:rsidRDefault="00AF59A3" w:rsidP="0004460F">
            <w:pPr>
              <w:spacing w:before="120" w:after="40" w:line="240" w:lineRule="auto"/>
              <w:rPr>
                <w:rFonts w:ascii="Arial Narrow" w:hAnsi="Arial Narrow"/>
                <w:sz w:val="20"/>
                <w:szCs w:val="20"/>
              </w:rPr>
            </w:pPr>
            <w:r w:rsidRPr="00AF59A3">
              <w:rPr>
                <w:rFonts w:ascii="Arial Narrow" w:hAnsi="Arial Narrow"/>
                <w:sz w:val="20"/>
                <w:szCs w:val="20"/>
              </w:rPr>
              <w:t>(b) is not associated with a service to which:</w:t>
            </w:r>
          </w:p>
          <w:p w14:paraId="04B32942" w14:textId="13D9D6E1"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w:t>
            </w:r>
            <w:proofErr w:type="spellStart"/>
            <w:r w:rsidRPr="00AF59A3">
              <w:rPr>
                <w:rFonts w:ascii="Arial Narrow" w:hAnsi="Arial Narrow"/>
                <w:sz w:val="20"/>
                <w:szCs w:val="20"/>
              </w:rPr>
              <w:t>i</w:t>
            </w:r>
            <w:proofErr w:type="spellEnd"/>
            <w:r w:rsidRPr="00AF59A3">
              <w:rPr>
                <w:rFonts w:ascii="Arial Narrow" w:hAnsi="Arial Narrow"/>
                <w:sz w:val="20"/>
                <w:szCs w:val="20"/>
              </w:rPr>
              <w:t>) another item in this Subgroup applies (except items 55137, 55141, 55143, 55145 and 55146); or</w:t>
            </w:r>
          </w:p>
          <w:p w14:paraId="59C15EE8" w14:textId="4C1F18F1" w:rsidR="00AF59A3" w:rsidRPr="00AF59A3" w:rsidRDefault="00AF59A3" w:rsidP="0004460F">
            <w:pPr>
              <w:spacing w:before="40" w:after="40" w:line="240" w:lineRule="auto"/>
              <w:ind w:left="306"/>
              <w:rPr>
                <w:rFonts w:ascii="Arial Narrow" w:hAnsi="Arial Narrow"/>
                <w:sz w:val="20"/>
                <w:szCs w:val="20"/>
              </w:rPr>
            </w:pPr>
            <w:r w:rsidRPr="00AF59A3">
              <w:rPr>
                <w:rFonts w:ascii="Arial Narrow" w:hAnsi="Arial Narrow"/>
                <w:sz w:val="20"/>
                <w:szCs w:val="20"/>
              </w:rPr>
              <w:t>(ii) an item in Subgroup 2 applies (except items 55118 and 55130); or</w:t>
            </w:r>
          </w:p>
          <w:p w14:paraId="6B667B48" w14:textId="21F0BB9D" w:rsidR="00AF59A3" w:rsidRPr="00AF59A3" w:rsidRDefault="00AF59A3" w:rsidP="0004460F">
            <w:pPr>
              <w:spacing w:before="40" w:after="120" w:line="240" w:lineRule="auto"/>
              <w:ind w:left="306"/>
              <w:rPr>
                <w:rFonts w:ascii="Arial Narrow" w:hAnsi="Arial Narrow"/>
                <w:sz w:val="20"/>
                <w:szCs w:val="20"/>
              </w:rPr>
            </w:pPr>
            <w:r w:rsidRPr="00AF59A3">
              <w:rPr>
                <w:rFonts w:ascii="Arial Narrow" w:hAnsi="Arial Narrow"/>
                <w:sz w:val="20"/>
                <w:szCs w:val="20"/>
              </w:rPr>
              <w:t>(iii) an item in Subgroup 3 applies</w:t>
            </w:r>
          </w:p>
          <w:p w14:paraId="3BF230E4" w14:textId="5EA4480E" w:rsidR="00AF59A3" w:rsidRPr="00AF59A3" w:rsidRDefault="00AF59A3" w:rsidP="00AF59A3">
            <w:pPr>
              <w:spacing w:before="120" w:after="120" w:line="240" w:lineRule="auto"/>
              <w:rPr>
                <w:rFonts w:ascii="Arial Narrow" w:hAnsi="Arial Narrow"/>
                <w:sz w:val="20"/>
                <w:szCs w:val="20"/>
              </w:rPr>
            </w:pPr>
            <w:r w:rsidRPr="00AF59A3">
              <w:rPr>
                <w:rFonts w:ascii="Arial Narrow" w:hAnsi="Arial Narrow"/>
                <w:sz w:val="20"/>
                <w:szCs w:val="20"/>
              </w:rPr>
              <w:t>Applicable not more than once in a 24 month period (R)</w:t>
            </w:r>
          </w:p>
          <w:p w14:paraId="220C99E7" w14:textId="6CE49ABC" w:rsidR="00443683" w:rsidRPr="00731C7C" w:rsidRDefault="00AF59A3">
            <w:pPr>
              <w:spacing w:before="120" w:after="120" w:line="240" w:lineRule="auto"/>
              <w:rPr>
                <w:rFonts w:ascii="Arial Narrow" w:hAnsi="Arial Narrow"/>
                <w:sz w:val="20"/>
                <w:szCs w:val="20"/>
                <w:u w:val="single"/>
              </w:rPr>
            </w:pPr>
            <w:r w:rsidRPr="00731C7C">
              <w:rPr>
                <w:rFonts w:ascii="Arial Narrow" w:hAnsi="Arial Narrow"/>
                <w:sz w:val="20"/>
                <w:szCs w:val="20"/>
                <w:u w:val="single"/>
              </w:rPr>
              <w:t>Bulk bill incentive</w:t>
            </w:r>
          </w:p>
        </w:tc>
      </w:tr>
      <w:tr w:rsidR="00443683" w:rsidRPr="005771DC" w14:paraId="313B8EB2" w14:textId="77777777">
        <w:trPr>
          <w:cantSplit/>
          <w:tblHeader/>
        </w:trPr>
        <w:tc>
          <w:tcPr>
            <w:tcW w:w="5000" w:type="pct"/>
            <w:tcBorders>
              <w:top w:val="dotted" w:sz="4" w:space="0" w:color="auto"/>
              <w:left w:val="single" w:sz="4" w:space="0" w:color="auto"/>
              <w:bottom w:val="single" w:sz="4" w:space="0" w:color="auto"/>
              <w:right w:val="single" w:sz="4" w:space="0" w:color="auto"/>
            </w:tcBorders>
            <w:vAlign w:val="center"/>
          </w:tcPr>
          <w:p w14:paraId="368F444A" w14:textId="068379DE" w:rsidR="00443683" w:rsidRPr="00DE762F" w:rsidRDefault="00443683">
            <w:pPr>
              <w:spacing w:before="40" w:after="40" w:line="240" w:lineRule="auto"/>
              <w:rPr>
                <w:rFonts w:ascii="Arial Narrow" w:hAnsi="Arial Narrow"/>
                <w:sz w:val="20"/>
                <w:szCs w:val="20"/>
              </w:rPr>
            </w:pPr>
            <w:r w:rsidRPr="00FA591B">
              <w:rPr>
                <w:rFonts w:ascii="Arial Narrow" w:hAnsi="Arial Narrow"/>
                <w:b/>
                <w:bCs/>
                <w:sz w:val="20"/>
                <w:szCs w:val="20"/>
              </w:rPr>
              <w:t>Fee:</w:t>
            </w:r>
            <w:r w:rsidRPr="00DE762F">
              <w:rPr>
                <w:rFonts w:ascii="Arial Narrow" w:hAnsi="Arial Narrow"/>
                <w:sz w:val="20"/>
                <w:szCs w:val="20"/>
              </w:rPr>
              <w:t xml:space="preserve"> </w:t>
            </w:r>
            <w:r>
              <w:rPr>
                <w:rFonts w:ascii="Arial Narrow" w:hAnsi="Arial Narrow"/>
                <w:sz w:val="20"/>
                <w:szCs w:val="20"/>
              </w:rPr>
              <w:t>$</w:t>
            </w:r>
            <w:r w:rsidR="00F03947">
              <w:rPr>
                <w:rFonts w:ascii="Arial Narrow" w:hAnsi="Arial Narrow"/>
                <w:sz w:val="20"/>
                <w:szCs w:val="20"/>
              </w:rPr>
              <w:t>271.80</w:t>
            </w:r>
            <w:r>
              <w:rPr>
                <w:rFonts w:ascii="Arial Narrow" w:hAnsi="Arial Narrow"/>
                <w:sz w:val="20"/>
                <w:szCs w:val="20"/>
              </w:rPr>
              <w:t xml:space="preserve"> </w:t>
            </w:r>
            <w:r w:rsidRPr="00FA591B">
              <w:rPr>
                <w:rFonts w:ascii="Arial Narrow" w:hAnsi="Arial Narrow"/>
                <w:b/>
                <w:bCs/>
                <w:sz w:val="20"/>
                <w:szCs w:val="20"/>
              </w:rPr>
              <w:t>Benefit:</w:t>
            </w:r>
            <w:r>
              <w:rPr>
                <w:rFonts w:ascii="Arial Narrow" w:hAnsi="Arial Narrow"/>
                <w:sz w:val="20"/>
                <w:szCs w:val="20"/>
              </w:rPr>
              <w:t xml:space="preserve"> 75% = $</w:t>
            </w:r>
            <w:r w:rsidR="00F03947">
              <w:rPr>
                <w:rFonts w:ascii="Arial Narrow" w:hAnsi="Arial Narrow"/>
                <w:sz w:val="20"/>
                <w:szCs w:val="20"/>
              </w:rPr>
              <w:t>203.85</w:t>
            </w:r>
            <w:r>
              <w:rPr>
                <w:rFonts w:ascii="Arial Narrow" w:hAnsi="Arial Narrow"/>
                <w:sz w:val="20"/>
                <w:szCs w:val="20"/>
              </w:rPr>
              <w:t xml:space="preserve"> 85% = $</w:t>
            </w:r>
            <w:r w:rsidR="00F03947">
              <w:rPr>
                <w:rFonts w:ascii="Arial Narrow" w:hAnsi="Arial Narrow"/>
                <w:sz w:val="20"/>
                <w:szCs w:val="20"/>
              </w:rPr>
              <w:t>231.05</w:t>
            </w:r>
          </w:p>
        </w:tc>
      </w:tr>
      <w:tr w:rsidR="00443683" w:rsidRPr="005771DC" w14:paraId="6A521767" w14:textId="77777777" w:rsidTr="00905188">
        <w:trPr>
          <w:cantSplit/>
          <w:tblHeader/>
        </w:trPr>
        <w:tc>
          <w:tcPr>
            <w:tcW w:w="5000" w:type="pct"/>
            <w:tcBorders>
              <w:top w:val="dotted" w:sz="4" w:space="0" w:color="auto"/>
              <w:left w:val="single" w:sz="4" w:space="0" w:color="auto"/>
              <w:bottom w:val="dotted" w:sz="4" w:space="0" w:color="auto"/>
              <w:right w:val="single" w:sz="4" w:space="0" w:color="auto"/>
            </w:tcBorders>
            <w:vAlign w:val="center"/>
          </w:tcPr>
          <w:p w14:paraId="07D879C9" w14:textId="1F2AB27F" w:rsidR="00443683" w:rsidRDefault="00443683" w:rsidP="005A24CB">
            <w:pPr>
              <w:spacing w:before="120" w:after="120" w:line="240" w:lineRule="auto"/>
              <w:rPr>
                <w:rFonts w:ascii="Arial Narrow" w:hAnsi="Arial Narrow"/>
                <w:sz w:val="20"/>
                <w:szCs w:val="20"/>
              </w:rPr>
            </w:pPr>
            <w:r>
              <w:rPr>
                <w:rFonts w:ascii="Arial Narrow" w:hAnsi="Arial Narrow"/>
                <w:sz w:val="20"/>
                <w:szCs w:val="20"/>
              </w:rPr>
              <w:t>Item 55</w:t>
            </w:r>
            <w:r w:rsidR="00DE48BC">
              <w:rPr>
                <w:rFonts w:ascii="Arial Narrow" w:hAnsi="Arial Narrow"/>
                <w:sz w:val="20"/>
                <w:szCs w:val="20"/>
              </w:rPr>
              <w:t>129</w:t>
            </w:r>
          </w:p>
          <w:p w14:paraId="0757331C" w14:textId="25839849" w:rsidR="004F0E6D" w:rsidRPr="004F0E6D" w:rsidRDefault="004F0E6D" w:rsidP="005A24CB">
            <w:pPr>
              <w:spacing w:before="120" w:after="120" w:line="240" w:lineRule="auto"/>
              <w:rPr>
                <w:rFonts w:ascii="Arial Narrow" w:hAnsi="Arial Narrow"/>
                <w:sz w:val="20"/>
                <w:szCs w:val="20"/>
              </w:rPr>
            </w:pPr>
            <w:r w:rsidRPr="004F0E6D">
              <w:rPr>
                <w:rFonts w:ascii="Arial Narrow" w:hAnsi="Arial Narrow"/>
                <w:sz w:val="20"/>
                <w:szCs w:val="20"/>
              </w:rPr>
              <w:t>Note: the service only applies if the patient meets the requirements of the descriptor and the requirements of Note: IR.1.2</w:t>
            </w:r>
          </w:p>
          <w:p w14:paraId="222E7BF2" w14:textId="32453DB4" w:rsidR="004F0E6D" w:rsidRPr="004F0E6D" w:rsidRDefault="004F0E6D" w:rsidP="005A24CB">
            <w:pPr>
              <w:spacing w:before="120" w:after="120" w:line="240" w:lineRule="auto"/>
              <w:rPr>
                <w:rFonts w:ascii="Arial Narrow" w:hAnsi="Arial Narrow"/>
                <w:sz w:val="20"/>
                <w:szCs w:val="20"/>
              </w:rPr>
            </w:pPr>
            <w:r w:rsidRPr="004F0E6D">
              <w:rPr>
                <w:rFonts w:ascii="Arial Narrow" w:hAnsi="Arial Narrow"/>
                <w:sz w:val="20"/>
                <w:szCs w:val="20"/>
              </w:rPr>
              <w:t>Repeat serial real time transthoracic echocardiographic examination of the heart with real time colour flow mapping from at least 3 acoustic windows, with recordings on digital media, if:</w:t>
            </w:r>
          </w:p>
          <w:p w14:paraId="304134F2" w14:textId="7B3FD980" w:rsidR="004F0E6D" w:rsidRPr="004F0E6D" w:rsidRDefault="004F0E6D" w:rsidP="005A24CB">
            <w:pPr>
              <w:spacing w:before="120" w:after="120" w:line="240" w:lineRule="auto"/>
              <w:rPr>
                <w:rFonts w:ascii="Arial Narrow" w:hAnsi="Arial Narrow"/>
                <w:sz w:val="20"/>
                <w:szCs w:val="20"/>
              </w:rPr>
            </w:pPr>
            <w:r w:rsidRPr="004F0E6D">
              <w:rPr>
                <w:rFonts w:ascii="Arial Narrow" w:hAnsi="Arial Narrow"/>
                <w:sz w:val="20"/>
                <w:szCs w:val="20"/>
              </w:rPr>
              <w:t>(a) valvular dysfunction is not the primary issue for the patient (although it may be a secondary issue); and</w:t>
            </w:r>
          </w:p>
          <w:p w14:paraId="164A38CB" w14:textId="02F4E972" w:rsidR="004F0E6D" w:rsidRPr="004F0E6D" w:rsidRDefault="004F0E6D" w:rsidP="00A121AD">
            <w:pPr>
              <w:spacing w:before="120" w:after="40" w:line="240" w:lineRule="auto"/>
              <w:rPr>
                <w:rFonts w:ascii="Arial Narrow" w:hAnsi="Arial Narrow"/>
                <w:sz w:val="20"/>
                <w:szCs w:val="20"/>
              </w:rPr>
            </w:pPr>
            <w:r w:rsidRPr="004F0E6D">
              <w:rPr>
                <w:rFonts w:ascii="Arial Narrow" w:hAnsi="Arial Narrow"/>
                <w:sz w:val="20"/>
                <w:szCs w:val="20"/>
              </w:rPr>
              <w:t>(b) the service is for the investigation of any of the following:</w:t>
            </w:r>
          </w:p>
          <w:p w14:paraId="73735D53" w14:textId="559AA99B"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w:t>
            </w:r>
            <w:proofErr w:type="spellStart"/>
            <w:r w:rsidRPr="004F0E6D">
              <w:rPr>
                <w:rFonts w:ascii="Arial Narrow" w:hAnsi="Arial Narrow"/>
                <w:sz w:val="20"/>
                <w:szCs w:val="20"/>
              </w:rPr>
              <w:t>i</w:t>
            </w:r>
            <w:proofErr w:type="spellEnd"/>
            <w:r w:rsidRPr="004F0E6D">
              <w:rPr>
                <w:rFonts w:ascii="Arial Narrow" w:hAnsi="Arial Narrow"/>
                <w:sz w:val="20"/>
                <w:szCs w:val="20"/>
              </w:rPr>
              <w:t>) symptoms or signs of cardiac failure;</w:t>
            </w:r>
          </w:p>
          <w:p w14:paraId="6DCDAE75" w14:textId="37CE04E4"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(ii) suspected or known ventricular hypertrophy or dysfunction;</w:t>
            </w:r>
          </w:p>
          <w:p w14:paraId="5F99951E" w14:textId="155EE6D8"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(iii) pulmonary hypertension;</w:t>
            </w:r>
          </w:p>
          <w:p w14:paraId="22E624C5" w14:textId="014CDF54"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(iv) aortic, thrombotic, embolic disease or pericardial disease (excluding isolated pericardial effusion or pericarditis);</w:t>
            </w:r>
          </w:p>
          <w:p w14:paraId="6E5A1487" w14:textId="1EBD8ED0"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(v) heart tumour;</w:t>
            </w:r>
          </w:p>
          <w:p w14:paraId="76A1E30B" w14:textId="7A8EA7E4"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(vi) structural heart disease;</w:t>
            </w:r>
          </w:p>
          <w:p w14:paraId="22DC9DEE" w14:textId="02FEFB84" w:rsidR="004F0E6D" w:rsidRPr="004F0E6D" w:rsidRDefault="004F0E6D" w:rsidP="00A121AD">
            <w:pPr>
              <w:spacing w:before="40" w:after="120" w:line="240" w:lineRule="auto"/>
              <w:ind w:left="306"/>
              <w:rPr>
                <w:rFonts w:ascii="Arial Narrow" w:hAnsi="Arial Narrow"/>
                <w:sz w:val="20"/>
                <w:szCs w:val="20"/>
              </w:rPr>
            </w:pPr>
            <w:r w:rsidRPr="004F0E6D">
              <w:rPr>
                <w:rFonts w:ascii="Arial Narrow" w:hAnsi="Arial Narrow"/>
                <w:sz w:val="20"/>
                <w:szCs w:val="20"/>
              </w:rPr>
              <w:t>(vii) other rare indications; and</w:t>
            </w:r>
          </w:p>
          <w:p w14:paraId="0CAAEB9D" w14:textId="73E1AB23" w:rsidR="004F0E6D" w:rsidRPr="004F0E6D" w:rsidRDefault="004F0E6D" w:rsidP="005A24CB">
            <w:pPr>
              <w:spacing w:before="120" w:after="120" w:line="240" w:lineRule="auto"/>
              <w:rPr>
                <w:rFonts w:ascii="Arial Narrow" w:hAnsi="Arial Narrow"/>
                <w:sz w:val="20"/>
                <w:szCs w:val="20"/>
              </w:rPr>
            </w:pPr>
            <w:r w:rsidRPr="004F0E6D">
              <w:rPr>
                <w:rFonts w:ascii="Arial Narrow" w:hAnsi="Arial Narrow"/>
                <w:sz w:val="20"/>
                <w:szCs w:val="20"/>
              </w:rPr>
              <w:t>(c) the service is requested by a specialist or consultant physician; and</w:t>
            </w:r>
          </w:p>
          <w:p w14:paraId="4C88FFEE" w14:textId="4B6BFB34" w:rsidR="004F0E6D" w:rsidRPr="004F0E6D" w:rsidRDefault="004F0E6D" w:rsidP="00A121AD">
            <w:pPr>
              <w:spacing w:before="120" w:after="40" w:line="240" w:lineRule="auto"/>
              <w:rPr>
                <w:rFonts w:ascii="Arial Narrow" w:hAnsi="Arial Narrow"/>
                <w:sz w:val="20"/>
                <w:szCs w:val="20"/>
              </w:rPr>
            </w:pPr>
            <w:r w:rsidRPr="004F0E6D">
              <w:rPr>
                <w:rFonts w:ascii="Arial Narrow" w:hAnsi="Arial Narrow"/>
                <w:sz w:val="20"/>
                <w:szCs w:val="20"/>
              </w:rPr>
              <w:t>(d) the service is not associated with a service to which:</w:t>
            </w:r>
          </w:p>
          <w:p w14:paraId="2A1B3E0E" w14:textId="6ABB31A5"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w:t>
            </w:r>
            <w:proofErr w:type="spellStart"/>
            <w:r w:rsidRPr="004F0E6D">
              <w:rPr>
                <w:rFonts w:ascii="Arial Narrow" w:hAnsi="Arial Narrow"/>
                <w:sz w:val="20"/>
                <w:szCs w:val="20"/>
              </w:rPr>
              <w:t>i</w:t>
            </w:r>
            <w:proofErr w:type="spellEnd"/>
            <w:r w:rsidRPr="004F0E6D">
              <w:rPr>
                <w:rFonts w:ascii="Arial Narrow" w:hAnsi="Arial Narrow"/>
                <w:sz w:val="20"/>
                <w:szCs w:val="20"/>
              </w:rPr>
              <w:t>) another item in this Subgroup applies (except items 55137, 55141, 55143, 55145 and 55146); or</w:t>
            </w:r>
          </w:p>
          <w:p w14:paraId="126F7368" w14:textId="03F2042E" w:rsidR="004F0E6D" w:rsidRPr="004F0E6D" w:rsidRDefault="004F0E6D" w:rsidP="00A121AD">
            <w:pPr>
              <w:spacing w:before="40" w:after="40" w:line="240" w:lineRule="auto"/>
              <w:ind w:left="306"/>
              <w:rPr>
                <w:rFonts w:ascii="Arial Narrow" w:hAnsi="Arial Narrow"/>
                <w:sz w:val="20"/>
                <w:szCs w:val="20"/>
              </w:rPr>
            </w:pPr>
            <w:r w:rsidRPr="004F0E6D">
              <w:rPr>
                <w:rFonts w:ascii="Arial Narrow" w:hAnsi="Arial Narrow"/>
                <w:sz w:val="20"/>
                <w:szCs w:val="20"/>
              </w:rPr>
              <w:t>(ii) an item in Subgroup 2 applies (except items 55118 and 55130); or</w:t>
            </w:r>
          </w:p>
          <w:p w14:paraId="129A0C22" w14:textId="77777777" w:rsidR="004F0E6D" w:rsidRDefault="004F0E6D" w:rsidP="00A121AD">
            <w:pPr>
              <w:spacing w:before="40" w:after="120" w:line="240" w:lineRule="auto"/>
              <w:ind w:left="306"/>
              <w:rPr>
                <w:rFonts w:ascii="Arial Narrow" w:hAnsi="Arial Narrow"/>
                <w:sz w:val="20"/>
                <w:szCs w:val="20"/>
              </w:rPr>
            </w:pPr>
            <w:r w:rsidRPr="004F0E6D">
              <w:rPr>
                <w:rFonts w:ascii="Arial Narrow" w:hAnsi="Arial Narrow"/>
                <w:sz w:val="20"/>
                <w:szCs w:val="20"/>
              </w:rPr>
              <w:t>(iii) an item in Subgroup 3 applies (R)</w:t>
            </w:r>
          </w:p>
          <w:p w14:paraId="15293E92" w14:textId="61BFB545" w:rsidR="00443683" w:rsidRPr="00977620" w:rsidRDefault="00443683" w:rsidP="005A24CB">
            <w:pPr>
              <w:spacing w:before="120" w:after="120" w:line="240" w:lineRule="auto"/>
              <w:rPr>
                <w:rFonts w:ascii="Arial Narrow" w:hAnsi="Arial Narrow"/>
                <w:sz w:val="20"/>
                <w:szCs w:val="20"/>
                <w:u w:val="single"/>
              </w:rPr>
            </w:pPr>
            <w:r w:rsidRPr="00977620">
              <w:rPr>
                <w:rFonts w:ascii="Arial Narrow" w:hAnsi="Arial Narrow"/>
                <w:sz w:val="20"/>
                <w:szCs w:val="20"/>
                <w:u w:val="single"/>
              </w:rPr>
              <w:t>Bulk bill incentive</w:t>
            </w:r>
          </w:p>
        </w:tc>
      </w:tr>
      <w:tr w:rsidR="00443683" w:rsidRPr="005771DC" w14:paraId="69F0A816" w14:textId="77777777" w:rsidTr="00905188">
        <w:trPr>
          <w:cantSplit/>
          <w:tblHeader/>
        </w:trPr>
        <w:tc>
          <w:tcPr>
            <w:tcW w:w="5000" w:type="pct"/>
            <w:tcBorders>
              <w:top w:val="dotted" w:sz="4" w:space="0" w:color="auto"/>
              <w:left w:val="single" w:sz="4" w:space="0" w:color="auto"/>
              <w:bottom w:val="single" w:sz="4" w:space="0" w:color="auto"/>
              <w:right w:val="single" w:sz="4" w:space="0" w:color="auto"/>
            </w:tcBorders>
            <w:vAlign w:val="center"/>
          </w:tcPr>
          <w:p w14:paraId="6A58C0FD" w14:textId="75D6526B" w:rsidR="00443683" w:rsidRPr="00FA591B" w:rsidRDefault="00443683">
            <w:pPr>
              <w:spacing w:before="40" w:after="40" w:line="240" w:lineRule="auto"/>
              <w:rPr>
                <w:rFonts w:ascii="Arial Narrow" w:hAnsi="Arial Narrow"/>
                <w:b/>
                <w:bCs/>
                <w:sz w:val="20"/>
                <w:szCs w:val="20"/>
              </w:rPr>
            </w:pPr>
            <w:r w:rsidRPr="00FA591B">
              <w:rPr>
                <w:rFonts w:ascii="Arial Narrow" w:hAnsi="Arial Narrow"/>
                <w:b/>
                <w:bCs/>
                <w:sz w:val="20"/>
                <w:szCs w:val="20"/>
              </w:rPr>
              <w:t>Fee:</w:t>
            </w:r>
            <w:r w:rsidRPr="00DE762F">
              <w:rPr>
                <w:rFonts w:ascii="Arial Narrow" w:hAnsi="Arial Narrow"/>
                <w:sz w:val="20"/>
                <w:szCs w:val="20"/>
              </w:rPr>
              <w:t xml:space="preserve"> </w:t>
            </w:r>
            <w:r>
              <w:rPr>
                <w:rFonts w:ascii="Arial Narrow" w:hAnsi="Arial Narrow"/>
                <w:sz w:val="20"/>
                <w:szCs w:val="20"/>
              </w:rPr>
              <w:t>$</w:t>
            </w:r>
            <w:r w:rsidR="00E555E8">
              <w:rPr>
                <w:rFonts w:ascii="Arial Narrow" w:hAnsi="Arial Narrow"/>
                <w:sz w:val="20"/>
                <w:szCs w:val="20"/>
              </w:rPr>
              <w:t>271.80</w:t>
            </w:r>
            <w:r w:rsidR="006E347E">
              <w:rPr>
                <w:rFonts w:ascii="Arial Narrow" w:hAnsi="Arial Narrow"/>
                <w:sz w:val="20"/>
                <w:szCs w:val="20"/>
              </w:rPr>
              <w:t xml:space="preserve"> </w:t>
            </w:r>
            <w:r w:rsidRPr="00FA591B">
              <w:rPr>
                <w:rFonts w:ascii="Arial Narrow" w:hAnsi="Arial Narrow"/>
                <w:b/>
                <w:bCs/>
                <w:sz w:val="20"/>
                <w:szCs w:val="20"/>
              </w:rPr>
              <w:t>Benefit:</w:t>
            </w:r>
            <w:r>
              <w:rPr>
                <w:rFonts w:ascii="Arial Narrow" w:hAnsi="Arial Narrow"/>
                <w:sz w:val="20"/>
                <w:szCs w:val="20"/>
              </w:rPr>
              <w:t xml:space="preserve"> 75% = $</w:t>
            </w:r>
            <w:r w:rsidR="00E555E8">
              <w:rPr>
                <w:rFonts w:ascii="Arial Narrow" w:hAnsi="Arial Narrow"/>
                <w:sz w:val="20"/>
                <w:szCs w:val="20"/>
              </w:rPr>
              <w:t>203.85</w:t>
            </w:r>
            <w:r>
              <w:rPr>
                <w:rFonts w:ascii="Arial Narrow" w:hAnsi="Arial Narrow"/>
                <w:sz w:val="20"/>
                <w:szCs w:val="20"/>
              </w:rPr>
              <w:t xml:space="preserve"> 85% = $</w:t>
            </w:r>
            <w:r w:rsidR="00E555E8">
              <w:rPr>
                <w:rFonts w:ascii="Arial Narrow" w:hAnsi="Arial Narrow"/>
                <w:sz w:val="20"/>
                <w:szCs w:val="20"/>
              </w:rPr>
              <w:t>231.05</w:t>
            </w:r>
          </w:p>
        </w:tc>
      </w:tr>
    </w:tbl>
    <w:p w14:paraId="506D4FB3" w14:textId="3A24DA6B" w:rsidR="00443683" w:rsidRDefault="00443683" w:rsidP="00213029">
      <w:pPr>
        <w:pStyle w:val="Tablenotes"/>
        <w:spacing w:after="360"/>
      </w:pPr>
      <w:r>
        <w:t xml:space="preserve">Source: MBS Online, accessed </w:t>
      </w:r>
      <w:r w:rsidR="00064C38">
        <w:t>14 July</w:t>
      </w:r>
      <w:r>
        <w:t xml:space="preserve"> 2026.</w:t>
      </w:r>
    </w:p>
    <w:p w14:paraId="21125C87" w14:textId="075FBAED" w:rsidR="007C7FC0" w:rsidRDefault="002F148E" w:rsidP="00BD682F">
      <w:pPr>
        <w:pStyle w:val="Tablenotes"/>
        <w:spacing w:after="360" w:line="276" w:lineRule="auto"/>
      </w:pPr>
      <w:r w:rsidRPr="5A3A89BB">
        <w:rPr>
          <w:rFonts w:asciiTheme="minorHAnsi" w:hAnsiTheme="minorHAnsi" w:cstheme="minorBidi"/>
          <w:i/>
          <w:iCs/>
          <w:sz w:val="22"/>
          <w:szCs w:val="22"/>
        </w:rPr>
        <w:lastRenderedPageBreak/>
        <w:t>PASC considered the proposed comparator, TTE with bubble contrast and provocation manoeuvre, to be appropriate. PASC noted that TTE with bubble contrast is an imperfect triage test with lower sensitivity for detecting right-to-left shunts than TCD bubble testing. PASC further noted that, in clinical practice, patients with equivocal or negative TTE results may still be referred for confirmatory TOE with bubble contrast where there is a high clinical suspicion of PFO .</w:t>
      </w:r>
    </w:p>
    <w:p w14:paraId="15863BAA" w14:textId="62ABFF95" w:rsidR="00677AE3" w:rsidRDefault="00677AE3" w:rsidP="00A241D9">
      <w:pPr>
        <w:pStyle w:val="Heading3"/>
      </w:pPr>
      <w:r w:rsidRPr="008F1532">
        <w:t>Reference standard</w:t>
      </w:r>
    </w:p>
    <w:p w14:paraId="16DAF65A" w14:textId="588AE076" w:rsidR="000E18D6" w:rsidRDefault="000E18D6" w:rsidP="000E18D6">
      <w:r>
        <w:t>The highes</w:t>
      </w:r>
      <w:r w:rsidR="0099181E">
        <w:t>t-</w:t>
      </w:r>
      <w:r>
        <w:t>fidelity reference standard for confirming the presence of a PFO is direct anatomical confirmation via right heart catheterisation</w:t>
      </w:r>
      <w:r w:rsidR="000A5638">
        <w:t xml:space="preserve"> (RHC)</w:t>
      </w:r>
      <w:r>
        <w:t>, with documentation of guidewire passage across the atrial septum (Mahmoud et</w:t>
      </w:r>
      <w:r>
        <w:rPr>
          <w:rFonts w:cs="Calibri"/>
        </w:rPr>
        <w:t> </w:t>
      </w:r>
      <w:r>
        <w:t xml:space="preserve">al. 2017). While this provides definitive evidence of an interatrial communication, it is invasive and not routinely performed for diagnostic purposes. </w:t>
      </w:r>
      <w:r w:rsidR="002F069D">
        <w:t>Furthermore,</w:t>
      </w:r>
      <w:r w:rsidR="006367C5">
        <w:t xml:space="preserve"> </w:t>
      </w:r>
      <w:r w:rsidR="000A5638">
        <w:t xml:space="preserve">RHC </w:t>
      </w:r>
      <w:r w:rsidR="006367C5">
        <w:t xml:space="preserve">confirms the anatomical presence of a PFO but does not necessarily assess the presence or </w:t>
      </w:r>
      <w:r w:rsidR="00740942">
        <w:t xml:space="preserve">magnitude of functional right-to-left shunting under physiological conditions. </w:t>
      </w:r>
      <w:r>
        <w:t>It is therefore best considered a highe</w:t>
      </w:r>
      <w:r w:rsidR="0099181E">
        <w:t>r-</w:t>
      </w:r>
      <w:r>
        <w:t xml:space="preserve">order </w:t>
      </w:r>
      <w:r w:rsidR="00740942">
        <w:t xml:space="preserve">anatomical </w:t>
      </w:r>
      <w:r>
        <w:t>reference standard, applicable primarily in research or selected clinical contexts where such data are available.</w:t>
      </w:r>
    </w:p>
    <w:p w14:paraId="69298853" w14:textId="326B3101" w:rsidR="000E18D6" w:rsidRDefault="000E18D6" w:rsidP="000E18D6">
      <w:r>
        <w:t>Similarly, anatomical confirmation at surgery or autopsy represents a theoretical gold standard</w:t>
      </w:r>
      <w:r w:rsidR="00232E47">
        <w:t xml:space="preserve"> for demonstrating the presence of a PFO.</w:t>
      </w:r>
      <w:r>
        <w:t xml:space="preserve"> </w:t>
      </w:r>
      <w:r w:rsidR="00232E47">
        <w:t>H</w:t>
      </w:r>
      <w:r>
        <w:t xml:space="preserve">owever, </w:t>
      </w:r>
      <w:r w:rsidR="00232E47">
        <w:t xml:space="preserve">like </w:t>
      </w:r>
      <w:r w:rsidR="004F089C">
        <w:t>RHC</w:t>
      </w:r>
      <w:r w:rsidR="00232E47">
        <w:t xml:space="preserve">, </w:t>
      </w:r>
      <w:r>
        <w:t xml:space="preserve">these approaches </w:t>
      </w:r>
      <w:r w:rsidR="005F09A4">
        <w:t xml:space="preserve">establish anatomical patency rather than functional shunt characteristics and </w:t>
      </w:r>
      <w:r>
        <w:t>are neither feasible nor ethical for diagnostic verification in the target population</w:t>
      </w:r>
      <w:r w:rsidR="005F09A4">
        <w:t>. Their use</w:t>
      </w:r>
      <w:r>
        <w:t xml:space="preserve"> would </w:t>
      </w:r>
      <w:r w:rsidR="005F09A4">
        <w:t xml:space="preserve">also </w:t>
      </w:r>
      <w:r>
        <w:t>introduce substantial verification bias</w:t>
      </w:r>
      <w:r w:rsidR="005F09A4">
        <w:t>, as they</w:t>
      </w:r>
      <w:r>
        <w:t xml:space="preserve"> </w:t>
      </w:r>
      <w:r w:rsidR="00D53D2C">
        <w:t>are restricted</w:t>
      </w:r>
      <w:r>
        <w:t xml:space="preserve"> to highly selected cases.</w:t>
      </w:r>
    </w:p>
    <w:p w14:paraId="78EECD49" w14:textId="77777777" w:rsidR="00136CCB" w:rsidRDefault="000E18D6" w:rsidP="000E18D6">
      <w:r>
        <w:t>In current clinical practice, TOE with bubble contrast (contras</w:t>
      </w:r>
      <w:r w:rsidR="004A1A89">
        <w:t>t-</w:t>
      </w:r>
      <w:r>
        <w:t xml:space="preserve">enhanced TOE or </w:t>
      </w:r>
      <w:r w:rsidR="0099181E">
        <w:t>c-</w:t>
      </w:r>
      <w:r>
        <w:t>TOE) represents the most appropriate pragmatic reference standard</w:t>
      </w:r>
      <w:r w:rsidR="00BD3163">
        <w:t xml:space="preserve"> for confirm</w:t>
      </w:r>
      <w:r w:rsidR="007E63A3">
        <w:t xml:space="preserve">ation of </w:t>
      </w:r>
      <w:r w:rsidR="00E67B93">
        <w:t>anatomical PFO</w:t>
      </w:r>
      <w:r>
        <w:t>. TOE is widely used within the diagnostic pathway and is the comparator employed in most diagnostic accuracy studies and met</w:t>
      </w:r>
      <w:r w:rsidR="0099181E">
        <w:t>a-</w:t>
      </w:r>
      <w:r>
        <w:t xml:space="preserve">analyses evaluating TCD bubble testing (e.g. </w:t>
      </w:r>
      <w:r w:rsidR="00E37FEF">
        <w:t>Caso et al. 2024; Katsanos et al. 2016; Mojadidi et</w:t>
      </w:r>
      <w:r w:rsidR="00E37FEF">
        <w:rPr>
          <w:rFonts w:cs="Calibri"/>
        </w:rPr>
        <w:t> </w:t>
      </w:r>
      <w:r w:rsidR="00E37FEF">
        <w:t xml:space="preserve">al. 2014; </w:t>
      </w:r>
      <w:proofErr w:type="spellStart"/>
      <w:r w:rsidR="00E37FEF">
        <w:t>Pristipino</w:t>
      </w:r>
      <w:proofErr w:type="spellEnd"/>
      <w:r w:rsidR="00E37FEF">
        <w:t xml:space="preserve"> et al. 2019; Yavuz et al. 2026; Zhang et al. 2024</w:t>
      </w:r>
      <w:r>
        <w:t xml:space="preserve">). </w:t>
      </w:r>
    </w:p>
    <w:p w14:paraId="795FC9BE" w14:textId="267A8F6C" w:rsidR="000E18D6" w:rsidRDefault="00BD5D52" w:rsidP="000E18D6">
      <w:r>
        <w:t xml:space="preserve">Unlike TCD bubble testing, which identifies the </w:t>
      </w:r>
      <w:r w:rsidR="00CA640D">
        <w:t xml:space="preserve">presence of a right-to-left shunt without directly visualising its anatomical source, </w:t>
      </w:r>
      <w:r w:rsidR="00022714">
        <w:t>TOE with bubble contrast combines functional assessment of shunting with</w:t>
      </w:r>
      <w:r w:rsidR="000E18D6">
        <w:t xml:space="preserve"> direct visualisation of the interatrial septum</w:t>
      </w:r>
      <w:r w:rsidR="00164398">
        <w:t>.</w:t>
      </w:r>
      <w:r w:rsidR="000E18D6">
        <w:t xml:space="preserve"> </w:t>
      </w:r>
      <w:r w:rsidR="001E6834">
        <w:t xml:space="preserve">This enables confirmation of the presence of a PFO, characterisation of shunt severity, and evaluation of </w:t>
      </w:r>
      <w:r w:rsidR="000E18D6">
        <w:t>anatomical features</w:t>
      </w:r>
      <w:r w:rsidR="00C616CD">
        <w:t xml:space="preserve"> </w:t>
      </w:r>
      <w:r w:rsidR="00FA4CBB">
        <w:t>associated with an increased likelihood of pathogenicity</w:t>
      </w:r>
      <w:r w:rsidR="000E18D6">
        <w:t xml:space="preserve"> (e.g. atrial septal aneurysm)</w:t>
      </w:r>
      <w:r w:rsidR="007F5678">
        <w:t xml:space="preserve"> that may </w:t>
      </w:r>
      <w:r w:rsidR="00A97297">
        <w:t>influence</w:t>
      </w:r>
      <w:r w:rsidR="007F5678">
        <w:t xml:space="preserve"> clinical decision-making</w:t>
      </w:r>
      <w:r w:rsidR="000E18D6">
        <w:t xml:space="preserve">. </w:t>
      </w:r>
      <w:r w:rsidR="00A3632F">
        <w:t xml:space="preserve">However, confirmation of </w:t>
      </w:r>
      <w:r w:rsidR="00A97297">
        <w:t>a</w:t>
      </w:r>
      <w:r w:rsidR="00A3632F">
        <w:t xml:space="preserve"> PFO </w:t>
      </w:r>
      <w:r w:rsidR="003D6E14">
        <w:t xml:space="preserve">on TOE </w:t>
      </w:r>
      <w:r w:rsidR="00A3632F">
        <w:t xml:space="preserve">does not, </w:t>
      </w:r>
      <w:r w:rsidR="003D6E14">
        <w:t>in</w:t>
      </w:r>
      <w:r w:rsidR="00A3632F">
        <w:t xml:space="preserve"> itself, establish that </w:t>
      </w:r>
      <w:r w:rsidR="0098046F">
        <w:t>the</w:t>
      </w:r>
      <w:r w:rsidR="00A3632F">
        <w:t xml:space="preserve"> detect</w:t>
      </w:r>
      <w:r w:rsidR="0098046F">
        <w:t>ed</w:t>
      </w:r>
      <w:r w:rsidR="00A3632F">
        <w:t xml:space="preserve"> PFO is cau</w:t>
      </w:r>
      <w:r w:rsidR="00A55EFA">
        <w:t>s</w:t>
      </w:r>
      <w:r w:rsidR="00A3632F">
        <w:t>ally related to the index stroke</w:t>
      </w:r>
      <w:r w:rsidR="00A25D1B">
        <w:t>.</w:t>
      </w:r>
      <w:r w:rsidR="00A3632F">
        <w:t xml:space="preserve"> </w:t>
      </w:r>
      <w:r w:rsidR="004062EF">
        <w:t>Determination of causal relevance</w:t>
      </w:r>
      <w:r w:rsidR="00A26729">
        <w:t xml:space="preserve"> </w:t>
      </w:r>
      <w:r w:rsidR="00A3632F">
        <w:t xml:space="preserve">requires </w:t>
      </w:r>
      <w:r w:rsidR="004062EF">
        <w:t>interpretation</w:t>
      </w:r>
      <w:r w:rsidR="00A3632F">
        <w:t xml:space="preserve"> of PFO findings in </w:t>
      </w:r>
      <w:r w:rsidR="004062EF">
        <w:t>the context of the broader</w:t>
      </w:r>
      <w:r w:rsidR="00A3632F">
        <w:t xml:space="preserve"> stroke work-up and </w:t>
      </w:r>
      <w:r w:rsidR="00A37AEA">
        <w:t xml:space="preserve">patient </w:t>
      </w:r>
      <w:r w:rsidR="00A3632F">
        <w:t>clinical</w:t>
      </w:r>
      <w:r w:rsidR="007B6028">
        <w:t xml:space="preserve"> </w:t>
      </w:r>
      <w:r w:rsidR="00D66ED4">
        <w:t>characteristics,</w:t>
      </w:r>
      <w:r w:rsidR="00F73D2B">
        <w:t xml:space="preserve"> </w:t>
      </w:r>
      <w:r w:rsidR="000C37F0">
        <w:t xml:space="preserve">often supported by risk stratification approaches such as </w:t>
      </w:r>
      <w:r w:rsidR="00A37AEA">
        <w:t xml:space="preserve">a </w:t>
      </w:r>
      <w:proofErr w:type="spellStart"/>
      <w:r w:rsidR="00DE6006">
        <w:t>RoPE</w:t>
      </w:r>
      <w:proofErr w:type="spellEnd"/>
      <w:r w:rsidR="00DE6006">
        <w:t>-informed assessment and the PASCAL classification framework</w:t>
      </w:r>
      <w:r w:rsidR="00A3632F">
        <w:t xml:space="preserve">. </w:t>
      </w:r>
      <w:r w:rsidR="000E18D6">
        <w:t xml:space="preserve">TOE therefore </w:t>
      </w:r>
      <w:r w:rsidR="0098046F">
        <w:t xml:space="preserve">remains </w:t>
      </w:r>
      <w:r w:rsidR="000E18D6">
        <w:t xml:space="preserve">the current clinical </w:t>
      </w:r>
      <w:r w:rsidR="00EF3EC9">
        <w:t xml:space="preserve">reference </w:t>
      </w:r>
      <w:r w:rsidR="000E18D6">
        <w:t xml:space="preserve">standard for confirming </w:t>
      </w:r>
      <w:r w:rsidR="00EF3EC9">
        <w:t xml:space="preserve">the presence of a </w:t>
      </w:r>
      <w:r w:rsidR="000E18D6">
        <w:t xml:space="preserve">PFO and </w:t>
      </w:r>
      <w:r w:rsidR="00167617">
        <w:t xml:space="preserve">assessing </w:t>
      </w:r>
      <w:r w:rsidR="00A55EFA">
        <w:t xml:space="preserve">the </w:t>
      </w:r>
      <w:r w:rsidR="00167617">
        <w:t xml:space="preserve">anatomical </w:t>
      </w:r>
      <w:r w:rsidR="00A55EFA">
        <w:t>characteristics</w:t>
      </w:r>
      <w:r w:rsidR="00167617">
        <w:t xml:space="preserve"> relevant to</w:t>
      </w:r>
      <w:r w:rsidR="000E18D6">
        <w:t xml:space="preserve"> decisions regarding suitability for percutaneous closure.</w:t>
      </w:r>
    </w:p>
    <w:p w14:paraId="6ACB65F2" w14:textId="2E5493DE" w:rsidR="000E18D6" w:rsidRDefault="000E18D6" w:rsidP="000E18D6">
      <w:r>
        <w:t>However, TOE is a sem</w:t>
      </w:r>
      <w:r w:rsidR="0099181E">
        <w:t>i-</w:t>
      </w:r>
      <w:r>
        <w:t>invasive procedure that is typically uncomfortable for patients, often requires conscious sedation, and carries a small risk of complications</w:t>
      </w:r>
      <w:r w:rsidR="00333B76">
        <w:t xml:space="preserve">, including bleeding, aspiration or oesophageal perforation </w:t>
      </w:r>
      <w:r>
        <w:t>(Mahmoud et</w:t>
      </w:r>
      <w:r>
        <w:rPr>
          <w:rFonts w:cs="Calibri"/>
        </w:rPr>
        <w:t> </w:t>
      </w:r>
      <w:r>
        <w:t>al. 2017</w:t>
      </w:r>
      <w:r w:rsidR="00333B76">
        <w:t xml:space="preserve">; </w:t>
      </w:r>
      <w:proofErr w:type="spellStart"/>
      <w:r w:rsidR="00333B76">
        <w:t>Pristipino</w:t>
      </w:r>
      <w:proofErr w:type="spellEnd"/>
      <w:r w:rsidR="00333B76">
        <w:t xml:space="preserve"> et al. </w:t>
      </w:r>
      <w:r w:rsidR="00820B88">
        <w:t>2019</w:t>
      </w:r>
      <w:r>
        <w:t xml:space="preserve">). In addition, access </w:t>
      </w:r>
      <w:r w:rsidR="00735C92">
        <w:t>to TOE</w:t>
      </w:r>
      <w:r>
        <w:t xml:space="preserve"> may be limited, with delays in availability, particularly in public hospital settings (Chambers et</w:t>
      </w:r>
      <w:r>
        <w:rPr>
          <w:rFonts w:cs="Calibri"/>
        </w:rPr>
        <w:t> </w:t>
      </w:r>
      <w:r>
        <w:t>al. 2026).</w:t>
      </w:r>
    </w:p>
    <w:p w14:paraId="1812F2B9" w14:textId="080A79EB" w:rsidR="000E18D6" w:rsidRDefault="000E18D6" w:rsidP="000E18D6">
      <w:r>
        <w:lastRenderedPageBreak/>
        <w:t xml:space="preserve">Importantly, TOE with bubble contrast </w:t>
      </w:r>
      <w:r w:rsidR="00990287">
        <w:t xml:space="preserve">is </w:t>
      </w:r>
      <w:r>
        <w:t>an imperfect reference standard. Its diagnostic performance may be reduced by factors such as sedation</w:t>
      </w:r>
      <w:r w:rsidR="00B25A2A">
        <w:t xml:space="preserve"> and left lateral positioning</w:t>
      </w:r>
      <w:r>
        <w:t>, which can impair the patient’s ability to perform an effective Valsalva manoeuvre</w:t>
      </w:r>
      <w:r w:rsidR="00B17C82">
        <w:t xml:space="preserve"> and thereby reduce the likelihood of provoking </w:t>
      </w:r>
      <w:r w:rsidR="00AE1385">
        <w:t xml:space="preserve">right-to-left shunting during the examination. </w:t>
      </w:r>
      <w:r w:rsidR="00AB1AC8">
        <w:t>More generally</w:t>
      </w:r>
      <w:r>
        <w:t xml:space="preserve">, </w:t>
      </w:r>
      <w:r w:rsidR="00670F92">
        <w:t xml:space="preserve">right-to-left </w:t>
      </w:r>
      <w:r w:rsidR="007B0794">
        <w:t xml:space="preserve">shunting through a PFO may be </w:t>
      </w:r>
      <w:r>
        <w:t>intermittent</w:t>
      </w:r>
      <w:r w:rsidR="00851C7A">
        <w:t xml:space="preserve"> and </w:t>
      </w:r>
      <w:r w:rsidR="00670F92">
        <w:t>dependent on transient</w:t>
      </w:r>
      <w:r w:rsidR="00851C7A">
        <w:t xml:space="preserve"> </w:t>
      </w:r>
      <w:r w:rsidR="004C58A7">
        <w:t>haemodynamic</w:t>
      </w:r>
      <w:r w:rsidR="00851C7A">
        <w:t xml:space="preserve"> conditions, meaning that </w:t>
      </w:r>
      <w:r w:rsidR="006D7111">
        <w:t>shunt</w:t>
      </w:r>
      <w:r w:rsidR="004C58A7">
        <w:t>s may not be demonstrated</w:t>
      </w:r>
      <w:r w:rsidR="006D7111">
        <w:t xml:space="preserve"> at the time of testing</w:t>
      </w:r>
      <w:r w:rsidR="004C58A7">
        <w:t xml:space="preserve"> despite the presence of an anatomically patent PFO</w:t>
      </w:r>
      <w:r>
        <w:t xml:space="preserve">. </w:t>
      </w:r>
      <w:r w:rsidR="002048F1">
        <w:t>Although this limitation applies to TOE with bubble contrast</w:t>
      </w:r>
      <w:r w:rsidR="00FD4099">
        <w:t xml:space="preserve"> and both triage tests (</w:t>
      </w:r>
      <w:r w:rsidR="002048F1">
        <w:t>TTE with bubble contrast and TCD bubble testing</w:t>
      </w:r>
      <w:r w:rsidR="00FD4099">
        <w:t>)</w:t>
      </w:r>
      <w:r w:rsidR="002048F1">
        <w:t>,</w:t>
      </w:r>
      <w:r w:rsidR="00AE497B">
        <w:t xml:space="preserve"> TOE may be </w:t>
      </w:r>
      <w:r w:rsidR="002048F1">
        <w:t>particularly vulnerable to under-detection</w:t>
      </w:r>
      <w:r w:rsidR="00CB09C4">
        <w:t xml:space="preserve"> because factors associated with the procedure can impair shunt provocation. </w:t>
      </w:r>
      <w:r>
        <w:t xml:space="preserve">Consequently, when TCD is compared against TOE, </w:t>
      </w:r>
      <w:r w:rsidR="00E001E2">
        <w:t xml:space="preserve">some </w:t>
      </w:r>
      <w:r>
        <w:t xml:space="preserve">apparent false positive TCD </w:t>
      </w:r>
      <w:r w:rsidR="00E46158">
        <w:t xml:space="preserve">bubble testing </w:t>
      </w:r>
      <w:r>
        <w:t>results may</w:t>
      </w:r>
      <w:r w:rsidR="00E001E2">
        <w:t xml:space="preserve"> in fact</w:t>
      </w:r>
      <w:r>
        <w:t xml:space="preserve"> represent true </w:t>
      </w:r>
      <w:r w:rsidR="00E001E2">
        <w:t xml:space="preserve">right-to-left </w:t>
      </w:r>
      <w:r>
        <w:t xml:space="preserve">shunts </w:t>
      </w:r>
      <w:r w:rsidR="00E001E2">
        <w:t xml:space="preserve">that were </w:t>
      </w:r>
      <w:r>
        <w:t xml:space="preserve">not detected </w:t>
      </w:r>
      <w:r w:rsidR="00CC4020">
        <w:t>on</w:t>
      </w:r>
      <w:r w:rsidR="00E46158">
        <w:t xml:space="preserve"> </w:t>
      </w:r>
      <w:r>
        <w:t>TOE</w:t>
      </w:r>
      <w:r w:rsidR="00E46158">
        <w:t xml:space="preserve"> with bubble contrast</w:t>
      </w:r>
      <w:r>
        <w:t>.</w:t>
      </w:r>
    </w:p>
    <w:p w14:paraId="29F655C9" w14:textId="37C9BF0F" w:rsidR="000E18D6" w:rsidRDefault="003065F6" w:rsidP="000E18D6">
      <w:r>
        <w:t>Wi</w:t>
      </w:r>
      <w:r w:rsidR="00366453">
        <w:t>thin the</w:t>
      </w:r>
      <w:r w:rsidR="000E18D6">
        <w:t xml:space="preserve"> clinical pathway, TOE is typically </w:t>
      </w:r>
      <w:r w:rsidR="00366453">
        <w:t xml:space="preserve">performed </w:t>
      </w:r>
      <w:r w:rsidR="000E18D6">
        <w:t xml:space="preserve">as a confirmatory test following initial screening. </w:t>
      </w:r>
      <w:r w:rsidR="00462A11">
        <w:t xml:space="preserve">Patients with a </w:t>
      </w:r>
      <w:r w:rsidR="000E18D6">
        <w:t xml:space="preserve">positive TCD bubble test </w:t>
      </w:r>
      <w:r w:rsidR="00A34B0B">
        <w:t xml:space="preserve">or TTE with bubble contrast </w:t>
      </w:r>
      <w:r w:rsidR="00EE730D">
        <w:t xml:space="preserve">are </w:t>
      </w:r>
      <w:r w:rsidR="000E18D6">
        <w:t>generally referr</w:t>
      </w:r>
      <w:r w:rsidR="00EE730D">
        <w:t>ed</w:t>
      </w:r>
      <w:r w:rsidR="000E18D6">
        <w:t xml:space="preserve"> for TOE to </w:t>
      </w:r>
      <w:r w:rsidR="00D228AD">
        <w:t xml:space="preserve">determine </w:t>
      </w:r>
      <w:r w:rsidR="00020B0D">
        <w:t xml:space="preserve">whether the </w:t>
      </w:r>
      <w:r w:rsidR="00FD750C">
        <w:t xml:space="preserve">identified </w:t>
      </w:r>
      <w:r w:rsidR="00020B0D">
        <w:t xml:space="preserve">right-to-left shunt is </w:t>
      </w:r>
      <w:r w:rsidR="00FD750C">
        <w:t>attributable</w:t>
      </w:r>
      <w:r w:rsidR="00020B0D">
        <w:t xml:space="preserve"> to a</w:t>
      </w:r>
      <w:r w:rsidR="00537419">
        <w:t xml:space="preserve"> PFO</w:t>
      </w:r>
      <w:r w:rsidR="007D1177">
        <w:t>,</w:t>
      </w:r>
      <w:r w:rsidR="000518C1">
        <w:t xml:space="preserve"> </w:t>
      </w:r>
      <w:r w:rsidR="00FD750C">
        <w:t xml:space="preserve">to </w:t>
      </w:r>
      <w:r w:rsidR="006A12B0">
        <w:t>assess</w:t>
      </w:r>
      <w:r w:rsidR="000518C1">
        <w:t xml:space="preserve"> anatomical features relevant to </w:t>
      </w:r>
      <w:r w:rsidR="00E45133">
        <w:t>risk stratification</w:t>
      </w:r>
      <w:r w:rsidR="006A12B0">
        <w:t xml:space="preserve"> and determination of causal relevance</w:t>
      </w:r>
      <w:r w:rsidR="000E18D6">
        <w:t xml:space="preserve">, and </w:t>
      </w:r>
      <w:r w:rsidR="006A12B0">
        <w:t>to support</w:t>
      </w:r>
      <w:r w:rsidR="000E18D6">
        <w:t xml:space="preserve"> procedural planning</w:t>
      </w:r>
      <w:r w:rsidR="00EA0AD0">
        <w:t>,</w:t>
      </w:r>
      <w:r w:rsidR="000E18D6">
        <w:t xml:space="preserve"> including device selection </w:t>
      </w:r>
      <w:r w:rsidR="00EA0AD0">
        <w:t xml:space="preserve">where </w:t>
      </w:r>
      <w:r w:rsidR="000E18D6">
        <w:t>closure</w:t>
      </w:r>
      <w:r w:rsidR="00EA0AD0">
        <w:t xml:space="preserve"> is being considered</w:t>
      </w:r>
      <w:r w:rsidR="000E18D6">
        <w:t xml:space="preserve">. Conversely, a negative </w:t>
      </w:r>
      <w:r w:rsidR="00A34B0B">
        <w:t>triage</w:t>
      </w:r>
      <w:r w:rsidR="000E18D6">
        <w:t xml:space="preserve"> test </w:t>
      </w:r>
      <w:r w:rsidR="004D3534">
        <w:t>may avoid</w:t>
      </w:r>
      <w:r w:rsidR="000E18D6">
        <w:t xml:space="preserve"> the need for </w:t>
      </w:r>
      <w:r w:rsidR="00E45133">
        <w:t>further PFO-specific</w:t>
      </w:r>
      <w:r w:rsidR="004E5822">
        <w:t xml:space="preserve"> investigation, including </w:t>
      </w:r>
      <w:r w:rsidR="000E18D6">
        <w:t xml:space="preserve">TOE, enabling more targeted use of this </w:t>
      </w:r>
      <w:r w:rsidR="004E5822">
        <w:t>semi-</w:t>
      </w:r>
      <w:r w:rsidR="000E18D6">
        <w:t xml:space="preserve">invasive </w:t>
      </w:r>
      <w:r w:rsidR="004E5822">
        <w:t>procedure</w:t>
      </w:r>
      <w:r w:rsidR="000E18D6">
        <w:t>.</w:t>
      </w:r>
    </w:p>
    <w:p w14:paraId="39F91FA7" w14:textId="51B38162" w:rsidR="00AA785B" w:rsidRDefault="000E18D6" w:rsidP="00CF4FB1">
      <w:r>
        <w:t xml:space="preserve">TOE is funded under existing MBS echocardiography </w:t>
      </w:r>
      <w:r w:rsidR="001A2CBE">
        <w:t xml:space="preserve">item </w:t>
      </w:r>
      <w:hyperlink r:id="rId17" w:history="1">
        <w:r w:rsidR="001A2CBE" w:rsidRPr="00DF11B6">
          <w:rPr>
            <w:rStyle w:val="Hyperlink"/>
            <w:rFonts w:ascii="Calibri" w:hAnsi="Calibri"/>
          </w:rPr>
          <w:t>55118</w:t>
        </w:r>
      </w:hyperlink>
      <w:r w:rsidR="001A2CBE">
        <w:t xml:space="preserve"> </w:t>
      </w:r>
      <w:r>
        <w:t>(</w:t>
      </w:r>
      <w:r w:rsidR="00FE2F5F" w:rsidRPr="000E18D6">
        <w:fldChar w:fldCharType="begin"/>
      </w:r>
      <w:r w:rsidR="00FE2F5F" w:rsidRPr="000E18D6">
        <w:instrText xml:space="preserve"> REF _Ref231326888 \h  \* MERGEFORMAT </w:instrText>
      </w:r>
      <w:r w:rsidR="00FE2F5F" w:rsidRPr="000E18D6">
        <w:fldChar w:fldCharType="separate"/>
      </w:r>
      <w:r w:rsidR="000D54C3">
        <w:t xml:space="preserve">Box </w:t>
      </w:r>
      <w:r w:rsidR="000D54C3">
        <w:rPr>
          <w:noProof/>
        </w:rPr>
        <w:t>3</w:t>
      </w:r>
      <w:r w:rsidR="00FE2F5F" w:rsidRPr="000E18D6">
        <w:fldChar w:fldCharType="end"/>
      </w:r>
      <w:r>
        <w:t xml:space="preserve">). As with TTE, there is no dedicated MBS item for the bubble contrast component, including </w:t>
      </w:r>
      <w:r w:rsidR="00770E43">
        <w:t>IV</w:t>
      </w:r>
      <w:r>
        <w:t xml:space="preserve"> cannulation, preparation and administration of agitated saline, or additional staff time, and these are typically absorbed within the overall procedure.</w:t>
      </w:r>
    </w:p>
    <w:p w14:paraId="2FFEE407" w14:textId="737B7016" w:rsidR="00871045" w:rsidRDefault="00871045" w:rsidP="00871045">
      <w:pPr>
        <w:pStyle w:val="Caption"/>
      </w:pPr>
      <w:bookmarkStart w:id="6" w:name="_Ref231326888"/>
      <w:r>
        <w:t xml:space="preserve">Box </w:t>
      </w:r>
      <w:r>
        <w:fldChar w:fldCharType="begin"/>
      </w:r>
      <w:r>
        <w:instrText xml:space="preserve"> SEQ Box \* ARABIC </w:instrText>
      </w:r>
      <w:r>
        <w:fldChar w:fldCharType="separate"/>
      </w:r>
      <w:r w:rsidR="000D54C3">
        <w:rPr>
          <w:noProof/>
        </w:rPr>
        <w:t>3</w:t>
      </w:r>
      <w:r>
        <w:fldChar w:fldCharType="end"/>
      </w:r>
      <w:bookmarkEnd w:id="6"/>
      <w:r>
        <w:tab/>
        <w:t xml:space="preserve">MBS item for </w:t>
      </w:r>
      <w:r w:rsidR="00E1468A">
        <w:t>transoesophageal echocardiography (</w:t>
      </w:r>
      <w:r w:rsidR="004050C5">
        <w:t>TOE</w:t>
      </w:r>
      <w:r w:rsidR="00E1468A">
        <w:t>)</w:t>
      </w:r>
    </w:p>
    <w:tbl>
      <w:tblPr>
        <w:tblStyle w:val="TableGrid"/>
        <w:tblW w:w="5000" w:type="pct"/>
        <w:tblInd w:w="0" w:type="dxa"/>
        <w:tblLook w:val="04A0" w:firstRow="1" w:lastRow="0" w:firstColumn="1" w:lastColumn="0" w:noHBand="0" w:noVBand="1"/>
        <w:tblCaption w:val="MBS item for transoesophageal echocardiography (TOE)"/>
        <w:tblDescription w:val="The box presents the descriptor and fee for MBS item 55118."/>
      </w:tblPr>
      <w:tblGrid>
        <w:gridCol w:w="9571"/>
      </w:tblGrid>
      <w:tr w:rsidR="00871045" w:rsidRPr="005771DC" w14:paraId="351D440D" w14:textId="77777777" w:rsidTr="00E96509">
        <w:trPr>
          <w:cantSplit/>
          <w:tblHeader/>
        </w:trPr>
        <w:tc>
          <w:tcPr>
            <w:tcW w:w="5000" w:type="pct"/>
            <w:tcBorders>
              <w:top w:val="single" w:sz="4" w:space="0" w:color="auto"/>
              <w:left w:val="single" w:sz="4" w:space="0" w:color="auto"/>
              <w:bottom w:val="single" w:sz="4" w:space="0" w:color="auto"/>
              <w:right w:val="single" w:sz="4" w:space="0" w:color="auto"/>
            </w:tcBorders>
            <w:vAlign w:val="center"/>
          </w:tcPr>
          <w:p w14:paraId="3E9D892B" w14:textId="77777777" w:rsidR="00871045" w:rsidRDefault="00871045">
            <w:pPr>
              <w:pStyle w:val="TableHeading"/>
              <w:jc w:val="right"/>
            </w:pPr>
            <w:r w:rsidRPr="00DE762F">
              <w:t xml:space="preserve">Category </w:t>
            </w:r>
            <w:r>
              <w:t>5</w:t>
            </w:r>
            <w:r w:rsidRPr="00D2670B">
              <w:t xml:space="preserve"> – </w:t>
            </w:r>
            <w:r>
              <w:t>DIAGNOSTIC IMAGING SERVICES</w:t>
            </w:r>
          </w:p>
          <w:p w14:paraId="3CA4133C" w14:textId="77777777" w:rsidR="00E96509" w:rsidRDefault="00E96509" w:rsidP="00E96509">
            <w:pPr>
              <w:spacing w:before="40" w:after="40" w:line="240" w:lineRule="auto"/>
              <w:jc w:val="right"/>
              <w:rPr>
                <w:rFonts w:ascii="Arial Narrow" w:hAnsi="Arial Narrow"/>
                <w:sz w:val="20"/>
                <w:szCs w:val="20"/>
              </w:rPr>
            </w:pPr>
            <w:r w:rsidRPr="000061E5">
              <w:rPr>
                <w:rFonts w:ascii="Arial Narrow" w:hAnsi="Arial Narrow"/>
                <w:sz w:val="20"/>
                <w:szCs w:val="20"/>
              </w:rPr>
              <w:t xml:space="preserve">Group </w:t>
            </w:r>
            <w:r>
              <w:rPr>
                <w:rFonts w:ascii="Arial Narrow" w:hAnsi="Arial Narrow"/>
                <w:sz w:val="20"/>
                <w:szCs w:val="20"/>
              </w:rPr>
              <w:t>I</w:t>
            </w:r>
            <w:r w:rsidRPr="000061E5">
              <w:rPr>
                <w:rFonts w:ascii="Arial Narrow" w:hAnsi="Arial Narrow"/>
                <w:sz w:val="20"/>
                <w:szCs w:val="20"/>
              </w:rPr>
              <w:t xml:space="preserve">1 – </w:t>
            </w:r>
            <w:r>
              <w:rPr>
                <w:rFonts w:ascii="Arial Narrow" w:hAnsi="Arial Narrow"/>
                <w:sz w:val="20"/>
                <w:szCs w:val="20"/>
              </w:rPr>
              <w:t>Ultrasound</w:t>
            </w:r>
          </w:p>
          <w:p w14:paraId="3AD91592" w14:textId="101C9776" w:rsidR="00E96509" w:rsidRPr="00E96509" w:rsidRDefault="00E96509" w:rsidP="00E96509">
            <w:pPr>
              <w:spacing w:after="120" w:line="240" w:lineRule="auto"/>
              <w:jc w:val="right"/>
              <w:rPr>
                <w:rFonts w:ascii="Arial Narrow" w:hAnsi="Arial Narrow"/>
                <w:sz w:val="20"/>
                <w:szCs w:val="20"/>
              </w:rPr>
            </w:pPr>
            <w:r>
              <w:rPr>
                <w:rFonts w:ascii="Arial Narrow" w:hAnsi="Arial Narrow"/>
                <w:sz w:val="20"/>
                <w:szCs w:val="20"/>
              </w:rPr>
              <w:t>Subgroup 2 – Cardiac</w:t>
            </w:r>
          </w:p>
        </w:tc>
      </w:tr>
      <w:tr w:rsidR="00871045" w:rsidRPr="005771DC" w14:paraId="26F71022" w14:textId="77777777" w:rsidTr="00E96509">
        <w:trPr>
          <w:cantSplit/>
          <w:tblHeader/>
        </w:trPr>
        <w:tc>
          <w:tcPr>
            <w:tcW w:w="5000" w:type="pct"/>
            <w:tcBorders>
              <w:top w:val="single" w:sz="4" w:space="0" w:color="auto"/>
              <w:left w:val="single" w:sz="4" w:space="0" w:color="auto"/>
              <w:bottom w:val="dotted" w:sz="4" w:space="0" w:color="auto"/>
              <w:right w:val="single" w:sz="4" w:space="0" w:color="auto"/>
            </w:tcBorders>
            <w:vAlign w:val="center"/>
          </w:tcPr>
          <w:p w14:paraId="7D2F2E83" w14:textId="77777777" w:rsidR="00871045" w:rsidRDefault="00871045">
            <w:pPr>
              <w:spacing w:before="120" w:after="120" w:line="240" w:lineRule="auto"/>
              <w:rPr>
                <w:rFonts w:ascii="Arial Narrow" w:hAnsi="Arial Narrow"/>
                <w:sz w:val="20"/>
                <w:szCs w:val="20"/>
              </w:rPr>
            </w:pPr>
            <w:r>
              <w:rPr>
                <w:rFonts w:ascii="Arial Narrow" w:hAnsi="Arial Narrow"/>
                <w:sz w:val="20"/>
                <w:szCs w:val="20"/>
              </w:rPr>
              <w:t>Item 55118</w:t>
            </w:r>
          </w:p>
          <w:p w14:paraId="1618510D" w14:textId="4A5031E5" w:rsidR="00871045" w:rsidRPr="00F314BF" w:rsidRDefault="00871045">
            <w:pPr>
              <w:spacing w:before="120" w:after="120" w:line="240" w:lineRule="auto"/>
              <w:rPr>
                <w:rFonts w:ascii="Arial Narrow" w:hAnsi="Arial Narrow"/>
                <w:sz w:val="20"/>
                <w:szCs w:val="20"/>
              </w:rPr>
            </w:pPr>
            <w:r w:rsidRPr="00F314BF">
              <w:rPr>
                <w:rFonts w:ascii="Arial Narrow" w:hAnsi="Arial Narrow"/>
                <w:sz w:val="20"/>
                <w:szCs w:val="20"/>
              </w:rPr>
              <w:t>Heart, tw</w:t>
            </w:r>
            <w:r w:rsidR="00D553F5">
              <w:rPr>
                <w:rFonts w:ascii="Arial Narrow" w:hAnsi="Arial Narrow"/>
                <w:sz w:val="20"/>
                <w:szCs w:val="20"/>
              </w:rPr>
              <w:t>o-</w:t>
            </w:r>
            <w:r w:rsidRPr="00F314BF">
              <w:rPr>
                <w:rFonts w:ascii="Arial Narrow" w:hAnsi="Arial Narrow"/>
                <w:sz w:val="20"/>
                <w:szCs w:val="20"/>
              </w:rPr>
              <w:t>dimensional or thre</w:t>
            </w:r>
            <w:r w:rsidR="00D553F5">
              <w:rPr>
                <w:rFonts w:ascii="Arial Narrow" w:hAnsi="Arial Narrow"/>
                <w:sz w:val="20"/>
                <w:szCs w:val="20"/>
              </w:rPr>
              <w:t>e-</w:t>
            </w:r>
            <w:r w:rsidRPr="00F314BF">
              <w:rPr>
                <w:rFonts w:ascii="Arial Narrow" w:hAnsi="Arial Narrow"/>
                <w:sz w:val="20"/>
                <w:szCs w:val="20"/>
              </w:rPr>
              <w:t>dimensional real time transoesophageal examination of, from at least 2 levels, and in more than one plane at each level, if:</w:t>
            </w:r>
          </w:p>
          <w:p w14:paraId="3DEA2422" w14:textId="77777777" w:rsidR="00871045" w:rsidRPr="00F314BF" w:rsidRDefault="00871045">
            <w:pPr>
              <w:spacing w:before="120" w:after="40" w:line="240" w:lineRule="auto"/>
              <w:rPr>
                <w:rFonts w:ascii="Arial Narrow" w:hAnsi="Arial Narrow"/>
                <w:sz w:val="20"/>
                <w:szCs w:val="20"/>
              </w:rPr>
            </w:pPr>
            <w:r w:rsidRPr="00F314BF">
              <w:rPr>
                <w:rFonts w:ascii="Arial Narrow" w:hAnsi="Arial Narrow"/>
                <w:sz w:val="20"/>
                <w:szCs w:val="20"/>
              </w:rPr>
              <w:t>(a) the service includes:</w:t>
            </w:r>
          </w:p>
          <w:p w14:paraId="5A78FFF8" w14:textId="77777777" w:rsidR="00871045" w:rsidRPr="00F314BF" w:rsidRDefault="00871045">
            <w:pPr>
              <w:spacing w:before="40" w:after="40" w:line="240" w:lineRule="auto"/>
              <w:ind w:left="306"/>
              <w:rPr>
                <w:rFonts w:ascii="Arial Narrow" w:hAnsi="Arial Narrow"/>
                <w:sz w:val="20"/>
                <w:szCs w:val="20"/>
              </w:rPr>
            </w:pPr>
            <w:r w:rsidRPr="00F314BF">
              <w:rPr>
                <w:rFonts w:ascii="Arial Narrow" w:hAnsi="Arial Narrow"/>
                <w:sz w:val="20"/>
                <w:szCs w:val="20"/>
              </w:rPr>
              <w:t>(</w:t>
            </w:r>
            <w:proofErr w:type="spellStart"/>
            <w:r w:rsidRPr="00F314BF">
              <w:rPr>
                <w:rFonts w:ascii="Arial Narrow" w:hAnsi="Arial Narrow"/>
                <w:sz w:val="20"/>
                <w:szCs w:val="20"/>
              </w:rPr>
              <w:t>i</w:t>
            </w:r>
            <w:proofErr w:type="spellEnd"/>
            <w:r w:rsidRPr="00F314BF">
              <w:rPr>
                <w:rFonts w:ascii="Arial Narrow" w:hAnsi="Arial Narrow"/>
                <w:sz w:val="20"/>
                <w:szCs w:val="20"/>
              </w:rPr>
              <w:t>) real time colour flow mapping and, if indicated, pulsed wave Doppler examination; and</w:t>
            </w:r>
          </w:p>
          <w:p w14:paraId="6F00C234" w14:textId="77777777" w:rsidR="00871045" w:rsidRPr="00F314BF" w:rsidRDefault="00871045">
            <w:pPr>
              <w:spacing w:before="40" w:after="120" w:line="240" w:lineRule="auto"/>
              <w:ind w:left="306"/>
              <w:rPr>
                <w:rFonts w:ascii="Arial Narrow" w:hAnsi="Arial Narrow"/>
                <w:sz w:val="20"/>
                <w:szCs w:val="20"/>
              </w:rPr>
            </w:pPr>
            <w:r w:rsidRPr="00F314BF">
              <w:rPr>
                <w:rFonts w:ascii="Arial Narrow" w:hAnsi="Arial Narrow"/>
                <w:sz w:val="20"/>
                <w:szCs w:val="20"/>
              </w:rPr>
              <w:t>(ii) recordings on digital media; and</w:t>
            </w:r>
          </w:p>
          <w:p w14:paraId="0B27416D" w14:textId="77777777" w:rsidR="00871045" w:rsidRPr="00F314BF" w:rsidRDefault="00871045">
            <w:pPr>
              <w:spacing w:before="120" w:after="40" w:line="240" w:lineRule="auto"/>
              <w:rPr>
                <w:rFonts w:ascii="Arial Narrow" w:hAnsi="Arial Narrow"/>
                <w:sz w:val="20"/>
                <w:szCs w:val="20"/>
              </w:rPr>
            </w:pPr>
            <w:r w:rsidRPr="00F314BF">
              <w:rPr>
                <w:rFonts w:ascii="Arial Narrow" w:hAnsi="Arial Narrow"/>
                <w:sz w:val="20"/>
                <w:szCs w:val="20"/>
              </w:rPr>
              <w:t>(b) the service is not:</w:t>
            </w:r>
          </w:p>
          <w:p w14:paraId="7C05A1E0" w14:textId="5CFD1A72" w:rsidR="00871045" w:rsidRPr="00F314BF" w:rsidRDefault="00871045">
            <w:pPr>
              <w:spacing w:before="40" w:after="40" w:line="240" w:lineRule="auto"/>
              <w:ind w:left="306"/>
              <w:rPr>
                <w:rFonts w:ascii="Arial Narrow" w:hAnsi="Arial Narrow"/>
                <w:sz w:val="20"/>
                <w:szCs w:val="20"/>
              </w:rPr>
            </w:pPr>
            <w:r w:rsidRPr="00F314BF">
              <w:rPr>
                <w:rFonts w:ascii="Arial Narrow" w:hAnsi="Arial Narrow"/>
                <w:sz w:val="20"/>
                <w:szCs w:val="20"/>
              </w:rPr>
              <w:t>(</w:t>
            </w:r>
            <w:proofErr w:type="spellStart"/>
            <w:r w:rsidRPr="00F314BF">
              <w:rPr>
                <w:rFonts w:ascii="Arial Narrow" w:hAnsi="Arial Narrow"/>
                <w:sz w:val="20"/>
                <w:szCs w:val="20"/>
              </w:rPr>
              <w:t>i</w:t>
            </w:r>
            <w:proofErr w:type="spellEnd"/>
            <w:r w:rsidRPr="00F314BF">
              <w:rPr>
                <w:rFonts w:ascii="Arial Narrow" w:hAnsi="Arial Narrow"/>
                <w:sz w:val="20"/>
                <w:szCs w:val="20"/>
              </w:rPr>
              <w:t>) an intr</w:t>
            </w:r>
            <w:r w:rsidR="00D553F5">
              <w:rPr>
                <w:rFonts w:ascii="Arial Narrow" w:hAnsi="Arial Narrow"/>
                <w:sz w:val="20"/>
                <w:szCs w:val="20"/>
              </w:rPr>
              <w:t>a-</w:t>
            </w:r>
            <w:r w:rsidRPr="00F314BF">
              <w:rPr>
                <w:rFonts w:ascii="Arial Narrow" w:hAnsi="Arial Narrow"/>
                <w:sz w:val="20"/>
                <w:szCs w:val="20"/>
              </w:rPr>
              <w:t>operative service; or</w:t>
            </w:r>
          </w:p>
          <w:p w14:paraId="7F1FFFD0" w14:textId="77777777" w:rsidR="00871045" w:rsidRPr="00F314BF" w:rsidRDefault="00871045">
            <w:pPr>
              <w:spacing w:before="40" w:after="120" w:line="240" w:lineRule="auto"/>
              <w:ind w:left="306"/>
              <w:rPr>
                <w:rFonts w:ascii="Arial Narrow" w:hAnsi="Arial Narrow"/>
                <w:sz w:val="20"/>
                <w:szCs w:val="20"/>
              </w:rPr>
            </w:pPr>
            <w:r w:rsidRPr="00F314BF">
              <w:rPr>
                <w:rFonts w:ascii="Arial Narrow" w:hAnsi="Arial Narrow"/>
                <w:sz w:val="20"/>
                <w:szCs w:val="20"/>
              </w:rPr>
              <w:t>(ii) a service associated with a service to which an item in Subgroup 3 of this Group applies</w:t>
            </w:r>
          </w:p>
          <w:p w14:paraId="09A5CF11" w14:textId="77777777" w:rsidR="00871045" w:rsidRPr="00F314BF" w:rsidRDefault="00871045">
            <w:pPr>
              <w:spacing w:before="120" w:after="120" w:line="240" w:lineRule="auto"/>
              <w:rPr>
                <w:rFonts w:ascii="Arial Narrow" w:hAnsi="Arial Narrow"/>
                <w:sz w:val="20"/>
                <w:szCs w:val="20"/>
              </w:rPr>
            </w:pPr>
            <w:r w:rsidRPr="00F314BF">
              <w:rPr>
                <w:rFonts w:ascii="Arial Narrow" w:hAnsi="Arial Narrow"/>
                <w:sz w:val="20"/>
                <w:szCs w:val="20"/>
              </w:rPr>
              <w:t>(R) (H)</w:t>
            </w:r>
          </w:p>
          <w:p w14:paraId="3905866F" w14:textId="77777777" w:rsidR="00871045" w:rsidRPr="00F314BF" w:rsidRDefault="00871045">
            <w:pPr>
              <w:spacing w:before="120" w:after="120" w:line="240" w:lineRule="auto"/>
              <w:rPr>
                <w:rFonts w:ascii="Arial Narrow" w:hAnsi="Arial Narrow"/>
                <w:sz w:val="20"/>
                <w:szCs w:val="20"/>
                <w:u w:val="single"/>
              </w:rPr>
            </w:pPr>
            <w:r w:rsidRPr="00F314BF">
              <w:rPr>
                <w:rFonts w:ascii="Arial Narrow" w:hAnsi="Arial Narrow"/>
                <w:sz w:val="20"/>
                <w:szCs w:val="20"/>
                <w:u w:val="single"/>
              </w:rPr>
              <w:t>Bulk bill incentive</w:t>
            </w:r>
          </w:p>
          <w:p w14:paraId="24032033" w14:textId="77777777" w:rsidR="00871045" w:rsidRPr="00FA591B" w:rsidRDefault="00871045">
            <w:pPr>
              <w:spacing w:before="120" w:after="120" w:line="240" w:lineRule="auto"/>
              <w:rPr>
                <w:rFonts w:ascii="Arial Narrow" w:hAnsi="Arial Narrow"/>
                <w:b/>
                <w:bCs/>
                <w:sz w:val="20"/>
                <w:szCs w:val="20"/>
              </w:rPr>
            </w:pPr>
            <w:r w:rsidRPr="00F314BF">
              <w:rPr>
                <w:rFonts w:ascii="Arial Narrow" w:hAnsi="Arial Narrow"/>
                <w:sz w:val="20"/>
                <w:szCs w:val="20"/>
              </w:rPr>
              <w:t>(Anaes.)</w:t>
            </w:r>
          </w:p>
        </w:tc>
      </w:tr>
      <w:tr w:rsidR="00871045" w:rsidRPr="005771DC" w14:paraId="05263375" w14:textId="77777777">
        <w:trPr>
          <w:cantSplit/>
          <w:tblHeader/>
        </w:trPr>
        <w:tc>
          <w:tcPr>
            <w:tcW w:w="5000" w:type="pct"/>
            <w:tcBorders>
              <w:top w:val="dotted" w:sz="4" w:space="0" w:color="auto"/>
              <w:left w:val="single" w:sz="4" w:space="0" w:color="auto"/>
              <w:bottom w:val="single" w:sz="4" w:space="0" w:color="auto"/>
              <w:right w:val="single" w:sz="4" w:space="0" w:color="auto"/>
            </w:tcBorders>
            <w:vAlign w:val="center"/>
          </w:tcPr>
          <w:p w14:paraId="6F32A664" w14:textId="7825B1C0" w:rsidR="00871045" w:rsidRPr="00FA591B" w:rsidRDefault="00871045">
            <w:pPr>
              <w:spacing w:before="40" w:after="40" w:line="240" w:lineRule="auto"/>
              <w:rPr>
                <w:rFonts w:ascii="Arial Narrow" w:hAnsi="Arial Narrow"/>
                <w:b/>
                <w:bCs/>
                <w:sz w:val="20"/>
                <w:szCs w:val="20"/>
              </w:rPr>
            </w:pPr>
            <w:r w:rsidRPr="00FA591B">
              <w:rPr>
                <w:rFonts w:ascii="Arial Narrow" w:hAnsi="Arial Narrow"/>
                <w:b/>
                <w:bCs/>
                <w:sz w:val="20"/>
                <w:szCs w:val="20"/>
              </w:rPr>
              <w:t>Fee:</w:t>
            </w:r>
            <w:r w:rsidRPr="00DE762F">
              <w:rPr>
                <w:rFonts w:ascii="Arial Narrow" w:hAnsi="Arial Narrow"/>
                <w:sz w:val="20"/>
                <w:szCs w:val="20"/>
              </w:rPr>
              <w:t xml:space="preserve"> </w:t>
            </w:r>
            <w:r>
              <w:rPr>
                <w:rFonts w:ascii="Arial Narrow" w:hAnsi="Arial Narrow"/>
                <w:sz w:val="20"/>
                <w:szCs w:val="20"/>
              </w:rPr>
              <w:t>$</w:t>
            </w:r>
            <w:r w:rsidR="00F95643">
              <w:rPr>
                <w:rFonts w:ascii="Arial Narrow" w:hAnsi="Arial Narrow"/>
                <w:sz w:val="20"/>
                <w:szCs w:val="20"/>
              </w:rPr>
              <w:t>324.50</w:t>
            </w:r>
            <w:r>
              <w:rPr>
                <w:rFonts w:ascii="Arial Narrow" w:hAnsi="Arial Narrow"/>
                <w:sz w:val="20"/>
                <w:szCs w:val="20"/>
              </w:rPr>
              <w:t xml:space="preserve"> </w:t>
            </w:r>
            <w:r w:rsidRPr="00FA591B">
              <w:rPr>
                <w:rFonts w:ascii="Arial Narrow" w:hAnsi="Arial Narrow"/>
                <w:b/>
                <w:bCs/>
                <w:sz w:val="20"/>
                <w:szCs w:val="20"/>
              </w:rPr>
              <w:t>Benefit:</w:t>
            </w:r>
            <w:r>
              <w:rPr>
                <w:rFonts w:ascii="Arial Narrow" w:hAnsi="Arial Narrow"/>
                <w:sz w:val="20"/>
                <w:szCs w:val="20"/>
              </w:rPr>
              <w:t xml:space="preserve"> 75% = $</w:t>
            </w:r>
            <w:r w:rsidR="00F95643">
              <w:rPr>
                <w:rFonts w:ascii="Arial Narrow" w:hAnsi="Arial Narrow"/>
                <w:sz w:val="20"/>
                <w:szCs w:val="20"/>
              </w:rPr>
              <w:t>243.40</w:t>
            </w:r>
          </w:p>
        </w:tc>
      </w:tr>
    </w:tbl>
    <w:p w14:paraId="2590BCFD" w14:textId="59211041" w:rsidR="00871045" w:rsidRDefault="00871045" w:rsidP="00C81928">
      <w:pPr>
        <w:pStyle w:val="Tablenotes"/>
        <w:spacing w:after="360"/>
      </w:pPr>
      <w:r>
        <w:t xml:space="preserve">Source: MBS Online, accessed </w:t>
      </w:r>
      <w:r w:rsidR="00B2362B">
        <w:t>14 July</w:t>
      </w:r>
      <w:r>
        <w:t xml:space="preserve"> 2026.</w:t>
      </w:r>
    </w:p>
    <w:p w14:paraId="446EF0F6" w14:textId="71AA21F7" w:rsidR="004C3C22" w:rsidRDefault="00C81928" w:rsidP="00CF39D6">
      <w:pPr>
        <w:pStyle w:val="Tablenotes"/>
        <w:spacing w:line="276" w:lineRule="auto"/>
      </w:pPr>
      <w:r>
        <w:rPr>
          <w:rFonts w:asciiTheme="minorHAnsi" w:hAnsiTheme="minorHAnsi" w:cstheme="minorHAnsi"/>
          <w:i/>
          <w:iCs/>
          <w:sz w:val="22"/>
        </w:rPr>
        <w:t>PASC considered TOE with bubble contrast and</w:t>
      </w:r>
      <w:r w:rsidRPr="00AE03DE">
        <w:rPr>
          <w:rFonts w:asciiTheme="minorHAnsi" w:hAnsiTheme="minorHAnsi" w:cstheme="minorHAnsi"/>
          <w:i/>
          <w:iCs/>
          <w:sz w:val="22"/>
        </w:rPr>
        <w:t xml:space="preserve"> provocati</w:t>
      </w:r>
      <w:r>
        <w:rPr>
          <w:rFonts w:asciiTheme="minorHAnsi" w:hAnsiTheme="minorHAnsi" w:cstheme="minorHAnsi"/>
          <w:i/>
          <w:iCs/>
          <w:sz w:val="22"/>
        </w:rPr>
        <w:t>on</w:t>
      </w:r>
      <w:r w:rsidRPr="00AE03DE">
        <w:rPr>
          <w:rFonts w:asciiTheme="minorHAnsi" w:hAnsiTheme="minorHAnsi" w:cstheme="minorHAnsi"/>
          <w:i/>
          <w:iCs/>
          <w:sz w:val="22"/>
        </w:rPr>
        <w:t xml:space="preserve"> manoeuvre</w:t>
      </w:r>
      <w:r>
        <w:rPr>
          <w:rFonts w:asciiTheme="minorHAnsi" w:hAnsiTheme="minorHAnsi" w:cstheme="minorHAnsi"/>
          <w:i/>
          <w:iCs/>
          <w:sz w:val="22"/>
        </w:rPr>
        <w:t xml:space="preserve"> to be the appropriate reference standard. PASC noted that, although TOE is regarded as the gold standard, </w:t>
      </w:r>
      <w:r w:rsidRPr="00125474">
        <w:rPr>
          <w:rFonts w:asciiTheme="minorHAnsi" w:hAnsiTheme="minorHAnsi" w:cstheme="minorHAnsi"/>
          <w:i/>
          <w:iCs/>
          <w:sz w:val="22"/>
        </w:rPr>
        <w:t xml:space="preserve">sedation can limit the ability to </w:t>
      </w:r>
      <w:r w:rsidRPr="00125474">
        <w:rPr>
          <w:rFonts w:asciiTheme="minorHAnsi" w:hAnsiTheme="minorHAnsi" w:cstheme="minorHAnsi"/>
          <w:i/>
          <w:iCs/>
          <w:sz w:val="22"/>
        </w:rPr>
        <w:lastRenderedPageBreak/>
        <w:t>perform provocati</w:t>
      </w:r>
      <w:r>
        <w:rPr>
          <w:rFonts w:asciiTheme="minorHAnsi" w:hAnsiTheme="minorHAnsi" w:cstheme="minorHAnsi"/>
          <w:i/>
          <w:iCs/>
          <w:sz w:val="22"/>
        </w:rPr>
        <w:t>on</w:t>
      </w:r>
      <w:r w:rsidRPr="00125474">
        <w:rPr>
          <w:rFonts w:asciiTheme="minorHAnsi" w:hAnsiTheme="minorHAnsi" w:cstheme="minorHAnsi"/>
          <w:i/>
          <w:iCs/>
          <w:sz w:val="22"/>
        </w:rPr>
        <w:t xml:space="preserve"> manoeuvres</w:t>
      </w:r>
      <w:r>
        <w:rPr>
          <w:rFonts w:asciiTheme="minorHAnsi" w:hAnsiTheme="minorHAnsi" w:cstheme="minorHAnsi"/>
          <w:i/>
          <w:iCs/>
          <w:sz w:val="22"/>
        </w:rPr>
        <w:t xml:space="preserve"> and may reduce sensitivity for detecting right-to-left shunts in some patients</w:t>
      </w:r>
      <w:r w:rsidRPr="00125474">
        <w:rPr>
          <w:rFonts w:asciiTheme="minorHAnsi" w:hAnsiTheme="minorHAnsi" w:cstheme="minorHAnsi"/>
          <w:i/>
          <w:iCs/>
          <w:sz w:val="22"/>
        </w:rPr>
        <w:t>. Despite this limitation, PASC considered TOE to be an appropriate pragmatic reference standard.</w:t>
      </w:r>
    </w:p>
    <w:p w14:paraId="29C1EA87" w14:textId="18314BB3" w:rsidR="007A66C8" w:rsidRDefault="007A66C8" w:rsidP="00A241D9">
      <w:pPr>
        <w:pStyle w:val="Heading3"/>
      </w:pPr>
      <w:r w:rsidRPr="008F1532">
        <w:t>Outcomes</w:t>
      </w:r>
    </w:p>
    <w:p w14:paraId="2FD72780" w14:textId="467488FF" w:rsidR="003D5C54" w:rsidRDefault="003D5C54" w:rsidP="003D5C54">
      <w:r>
        <w:t>The outcomes re</w:t>
      </w:r>
      <w:r w:rsidR="00F17E5F">
        <w:t>levant to the assessment of the TC</w:t>
      </w:r>
      <w:r w:rsidR="00D53563">
        <w:t>D</w:t>
      </w:r>
      <w:r w:rsidR="00F17E5F">
        <w:t xml:space="preserve"> bubble test in the proposed population </w:t>
      </w:r>
      <w:r w:rsidR="00AD46D3">
        <w:t xml:space="preserve">are </w:t>
      </w:r>
      <w:r w:rsidR="003462C4">
        <w:t>summarised</w:t>
      </w:r>
      <w:r w:rsidR="00AD46D3">
        <w:t xml:space="preserve"> in </w:t>
      </w:r>
      <w:r w:rsidR="009E0DA9">
        <w:fldChar w:fldCharType="begin"/>
      </w:r>
      <w:r w:rsidR="009E0DA9">
        <w:instrText xml:space="preserve"> REF _Ref231303209 \h </w:instrText>
      </w:r>
      <w:r w:rsidR="009E0DA9">
        <w:fldChar w:fldCharType="separate"/>
      </w:r>
      <w:r w:rsidR="00C779B5">
        <w:t>Table </w:t>
      </w:r>
      <w:r w:rsidR="00C779B5">
        <w:rPr>
          <w:noProof/>
        </w:rPr>
        <w:t>4</w:t>
      </w:r>
      <w:r w:rsidR="009E0DA9">
        <w:fldChar w:fldCharType="end"/>
      </w:r>
      <w:r w:rsidR="009E0DA9">
        <w:t>.</w:t>
      </w:r>
      <w:r w:rsidR="00991334">
        <w:t xml:space="preserve"> T</w:t>
      </w:r>
      <w:r w:rsidR="00991334" w:rsidRPr="00991334">
        <w:t>he key outcomes relate to the diagnostic performance of TCD bubble testing and its downstream impact on clinical management</w:t>
      </w:r>
      <w:r w:rsidR="008C7806">
        <w:t>.</w:t>
      </w:r>
    </w:p>
    <w:p w14:paraId="0109F9FC" w14:textId="1E8DF154" w:rsidR="001D18C5" w:rsidRPr="00490FBB" w:rsidRDefault="001D18C5" w:rsidP="001D18C5">
      <w:pPr>
        <w:pStyle w:val="Caption"/>
      </w:pPr>
      <w:bookmarkStart w:id="7" w:name="_Ref231303209"/>
      <w:r>
        <w:t>Table </w:t>
      </w:r>
      <w:r>
        <w:fldChar w:fldCharType="begin"/>
      </w:r>
      <w:r>
        <w:instrText xml:space="preserve"> SEQ Table \* ARABIC </w:instrText>
      </w:r>
      <w:r>
        <w:fldChar w:fldCharType="separate"/>
      </w:r>
      <w:r w:rsidR="00C779B5">
        <w:rPr>
          <w:noProof/>
        </w:rPr>
        <w:t>4</w:t>
      </w:r>
      <w:r>
        <w:fldChar w:fldCharType="end"/>
      </w:r>
      <w:bookmarkEnd w:id="7"/>
      <w:r>
        <w:tab/>
      </w:r>
      <w:r w:rsidR="009E0DA9">
        <w:t>O</w:t>
      </w:r>
      <w:r w:rsidR="00C62849">
        <w:t>utcomes</w:t>
      </w:r>
      <w:r w:rsidR="009E0DA9">
        <w:t xml:space="preserve"> relevant to the assessment of </w:t>
      </w:r>
      <w:r w:rsidR="00C1516D">
        <w:t>TCD bubble testing</w:t>
      </w:r>
    </w:p>
    <w:tbl>
      <w:tblPr>
        <w:tblW w:w="5000" w:type="pct"/>
        <w:tblCellMar>
          <w:left w:w="115" w:type="dxa"/>
          <w:right w:w="115" w:type="dxa"/>
        </w:tblCellMar>
        <w:tblLook w:val="01E0" w:firstRow="1" w:lastRow="1" w:firstColumn="1" w:lastColumn="1" w:noHBand="0" w:noVBand="0"/>
        <w:tblCaption w:val="Outcomes relevant to the assessment of TCD bubble testing"/>
        <w:tblDescription w:val="The table presents a list of outcomes relevant to the assessment by outcome type: safety, clinical effectiveness, healthcare resource use, cost-effectiveness, health system costs."/>
      </w:tblPr>
      <w:tblGrid>
        <w:gridCol w:w="2404"/>
        <w:gridCol w:w="7167"/>
      </w:tblGrid>
      <w:tr w:rsidR="00A827BE" w:rsidRPr="00490FBB" w14:paraId="14480DD7" w14:textId="77777777" w:rsidTr="00DD5101">
        <w:trPr>
          <w:tblHeader/>
        </w:trPr>
        <w:tc>
          <w:tcPr>
            <w:tcW w:w="1256" w:type="pct"/>
            <w:tcBorders>
              <w:top w:val="single" w:sz="4" w:space="0" w:color="auto"/>
              <w:left w:val="single" w:sz="4" w:space="0" w:color="auto"/>
              <w:right w:val="single" w:sz="4" w:space="0" w:color="auto"/>
            </w:tcBorders>
          </w:tcPr>
          <w:p w14:paraId="76C7FBD5" w14:textId="361093C8" w:rsidR="00A827BE" w:rsidRPr="00490FBB" w:rsidRDefault="00A827BE">
            <w:pPr>
              <w:pStyle w:val="TableHeading"/>
            </w:pPr>
            <w:r>
              <w:t>Outcome type</w:t>
            </w:r>
          </w:p>
        </w:tc>
        <w:tc>
          <w:tcPr>
            <w:tcW w:w="3744" w:type="pct"/>
            <w:tcBorders>
              <w:top w:val="single" w:sz="4" w:space="0" w:color="auto"/>
              <w:left w:val="nil"/>
              <w:bottom w:val="single" w:sz="4" w:space="0" w:color="auto"/>
              <w:right w:val="single" w:sz="4" w:space="0" w:color="auto"/>
            </w:tcBorders>
          </w:tcPr>
          <w:p w14:paraId="778A6B6C" w14:textId="5711A88C" w:rsidR="00A827BE" w:rsidRPr="00490FBB" w:rsidRDefault="00A827BE" w:rsidP="00A827BE">
            <w:pPr>
              <w:pStyle w:val="TableHeading"/>
            </w:pPr>
            <w:r>
              <w:t>Outcome</w:t>
            </w:r>
          </w:p>
        </w:tc>
      </w:tr>
      <w:tr w:rsidR="00A827BE" w:rsidRPr="00490FBB" w14:paraId="603D0B1C" w14:textId="77777777" w:rsidTr="00DD5101">
        <w:tc>
          <w:tcPr>
            <w:tcW w:w="1256" w:type="pct"/>
            <w:tcBorders>
              <w:top w:val="single" w:sz="4" w:space="0" w:color="auto"/>
              <w:left w:val="single" w:sz="4" w:space="0" w:color="auto"/>
              <w:bottom w:val="single" w:sz="4" w:space="0" w:color="auto"/>
              <w:right w:val="single" w:sz="4" w:space="0" w:color="auto"/>
            </w:tcBorders>
            <w:vAlign w:val="center"/>
          </w:tcPr>
          <w:p w14:paraId="0FEABAB7" w14:textId="04374688" w:rsidR="00A827BE" w:rsidRPr="00490FBB" w:rsidRDefault="00733ED7" w:rsidP="00A827BE">
            <w:pPr>
              <w:pStyle w:val="Tabletext"/>
            </w:pPr>
            <w:r>
              <w:t>Safety</w:t>
            </w:r>
          </w:p>
        </w:tc>
        <w:tc>
          <w:tcPr>
            <w:tcW w:w="3744" w:type="pct"/>
            <w:tcBorders>
              <w:top w:val="single" w:sz="4" w:space="0" w:color="auto"/>
              <w:left w:val="single" w:sz="4" w:space="0" w:color="auto"/>
              <w:bottom w:val="single" w:sz="4" w:space="0" w:color="auto"/>
              <w:right w:val="single" w:sz="4" w:space="0" w:color="auto"/>
            </w:tcBorders>
            <w:vAlign w:val="center"/>
          </w:tcPr>
          <w:p w14:paraId="0DA02F79" w14:textId="580B2DA6" w:rsidR="002E4291" w:rsidRDefault="002E4291" w:rsidP="002E4291">
            <w:pPr>
              <w:pStyle w:val="Tabletext"/>
            </w:pPr>
            <w:r>
              <w:t xml:space="preserve">Harms from the </w:t>
            </w:r>
            <w:r w:rsidR="009F5612">
              <w:t xml:space="preserve">triage </w:t>
            </w:r>
            <w:r>
              <w:t>test procedure</w:t>
            </w:r>
          </w:p>
          <w:p w14:paraId="5549DF4A" w14:textId="2E94AC77" w:rsidR="002E4291" w:rsidRDefault="002E4291" w:rsidP="002E4291">
            <w:pPr>
              <w:pStyle w:val="Tabletext"/>
            </w:pPr>
            <w:r>
              <w:t xml:space="preserve">Harms associated with </w:t>
            </w:r>
            <w:r w:rsidR="0057605F">
              <w:t>FP</w:t>
            </w:r>
            <w:r>
              <w:t xml:space="preserve"> or </w:t>
            </w:r>
            <w:r w:rsidR="0057605F">
              <w:t>FN</w:t>
            </w:r>
            <w:r>
              <w:t xml:space="preserve"> results</w:t>
            </w:r>
            <w:r w:rsidR="00830B61">
              <w:t xml:space="preserve">, </w:t>
            </w:r>
            <w:r w:rsidR="00830B61" w:rsidRPr="0057605F">
              <w:t xml:space="preserve">including complications </w:t>
            </w:r>
            <w:r w:rsidR="00263DF9">
              <w:t>from</w:t>
            </w:r>
            <w:r w:rsidR="00830B61" w:rsidRPr="0057605F">
              <w:t xml:space="preserve"> </w:t>
            </w:r>
            <w:r w:rsidR="00830B61">
              <w:t>potentially avoidable</w:t>
            </w:r>
            <w:r w:rsidR="00830B61" w:rsidRPr="0057605F">
              <w:t xml:space="preserve"> TOE </w:t>
            </w:r>
            <w:r w:rsidR="00263DF9">
              <w:t>and</w:t>
            </w:r>
            <w:r w:rsidR="00830B61" w:rsidRPr="0057605F">
              <w:t xml:space="preserve"> missed </w:t>
            </w:r>
            <w:r w:rsidR="00263DF9">
              <w:t>of delayed identification</w:t>
            </w:r>
            <w:r w:rsidR="00830B61">
              <w:t xml:space="preserve"> of a causally related </w:t>
            </w:r>
            <w:r w:rsidR="00830B61" w:rsidRPr="0057605F">
              <w:t>PFO</w:t>
            </w:r>
          </w:p>
          <w:p w14:paraId="2C81E224" w14:textId="42FB28FA" w:rsidR="00263DF9" w:rsidRDefault="00263DF9" w:rsidP="002E4291">
            <w:pPr>
              <w:pStyle w:val="Tabletext"/>
            </w:pPr>
            <w:r>
              <w:t>Harms associated with TOE with bubble contrast</w:t>
            </w:r>
          </w:p>
          <w:p w14:paraId="335BB50A" w14:textId="7D0E0AE5" w:rsidR="00A827BE" w:rsidRPr="00490FBB" w:rsidRDefault="0057605F" w:rsidP="002E4291">
            <w:pPr>
              <w:pStyle w:val="Tabletext"/>
            </w:pPr>
            <w:r>
              <w:t>D</w:t>
            </w:r>
            <w:r w:rsidRPr="0057605F">
              <w:t xml:space="preserve">ownstream harms </w:t>
            </w:r>
            <w:r w:rsidR="00263DF9">
              <w:t xml:space="preserve">associated with </w:t>
            </w:r>
            <w:r w:rsidR="00542846">
              <w:t>subsequent</w:t>
            </w:r>
            <w:r w:rsidRPr="0057605F">
              <w:t xml:space="preserve"> </w:t>
            </w:r>
            <w:r w:rsidR="00830B61">
              <w:t>treatment</w:t>
            </w:r>
            <w:r w:rsidR="0046100B">
              <w:t xml:space="preserve"> decisions</w:t>
            </w:r>
            <w:r w:rsidR="00830B61">
              <w:t xml:space="preserve">, including </w:t>
            </w:r>
            <w:r w:rsidRPr="0057605F">
              <w:t>inappropriate</w:t>
            </w:r>
            <w:r w:rsidR="00263DF9">
              <w:t>,</w:t>
            </w:r>
            <w:r w:rsidRPr="0057605F">
              <w:t xml:space="preserve"> delayed </w:t>
            </w:r>
            <w:r w:rsidR="00263DF9">
              <w:t xml:space="preserve">or foregone </w:t>
            </w:r>
            <w:r w:rsidRPr="0057605F">
              <w:t>treatment</w:t>
            </w:r>
            <w:r w:rsidR="00880CEF">
              <w:t>, and AEs related to PFO closure or medical management</w:t>
            </w:r>
            <w:r w:rsidRPr="0057605F">
              <w:t xml:space="preserve"> </w:t>
            </w:r>
          </w:p>
        </w:tc>
      </w:tr>
      <w:tr w:rsidR="00A827BE" w:rsidRPr="00490FBB" w14:paraId="548C0E66" w14:textId="77777777" w:rsidTr="00DD5101">
        <w:tc>
          <w:tcPr>
            <w:tcW w:w="1256" w:type="pct"/>
            <w:tcBorders>
              <w:top w:val="single" w:sz="4" w:space="0" w:color="auto"/>
              <w:left w:val="single" w:sz="4" w:space="0" w:color="auto"/>
              <w:bottom w:val="single" w:sz="4" w:space="0" w:color="auto"/>
              <w:right w:val="single" w:sz="4" w:space="0" w:color="auto"/>
            </w:tcBorders>
            <w:vAlign w:val="center"/>
          </w:tcPr>
          <w:p w14:paraId="20E02025" w14:textId="2D9BDC63" w:rsidR="00A827BE" w:rsidRPr="00490FBB" w:rsidRDefault="00BC6ACF" w:rsidP="00A827BE">
            <w:pPr>
              <w:pStyle w:val="Tabletext"/>
            </w:pPr>
            <w:r>
              <w:t xml:space="preserve">Clinical </w:t>
            </w:r>
            <w:r w:rsidR="00733ED7">
              <w:t>effectiveness</w:t>
            </w:r>
          </w:p>
        </w:tc>
        <w:tc>
          <w:tcPr>
            <w:tcW w:w="3744" w:type="pct"/>
            <w:tcBorders>
              <w:top w:val="single" w:sz="4" w:space="0" w:color="auto"/>
              <w:left w:val="single" w:sz="4" w:space="0" w:color="auto"/>
              <w:bottom w:val="single" w:sz="4" w:space="0" w:color="auto"/>
              <w:right w:val="single" w:sz="4" w:space="0" w:color="auto"/>
            </w:tcBorders>
            <w:vAlign w:val="center"/>
          </w:tcPr>
          <w:p w14:paraId="14D2E79D" w14:textId="730D3D1E" w:rsidR="00BC6ACF" w:rsidRPr="0052369C" w:rsidRDefault="00BC6ACF" w:rsidP="00BC6ACF">
            <w:pPr>
              <w:pStyle w:val="Tabletext"/>
            </w:pPr>
            <w:r w:rsidRPr="0052369C">
              <w:t>Test performance</w:t>
            </w:r>
          </w:p>
          <w:p w14:paraId="7A0C334B" w14:textId="7C96EDC4" w:rsidR="00BC6ACF" w:rsidRDefault="00BC6ACF" w:rsidP="00A030F4">
            <w:pPr>
              <w:pStyle w:val="Tabletext"/>
              <w:ind w:left="316"/>
            </w:pPr>
            <w:r>
              <w:t>Diagnostic accuracy (sensitivity</w:t>
            </w:r>
            <w:r w:rsidR="00393CD1">
              <w:t>,</w:t>
            </w:r>
            <w:r>
              <w:t xml:space="preserve"> specificity</w:t>
            </w:r>
            <w:r w:rsidR="003B10AE">
              <w:t>, PPV, NPV</w:t>
            </w:r>
            <w:r>
              <w:t>)</w:t>
            </w:r>
          </w:p>
          <w:p w14:paraId="4118CC77" w14:textId="75013234" w:rsidR="00BC6ACF" w:rsidRPr="00394690" w:rsidRDefault="00BC6ACF" w:rsidP="00394690">
            <w:pPr>
              <w:pStyle w:val="TableText0"/>
              <w:ind w:left="340"/>
              <w:rPr>
                <w:color w:val="000000" w:themeColor="text1"/>
              </w:rPr>
            </w:pPr>
            <w:r>
              <w:t>Concordance</w:t>
            </w:r>
            <w:r w:rsidR="000231CB">
              <w:t xml:space="preserve"> </w:t>
            </w:r>
            <w:r w:rsidR="000231CB">
              <w:rPr>
                <w:color w:val="000000" w:themeColor="text1"/>
              </w:rPr>
              <w:t>of TCD vs TCCD and TCD/TCCD vs TTE</w:t>
            </w:r>
          </w:p>
          <w:p w14:paraId="2390B436" w14:textId="34E8FB96" w:rsidR="00BC6ACF" w:rsidRDefault="000848E5" w:rsidP="00A030F4">
            <w:pPr>
              <w:pStyle w:val="Tabletext"/>
              <w:ind w:left="316"/>
            </w:pPr>
            <w:r>
              <w:t>Rate of inconclusive or technically inadequate studies</w:t>
            </w:r>
          </w:p>
          <w:p w14:paraId="184F5A37" w14:textId="6035F8BE" w:rsidR="00BC6ACF" w:rsidRPr="0052369C" w:rsidRDefault="000848E5" w:rsidP="00BC6ACF">
            <w:pPr>
              <w:pStyle w:val="Tabletext"/>
            </w:pPr>
            <w:r>
              <w:t>Impact on clinical</w:t>
            </w:r>
            <w:r w:rsidR="00BC6ACF" w:rsidRPr="0052369C">
              <w:t xml:space="preserve"> management</w:t>
            </w:r>
          </w:p>
          <w:p w14:paraId="18E3B995" w14:textId="00ABA4ED" w:rsidR="000848E5" w:rsidRDefault="000848E5" w:rsidP="000848E5">
            <w:pPr>
              <w:pStyle w:val="Tabletext"/>
              <w:ind w:left="316"/>
            </w:pPr>
            <w:r>
              <w:t xml:space="preserve">Proportion of patients referred for </w:t>
            </w:r>
            <w:r w:rsidR="000C3F9B">
              <w:t>confirmatory</w:t>
            </w:r>
            <w:r w:rsidR="008E140C">
              <w:t xml:space="preserve"> </w:t>
            </w:r>
            <w:r>
              <w:t>TOE</w:t>
            </w:r>
            <w:r w:rsidR="003C5BEA">
              <w:t xml:space="preserve"> </w:t>
            </w:r>
            <w:r w:rsidR="003C5BEA">
              <w:rPr>
                <w:color w:val="000000" w:themeColor="text1"/>
              </w:rPr>
              <w:t>and other downstream investigations</w:t>
            </w:r>
          </w:p>
          <w:p w14:paraId="73535135" w14:textId="0E0F0C7B" w:rsidR="000848E5" w:rsidRDefault="000848E5" w:rsidP="000848E5">
            <w:pPr>
              <w:pStyle w:val="Tabletext"/>
              <w:ind w:left="316"/>
            </w:pPr>
            <w:r>
              <w:t>Appropriateness of referral for confirmatory testing</w:t>
            </w:r>
            <w:r w:rsidR="00445B5A">
              <w:t xml:space="preserve"> </w:t>
            </w:r>
          </w:p>
          <w:p w14:paraId="4A9008E9" w14:textId="7C8B6466" w:rsidR="000848E5" w:rsidRDefault="000848E5" w:rsidP="000848E5">
            <w:pPr>
              <w:pStyle w:val="Tabletext"/>
              <w:ind w:left="316"/>
            </w:pPr>
            <w:r>
              <w:t>Time to diagnosis and definitive classification</w:t>
            </w:r>
            <w:r w:rsidR="00666B67">
              <w:t xml:space="preserve"> (</w:t>
            </w:r>
            <w:r w:rsidR="00666B67" w:rsidRPr="00666B67">
              <w:t>i.e. presence</w:t>
            </w:r>
            <w:r w:rsidR="00BE11D3">
              <w:t xml:space="preserve"> or </w:t>
            </w:r>
            <w:r w:rsidR="00666B67" w:rsidRPr="00666B67">
              <w:t>absence of a causally related PFO)</w:t>
            </w:r>
          </w:p>
          <w:p w14:paraId="3BC5EB40" w14:textId="0E8A4A32" w:rsidR="00885D38" w:rsidRDefault="00885D38" w:rsidP="000848E5">
            <w:pPr>
              <w:pStyle w:val="Tabletext"/>
              <w:ind w:left="316"/>
            </w:pPr>
            <w:r>
              <w:t>Appropriateness of classification and subsequent management</w:t>
            </w:r>
          </w:p>
          <w:p w14:paraId="7251530E" w14:textId="5ECF1CC8" w:rsidR="00BC6ACF" w:rsidRPr="0052369C" w:rsidRDefault="00BC6ACF" w:rsidP="000848E5">
            <w:pPr>
              <w:pStyle w:val="Tabletext"/>
            </w:pPr>
            <w:r w:rsidRPr="0052369C">
              <w:t>Patient health outcomes</w:t>
            </w:r>
          </w:p>
          <w:p w14:paraId="1F443848" w14:textId="77777777" w:rsidR="000848E5" w:rsidRDefault="000848E5" w:rsidP="000848E5">
            <w:pPr>
              <w:pStyle w:val="Tabletext"/>
              <w:ind w:left="316"/>
            </w:pPr>
            <w:r>
              <w:t>Stroke recurrence</w:t>
            </w:r>
          </w:p>
          <w:p w14:paraId="34EC2DC8" w14:textId="24074989" w:rsidR="00BC6ACF" w:rsidRDefault="00BC6ACF" w:rsidP="00A030F4">
            <w:pPr>
              <w:pStyle w:val="Tabletext"/>
              <w:ind w:left="316"/>
            </w:pPr>
            <w:r>
              <w:t>Mortality</w:t>
            </w:r>
          </w:p>
          <w:p w14:paraId="12B8BF35" w14:textId="41446769" w:rsidR="00FD4EDA" w:rsidRPr="00490FBB" w:rsidRDefault="00BC6ACF" w:rsidP="00FD4EDA">
            <w:pPr>
              <w:pStyle w:val="Tabletext"/>
              <w:ind w:left="316"/>
            </w:pPr>
            <w:r>
              <w:t>Health-related quality of life</w:t>
            </w:r>
          </w:p>
        </w:tc>
      </w:tr>
      <w:tr w:rsidR="00A827BE" w:rsidRPr="00490FBB" w14:paraId="06258742" w14:textId="77777777" w:rsidTr="00DD5101">
        <w:tc>
          <w:tcPr>
            <w:tcW w:w="1256" w:type="pct"/>
            <w:tcBorders>
              <w:top w:val="single" w:sz="4" w:space="0" w:color="auto"/>
              <w:left w:val="single" w:sz="4" w:space="0" w:color="auto"/>
              <w:bottom w:val="single" w:sz="4" w:space="0" w:color="auto"/>
              <w:right w:val="single" w:sz="4" w:space="0" w:color="auto"/>
            </w:tcBorders>
            <w:vAlign w:val="center"/>
          </w:tcPr>
          <w:p w14:paraId="1C113719" w14:textId="71273432" w:rsidR="00A827BE" w:rsidRPr="00490FBB" w:rsidRDefault="00733ED7" w:rsidP="00A827BE">
            <w:pPr>
              <w:pStyle w:val="Tabletext"/>
            </w:pPr>
            <w:r>
              <w:t>Healthcare resource</w:t>
            </w:r>
            <w:r w:rsidR="00882151">
              <w:t xml:space="preserve"> use</w:t>
            </w:r>
            <w:r>
              <w:t xml:space="preserve"> (including patient OOP costs)</w:t>
            </w:r>
          </w:p>
        </w:tc>
        <w:tc>
          <w:tcPr>
            <w:tcW w:w="3744" w:type="pct"/>
            <w:tcBorders>
              <w:top w:val="single" w:sz="4" w:space="0" w:color="auto"/>
              <w:left w:val="single" w:sz="4" w:space="0" w:color="auto"/>
              <w:bottom w:val="single" w:sz="4" w:space="0" w:color="auto"/>
              <w:right w:val="single" w:sz="4" w:space="0" w:color="auto"/>
            </w:tcBorders>
            <w:vAlign w:val="center"/>
          </w:tcPr>
          <w:p w14:paraId="0C0E272D" w14:textId="12F94775" w:rsidR="0030124E" w:rsidRDefault="0030124E" w:rsidP="0030124E">
            <w:pPr>
              <w:pStyle w:val="Tabletext"/>
            </w:pPr>
            <w:r>
              <w:t>Cost of initial triage testing (TCD</w:t>
            </w:r>
            <w:r w:rsidR="0046100B">
              <w:t>/TCCD</w:t>
            </w:r>
            <w:r>
              <w:t xml:space="preserve"> versus TTE)</w:t>
            </w:r>
          </w:p>
          <w:p w14:paraId="1601A405" w14:textId="7D91E704" w:rsidR="0030124E" w:rsidRDefault="007643C5" w:rsidP="0030124E">
            <w:pPr>
              <w:pStyle w:val="Tabletext"/>
            </w:pPr>
            <w:r>
              <w:t>N</w:t>
            </w:r>
            <w:r w:rsidR="0030124E">
              <w:t>umber and cost of subsequent investigations (e.g. TOE)</w:t>
            </w:r>
          </w:p>
          <w:p w14:paraId="57FE0FE8" w14:textId="6A5AAF06" w:rsidR="0030124E" w:rsidRDefault="007643C5" w:rsidP="0030124E">
            <w:pPr>
              <w:pStyle w:val="Tabletext"/>
            </w:pPr>
            <w:r>
              <w:t>P</w:t>
            </w:r>
            <w:r w:rsidR="0030124E">
              <w:t>rocedures avoided or incurred, including:</w:t>
            </w:r>
          </w:p>
          <w:p w14:paraId="48B52B0C" w14:textId="20BDCCD0" w:rsidR="0030124E" w:rsidRDefault="0030124E" w:rsidP="008C179C">
            <w:pPr>
              <w:pStyle w:val="Tabletext"/>
              <w:numPr>
                <w:ilvl w:val="0"/>
                <w:numId w:val="49"/>
              </w:numPr>
            </w:pPr>
            <w:r>
              <w:t>TOE</w:t>
            </w:r>
          </w:p>
          <w:p w14:paraId="6941372F" w14:textId="3623A9A1" w:rsidR="0030124E" w:rsidRDefault="0030124E" w:rsidP="008C179C">
            <w:pPr>
              <w:pStyle w:val="Tabletext"/>
              <w:numPr>
                <w:ilvl w:val="0"/>
                <w:numId w:val="49"/>
              </w:numPr>
            </w:pPr>
            <w:r>
              <w:t>repeat or duplicate testing</w:t>
            </w:r>
          </w:p>
          <w:p w14:paraId="569199B7" w14:textId="5CA94AC4" w:rsidR="0030124E" w:rsidRDefault="007643C5" w:rsidP="0030124E">
            <w:pPr>
              <w:pStyle w:val="Tabletext"/>
            </w:pPr>
            <w:r>
              <w:t>C</w:t>
            </w:r>
            <w:r w:rsidR="0030124E">
              <w:t>osts associated with adverse events, including:</w:t>
            </w:r>
          </w:p>
          <w:p w14:paraId="7D33D100" w14:textId="5B42AF64" w:rsidR="001D1E34" w:rsidRDefault="001D1E34" w:rsidP="008C179C">
            <w:pPr>
              <w:pStyle w:val="Tabletext"/>
              <w:numPr>
                <w:ilvl w:val="0"/>
                <w:numId w:val="49"/>
              </w:numPr>
            </w:pPr>
            <w:r>
              <w:t>c</w:t>
            </w:r>
            <w:r w:rsidR="00097FEA">
              <w:t xml:space="preserve">omplications from </w:t>
            </w:r>
            <w:r>
              <w:t>triage testing</w:t>
            </w:r>
            <w:r w:rsidR="0046100B">
              <w:t xml:space="preserve"> (TCD/TCCD versus TTE)</w:t>
            </w:r>
          </w:p>
          <w:p w14:paraId="2AC2DD59" w14:textId="0DC8D5EB" w:rsidR="0030124E" w:rsidRDefault="0030124E" w:rsidP="008C179C">
            <w:pPr>
              <w:pStyle w:val="Tabletext"/>
              <w:numPr>
                <w:ilvl w:val="0"/>
                <w:numId w:val="49"/>
              </w:numPr>
            </w:pPr>
            <w:r>
              <w:t xml:space="preserve">complications </w:t>
            </w:r>
            <w:r w:rsidR="001D1E34">
              <w:t xml:space="preserve">from confirmatory </w:t>
            </w:r>
            <w:r>
              <w:t>TOE</w:t>
            </w:r>
          </w:p>
          <w:p w14:paraId="57D3332A" w14:textId="34594A4E" w:rsidR="00A827BE" w:rsidRDefault="0030124E" w:rsidP="008C179C">
            <w:pPr>
              <w:pStyle w:val="Tabletext"/>
              <w:numPr>
                <w:ilvl w:val="0"/>
                <w:numId w:val="49"/>
              </w:numPr>
            </w:pPr>
            <w:r>
              <w:t>consequences of FP (</w:t>
            </w:r>
            <w:r w:rsidR="00157080">
              <w:t>additional</w:t>
            </w:r>
            <w:r>
              <w:t xml:space="preserve"> procedures) and FN (missed treatment)</w:t>
            </w:r>
          </w:p>
          <w:p w14:paraId="18EF1482" w14:textId="76EE3B66" w:rsidR="003C7F20" w:rsidRDefault="003C7F20" w:rsidP="001532D8">
            <w:pPr>
              <w:pStyle w:val="Tabletext"/>
            </w:pPr>
            <w:r>
              <w:t xml:space="preserve">Costs associated with </w:t>
            </w:r>
            <w:r w:rsidR="00CF188A">
              <w:t xml:space="preserve">subsequent </w:t>
            </w:r>
            <w:r w:rsidR="007A0E06">
              <w:t>treatment (</w:t>
            </w:r>
            <w:r w:rsidR="00A5483A">
              <w:t>PFO closure or medical therapy)</w:t>
            </w:r>
          </w:p>
          <w:p w14:paraId="6053B3CC" w14:textId="134D701C" w:rsidR="001532D8" w:rsidRPr="00490FBB" w:rsidRDefault="001532D8" w:rsidP="001532D8">
            <w:pPr>
              <w:pStyle w:val="Tabletext"/>
            </w:pPr>
            <w:r>
              <w:t>Costs associated with stroke recurrence</w:t>
            </w:r>
            <w:r w:rsidR="00FE708C">
              <w:t xml:space="preserve"> and hospitalisation </w:t>
            </w:r>
          </w:p>
        </w:tc>
      </w:tr>
      <w:tr w:rsidR="00A827BE" w:rsidRPr="00490FBB" w14:paraId="5A171BD5" w14:textId="77777777" w:rsidTr="00DD5101">
        <w:tc>
          <w:tcPr>
            <w:tcW w:w="1256" w:type="pct"/>
            <w:tcBorders>
              <w:top w:val="single" w:sz="4" w:space="0" w:color="auto"/>
              <w:left w:val="single" w:sz="4" w:space="0" w:color="auto"/>
              <w:bottom w:val="single" w:sz="4" w:space="0" w:color="auto"/>
              <w:right w:val="single" w:sz="4" w:space="0" w:color="auto"/>
            </w:tcBorders>
            <w:vAlign w:val="center"/>
          </w:tcPr>
          <w:p w14:paraId="68C2A2E6" w14:textId="1A21F936" w:rsidR="00A827BE" w:rsidRPr="00882151" w:rsidRDefault="00DC062F" w:rsidP="00A827BE">
            <w:pPr>
              <w:pStyle w:val="Tabletext"/>
            </w:pPr>
            <w:r w:rsidRPr="00882151">
              <w:t>Cost-effectiveness</w:t>
            </w:r>
          </w:p>
        </w:tc>
        <w:tc>
          <w:tcPr>
            <w:tcW w:w="3744" w:type="pct"/>
            <w:tcBorders>
              <w:top w:val="single" w:sz="4" w:space="0" w:color="auto"/>
              <w:left w:val="single" w:sz="4" w:space="0" w:color="auto"/>
              <w:bottom w:val="single" w:sz="4" w:space="0" w:color="auto"/>
              <w:right w:val="single" w:sz="4" w:space="0" w:color="auto"/>
            </w:tcBorders>
            <w:vAlign w:val="center"/>
          </w:tcPr>
          <w:p w14:paraId="06DCA79E" w14:textId="74323A19" w:rsidR="00EF151C" w:rsidRPr="00882151" w:rsidRDefault="00B51A4E" w:rsidP="00582DF9">
            <w:pPr>
              <w:pStyle w:val="Tabletext"/>
            </w:pPr>
            <w:r>
              <w:t xml:space="preserve">Incremental cost per </w:t>
            </w:r>
            <w:r w:rsidR="00723DF2">
              <w:t>QALY</w:t>
            </w:r>
            <w:r w:rsidR="005752C3">
              <w:t xml:space="preserve"> gained</w:t>
            </w:r>
            <w:r w:rsidR="003F5EC0">
              <w:t xml:space="preserve"> (if feasible)</w:t>
            </w:r>
          </w:p>
        </w:tc>
      </w:tr>
      <w:tr w:rsidR="00DC062F" w:rsidRPr="00490FBB" w14:paraId="33BE0F03" w14:textId="77777777" w:rsidTr="00DD5101">
        <w:tc>
          <w:tcPr>
            <w:tcW w:w="1256" w:type="pct"/>
            <w:tcBorders>
              <w:top w:val="single" w:sz="4" w:space="0" w:color="auto"/>
              <w:left w:val="single" w:sz="4" w:space="0" w:color="auto"/>
              <w:bottom w:val="single" w:sz="4" w:space="0" w:color="auto"/>
              <w:right w:val="single" w:sz="4" w:space="0" w:color="auto"/>
            </w:tcBorders>
            <w:vAlign w:val="center"/>
          </w:tcPr>
          <w:p w14:paraId="1848F83F" w14:textId="5FB6C915" w:rsidR="00DC062F" w:rsidRDefault="00DB0041" w:rsidP="00A827BE">
            <w:pPr>
              <w:pStyle w:val="Tabletext"/>
            </w:pPr>
            <w:r w:rsidRPr="00DB0041">
              <w:t xml:space="preserve">Health system </w:t>
            </w:r>
            <w:r w:rsidR="002E4A1A">
              <w:t>costs</w:t>
            </w:r>
          </w:p>
        </w:tc>
        <w:tc>
          <w:tcPr>
            <w:tcW w:w="3744" w:type="pct"/>
            <w:tcBorders>
              <w:top w:val="single" w:sz="4" w:space="0" w:color="auto"/>
              <w:left w:val="single" w:sz="4" w:space="0" w:color="auto"/>
              <w:bottom w:val="single" w:sz="4" w:space="0" w:color="auto"/>
              <w:right w:val="single" w:sz="4" w:space="0" w:color="auto"/>
            </w:tcBorders>
            <w:vAlign w:val="center"/>
          </w:tcPr>
          <w:p w14:paraId="078D8682" w14:textId="4FE6FC38" w:rsidR="007643C5" w:rsidRDefault="007643C5" w:rsidP="007643C5">
            <w:pPr>
              <w:pStyle w:val="Tabletext"/>
            </w:pPr>
            <w:r>
              <w:t>Total costs to the MBS</w:t>
            </w:r>
          </w:p>
          <w:p w14:paraId="5B6DEE16" w14:textId="1D64C1D7" w:rsidR="007643C5" w:rsidRDefault="007643C5" w:rsidP="007643C5">
            <w:pPr>
              <w:pStyle w:val="Tabletext"/>
            </w:pPr>
            <w:r>
              <w:t xml:space="preserve">Total costs to </w:t>
            </w:r>
            <w:r w:rsidR="00E44484">
              <w:t xml:space="preserve">the </w:t>
            </w:r>
            <w:r>
              <w:t>PBS</w:t>
            </w:r>
          </w:p>
          <w:p w14:paraId="23539910" w14:textId="5125BA9A" w:rsidR="007643C5" w:rsidRDefault="007643C5" w:rsidP="007643C5">
            <w:pPr>
              <w:pStyle w:val="Tabletext"/>
            </w:pPr>
            <w:r>
              <w:t>Hospital and private sector costs</w:t>
            </w:r>
            <w:r w:rsidR="00EF151C">
              <w:t xml:space="preserve"> </w:t>
            </w:r>
            <w:r w:rsidR="00EF151C">
              <w:rPr>
                <w:color w:val="000000" w:themeColor="text1"/>
              </w:rPr>
              <w:t>(including procedures and admissions)</w:t>
            </w:r>
          </w:p>
          <w:p w14:paraId="42683B77" w14:textId="31CB9E61" w:rsidR="00DB0041" w:rsidRPr="00490FBB" w:rsidRDefault="007643C5" w:rsidP="007643C5">
            <w:pPr>
              <w:pStyle w:val="Tabletext"/>
            </w:pPr>
            <w:r>
              <w:t>Overall Australian healthcare system costs</w:t>
            </w:r>
          </w:p>
        </w:tc>
      </w:tr>
    </w:tbl>
    <w:p w14:paraId="62BF522B" w14:textId="0A9FA1EC" w:rsidR="001D18C5" w:rsidRDefault="00880CEF" w:rsidP="00561542">
      <w:pPr>
        <w:pStyle w:val="Tablenotes"/>
        <w:spacing w:after="360"/>
        <w:contextualSpacing/>
      </w:pPr>
      <w:r>
        <w:t xml:space="preserve">AE = adverse event; </w:t>
      </w:r>
      <w:r w:rsidR="00F8509F">
        <w:t xml:space="preserve">FN = false negative; FP = false positive; </w:t>
      </w:r>
      <w:r w:rsidR="001C1A1E" w:rsidRPr="001C1A1E">
        <w:t xml:space="preserve">MBS = Medicare Benefits Schedule; </w:t>
      </w:r>
      <w:r w:rsidR="003B10AE">
        <w:t xml:space="preserve">NPV = negative predictive value; </w:t>
      </w:r>
      <w:r w:rsidR="00E04102" w:rsidRPr="00E04102">
        <w:t>OOP = out-of-pocket; PBS = Pharmaceutical Benefits Scheme;</w:t>
      </w:r>
      <w:r w:rsidR="008043A1">
        <w:t xml:space="preserve"> </w:t>
      </w:r>
      <w:r w:rsidR="00B8566B">
        <w:t xml:space="preserve">PFO = patent foramen </w:t>
      </w:r>
      <w:proofErr w:type="spellStart"/>
      <w:r w:rsidR="00B8566B">
        <w:t>ovale</w:t>
      </w:r>
      <w:proofErr w:type="spellEnd"/>
      <w:r w:rsidR="00B8566B">
        <w:t xml:space="preserve">; </w:t>
      </w:r>
      <w:r w:rsidR="003B10AE">
        <w:t xml:space="preserve">PPV = positive predictive value; </w:t>
      </w:r>
      <w:r w:rsidR="008043A1" w:rsidRPr="008043A1">
        <w:t>QALY = quality-adjusted life year</w:t>
      </w:r>
      <w:r w:rsidR="00F8509F">
        <w:t>; TCD = transcranial Doppler</w:t>
      </w:r>
      <w:r w:rsidR="0057605F">
        <w:t xml:space="preserve">; TOE = transoesophageal </w:t>
      </w:r>
      <w:r w:rsidR="00B8566B">
        <w:t>echocardiography</w:t>
      </w:r>
      <w:r w:rsidR="00590F21">
        <w:t>; TTE = transthoracic echocardiography</w:t>
      </w:r>
      <w:r w:rsidR="008043A1">
        <w:t>.</w:t>
      </w:r>
    </w:p>
    <w:p w14:paraId="6DE4F8B9" w14:textId="1E83225A" w:rsidR="00F0257E" w:rsidRDefault="00E7458F" w:rsidP="00F0257E">
      <w:r w:rsidRPr="00E7458F">
        <w:lastRenderedPageBreak/>
        <w:t xml:space="preserve">The most important </w:t>
      </w:r>
      <w:r w:rsidR="007B1EFC">
        <w:t xml:space="preserve">clinical </w:t>
      </w:r>
      <w:r w:rsidRPr="00E7458F">
        <w:t xml:space="preserve">consequences </w:t>
      </w:r>
      <w:r w:rsidR="007B1EFC">
        <w:t>arise from</w:t>
      </w:r>
      <w:r w:rsidRPr="00E7458F">
        <w:t xml:space="preserve"> diagnostic accuracy. A </w:t>
      </w:r>
      <w:r w:rsidR="004D7BF5">
        <w:t>patient with a</w:t>
      </w:r>
      <w:r w:rsidRPr="00E7458F">
        <w:t xml:space="preserve"> false positive </w:t>
      </w:r>
      <w:r w:rsidR="00561542">
        <w:t>triage</w:t>
      </w:r>
      <w:r w:rsidRPr="00E7458F">
        <w:t xml:space="preserve"> test </w:t>
      </w:r>
      <w:r w:rsidR="004D7BF5">
        <w:t>(i.e. TCD bubble test</w:t>
      </w:r>
      <w:r w:rsidR="001A549E">
        <w:t>ing</w:t>
      </w:r>
      <w:r w:rsidR="007838F3">
        <w:t xml:space="preserve"> or TTE with bubble contrast</w:t>
      </w:r>
      <w:r w:rsidR="004D7BF5">
        <w:t>)</w:t>
      </w:r>
      <w:r w:rsidRPr="00E7458F">
        <w:t xml:space="preserve"> </w:t>
      </w:r>
      <w:r w:rsidR="001A549E">
        <w:t xml:space="preserve">would </w:t>
      </w:r>
      <w:r w:rsidR="00665B39">
        <w:t>generally</w:t>
      </w:r>
      <w:r w:rsidR="00D44168">
        <w:t xml:space="preserve"> proceed to</w:t>
      </w:r>
      <w:r w:rsidRPr="00E7458F">
        <w:t xml:space="preserve"> </w:t>
      </w:r>
      <w:r w:rsidR="00665B39">
        <w:t xml:space="preserve">confirmatory </w:t>
      </w:r>
      <w:r w:rsidRPr="00E7458F">
        <w:t>TOE</w:t>
      </w:r>
      <w:r w:rsidR="00665B39">
        <w:t xml:space="preserve">, at which point the absence of a </w:t>
      </w:r>
      <w:r w:rsidR="003F19A1">
        <w:t>causally related</w:t>
      </w:r>
      <w:r w:rsidR="00665B39">
        <w:t xml:space="preserve"> PFO</w:t>
      </w:r>
      <w:r w:rsidR="00D44168">
        <w:t xml:space="preserve"> </w:t>
      </w:r>
      <w:r w:rsidR="00A570EB">
        <w:t>is</w:t>
      </w:r>
      <w:r w:rsidR="00B062FA">
        <w:t xml:space="preserve"> </w:t>
      </w:r>
      <w:r w:rsidR="009A3CB5">
        <w:t xml:space="preserve">likely to be </w:t>
      </w:r>
      <w:r w:rsidR="007E30C6">
        <w:t xml:space="preserve">identified. As such, the </w:t>
      </w:r>
      <w:r w:rsidR="002878A1">
        <w:t>principal</w:t>
      </w:r>
      <w:r w:rsidR="007E30C6">
        <w:t xml:space="preserve"> consequence</w:t>
      </w:r>
      <w:r w:rsidR="002878A1">
        <w:t xml:space="preserve"> of a</w:t>
      </w:r>
      <w:r w:rsidR="00074107">
        <w:t xml:space="preserve"> false positive </w:t>
      </w:r>
      <w:r w:rsidR="002878A1">
        <w:t>result</w:t>
      </w:r>
      <w:r w:rsidR="00A82AA1">
        <w:t xml:space="preserve"> is exposure to unnecessary </w:t>
      </w:r>
      <w:r w:rsidR="00845596">
        <w:t>semi-invasive investigation and associated healthcare resource use</w:t>
      </w:r>
      <w:r w:rsidR="008C3C27">
        <w:t>, with</w:t>
      </w:r>
      <w:r w:rsidR="00B062FA">
        <w:t xml:space="preserve"> limited impact on </w:t>
      </w:r>
      <w:r w:rsidR="008C3C27">
        <w:t xml:space="preserve">longer-term </w:t>
      </w:r>
      <w:r w:rsidR="00B062FA">
        <w:t xml:space="preserve">health outcomes. </w:t>
      </w:r>
      <w:r w:rsidR="008C3C27">
        <w:t>In contrast</w:t>
      </w:r>
      <w:r w:rsidR="00B062FA">
        <w:t>,</w:t>
      </w:r>
      <w:r w:rsidRPr="00E7458F">
        <w:t xml:space="preserve"> a false negative result may </w:t>
      </w:r>
      <w:r w:rsidR="00942A76">
        <w:t>lead to a patient being incorrectly excluded from</w:t>
      </w:r>
      <w:r w:rsidR="007C6762" w:rsidRPr="006D5B17">
        <w:t xml:space="preserve"> </w:t>
      </w:r>
      <w:r w:rsidR="006D5B17" w:rsidRPr="006D5B17">
        <w:t xml:space="preserve">further </w:t>
      </w:r>
      <w:r w:rsidR="00D8248A">
        <w:t xml:space="preserve">PFO-specific </w:t>
      </w:r>
      <w:r w:rsidR="006D5B17" w:rsidRPr="006D5B17">
        <w:t>investigation</w:t>
      </w:r>
      <w:r w:rsidR="00D8248A">
        <w:t>,</w:t>
      </w:r>
      <w:r w:rsidR="006D5B17" w:rsidRPr="006D5B17">
        <w:t xml:space="preserve"> </w:t>
      </w:r>
      <w:r w:rsidR="007C6762">
        <w:t xml:space="preserve">potentially </w:t>
      </w:r>
      <w:r w:rsidR="008C5C2F">
        <w:t>result</w:t>
      </w:r>
      <w:r w:rsidR="00D8248A">
        <w:t>ing</w:t>
      </w:r>
      <w:r w:rsidR="008C5C2F">
        <w:t xml:space="preserve"> in</w:t>
      </w:r>
      <w:r w:rsidR="00933151">
        <w:t xml:space="preserve"> miss</w:t>
      </w:r>
      <w:r w:rsidR="002502ED">
        <w:t>ed</w:t>
      </w:r>
      <w:r w:rsidR="00933151">
        <w:t xml:space="preserve"> opportunity for </w:t>
      </w:r>
      <w:r w:rsidR="000824A9">
        <w:t>confirma</w:t>
      </w:r>
      <w:r w:rsidR="002502ED">
        <w:t>tory TOE</w:t>
      </w:r>
      <w:r w:rsidR="00204334">
        <w:t xml:space="preserve"> or a delay in the diagnosis</w:t>
      </w:r>
      <w:r w:rsidR="00931F1A">
        <w:t xml:space="preserve"> of </w:t>
      </w:r>
      <w:r w:rsidR="003F19A1">
        <w:t>causally related</w:t>
      </w:r>
      <w:r w:rsidR="00931F1A">
        <w:t xml:space="preserve"> PFO</w:t>
      </w:r>
      <w:r w:rsidR="006D5B17" w:rsidRPr="006D5B17">
        <w:t>.</w:t>
      </w:r>
    </w:p>
    <w:p w14:paraId="3482F224" w14:textId="483FC02F" w:rsidR="002D1F42" w:rsidRDefault="00CC5608" w:rsidP="00F0257E">
      <w:r>
        <w:t>P</w:t>
      </w:r>
      <w:r w:rsidR="00A11FBB" w:rsidRPr="00A11FBB">
        <w:t>rimary effectiveness outcomes include measures of test performance</w:t>
      </w:r>
      <w:r w:rsidR="00F50AA9" w:rsidRPr="00F50AA9">
        <w:t xml:space="preserve"> (sensitivity, specificity, </w:t>
      </w:r>
      <w:r w:rsidR="00A77E9A">
        <w:t xml:space="preserve">positive and negative predictive values, </w:t>
      </w:r>
      <w:r w:rsidR="00F50AA9" w:rsidRPr="00F50AA9">
        <w:t>concordance with reference standards)</w:t>
      </w:r>
      <w:r w:rsidR="00A77E9A">
        <w:t xml:space="preserve"> </w:t>
      </w:r>
      <w:r w:rsidR="00F50AA9" w:rsidRPr="00F50AA9">
        <w:t xml:space="preserve">and rates of inconclusive or technically inadequate studies. </w:t>
      </w:r>
      <w:r w:rsidR="00E41A68" w:rsidRPr="00E41A68">
        <w:t xml:space="preserve">Given the acknowledged limitations of TOE with bubble contrast as a reference standard, the assessment should consider concordance between the triage tests and TOE, rather than relying solely on estimates of diagnostic accuracy. </w:t>
      </w:r>
      <w:r w:rsidR="00D74F3B">
        <w:t>C</w:t>
      </w:r>
      <w:r w:rsidR="00E41A68" w:rsidRPr="00E41A68">
        <w:t>oncordance may provide a more informative assessment of relative test performance</w:t>
      </w:r>
      <w:r w:rsidR="007574C8">
        <w:t>, particularly</w:t>
      </w:r>
      <w:r w:rsidR="00E41A68" w:rsidRPr="00E41A68">
        <w:t xml:space="preserve"> where </w:t>
      </w:r>
      <w:r w:rsidR="007574C8">
        <w:t xml:space="preserve">observed </w:t>
      </w:r>
      <w:r w:rsidR="00E41A68" w:rsidRPr="00E41A68">
        <w:t xml:space="preserve">discrepancies </w:t>
      </w:r>
      <w:r w:rsidR="007574C8">
        <w:t>may</w:t>
      </w:r>
      <w:r w:rsidR="00E41A68" w:rsidRPr="00E41A68">
        <w:t xml:space="preserve"> reflect limitations of either the triage test or the reference standard.</w:t>
      </w:r>
      <w:r w:rsidR="00E41A68">
        <w:t xml:space="preserve"> </w:t>
      </w:r>
      <w:r w:rsidR="00F50AA9" w:rsidRPr="00F50AA9">
        <w:t xml:space="preserve">Test performance may be influenced by </w:t>
      </w:r>
      <w:r w:rsidR="001044D5">
        <w:t xml:space="preserve">the </w:t>
      </w:r>
      <w:r w:rsidR="00F50AA9" w:rsidRPr="00F50AA9">
        <w:t>operator</w:t>
      </w:r>
      <w:r w:rsidR="001044D5">
        <w:t>’s</w:t>
      </w:r>
      <w:r w:rsidR="00F50AA9" w:rsidRPr="00F50AA9">
        <w:t xml:space="preserve"> </w:t>
      </w:r>
      <w:r w:rsidR="001044D5">
        <w:t>technical skill</w:t>
      </w:r>
      <w:r w:rsidR="00852C87">
        <w:t>s</w:t>
      </w:r>
      <w:r w:rsidR="00F50AA9" w:rsidRPr="00F50AA9">
        <w:t xml:space="preserve"> and local expertise, which may affect diagnostic accuracy, reproducibility, and rates of inconclusive studies (Rubin et al. 2021). The application asserts that TCD has higher sensitivity for detecting </w:t>
      </w:r>
      <w:r w:rsidR="00421979">
        <w:t xml:space="preserve">a </w:t>
      </w:r>
      <w:r w:rsidR="00F50AA9" w:rsidRPr="00F50AA9">
        <w:t>righ</w:t>
      </w:r>
      <w:r w:rsidR="00F50AA9">
        <w:t>t-</w:t>
      </w:r>
      <w:r w:rsidR="00F50AA9" w:rsidRPr="00F50AA9">
        <w:t>t</w:t>
      </w:r>
      <w:r w:rsidR="00312693">
        <w:t>o-</w:t>
      </w:r>
      <w:r w:rsidR="00F50AA9" w:rsidRPr="00F50AA9">
        <w:t>left shunt compared with TTE</w:t>
      </w:r>
      <w:r w:rsidR="0071499B">
        <w:t xml:space="preserve"> </w:t>
      </w:r>
      <w:r w:rsidR="0071499B" w:rsidRPr="00F50AA9">
        <w:t>with bubble contrast</w:t>
      </w:r>
      <w:r w:rsidR="0071499B">
        <w:t xml:space="preserve"> (the comparator)</w:t>
      </w:r>
      <w:r w:rsidR="00F50AA9" w:rsidRPr="00F50AA9">
        <w:t xml:space="preserve"> and TOE with bubble contrast</w:t>
      </w:r>
      <w:r w:rsidR="0071499B">
        <w:t xml:space="preserve"> (the reference standard)</w:t>
      </w:r>
      <w:r w:rsidR="00F50AA9" w:rsidRPr="00F50AA9">
        <w:t>; however, the extent to which this translates into improved detection and clinical benefit in routine practice is uncertain and may vary according to service availability and access.</w:t>
      </w:r>
    </w:p>
    <w:p w14:paraId="72031287" w14:textId="2C7D6CED" w:rsidR="00476AB5" w:rsidRDefault="00D41276" w:rsidP="00F0257E">
      <w:r>
        <w:t xml:space="preserve">The ability of the </w:t>
      </w:r>
      <w:r w:rsidR="0080755D">
        <w:t xml:space="preserve">proposed </w:t>
      </w:r>
      <w:r>
        <w:t>triage test</w:t>
      </w:r>
      <w:r w:rsidR="00B95570">
        <w:t xml:space="preserve"> (i.e. TCD bubble test</w:t>
      </w:r>
      <w:r w:rsidR="00355FE9">
        <w:t>ing</w:t>
      </w:r>
      <w:r w:rsidR="00B95570">
        <w:t>)</w:t>
      </w:r>
      <w:r>
        <w:t xml:space="preserve"> to support appropriate referral, </w:t>
      </w:r>
      <w:r w:rsidR="00107E27">
        <w:t xml:space="preserve">patient </w:t>
      </w:r>
      <w:r>
        <w:t xml:space="preserve">classification </w:t>
      </w:r>
      <w:r w:rsidR="00251CD4" w:rsidRPr="00251CD4">
        <w:t>(i.e. presence or absence of a causally related PFO)</w:t>
      </w:r>
      <w:r w:rsidR="00251CD4">
        <w:t xml:space="preserve"> </w:t>
      </w:r>
      <w:r>
        <w:t xml:space="preserve">and subsequent management decisions represents an important intermediate outcome. </w:t>
      </w:r>
      <w:r w:rsidR="009D5279">
        <w:t>Accordingly, t</w:t>
      </w:r>
      <w:r w:rsidR="00476AB5" w:rsidRPr="00476AB5">
        <w:t xml:space="preserve">he impact </w:t>
      </w:r>
      <w:r w:rsidR="00107E27">
        <w:t xml:space="preserve">of TCD bubble testing </w:t>
      </w:r>
      <w:r w:rsidR="00476AB5" w:rsidRPr="00476AB5">
        <w:t xml:space="preserve">on clinical management is a key </w:t>
      </w:r>
      <w:r w:rsidR="00733A74">
        <w:t>consideration</w:t>
      </w:r>
      <w:r w:rsidR="00DC77DE">
        <w:t xml:space="preserve">, including </w:t>
      </w:r>
      <w:r w:rsidR="00733A74">
        <w:t xml:space="preserve">its effects on </w:t>
      </w:r>
      <w:r w:rsidR="00E53239">
        <w:t>r</w:t>
      </w:r>
      <w:r w:rsidR="00E53239" w:rsidRPr="00E53239">
        <w:t xml:space="preserve">eferral rates for </w:t>
      </w:r>
      <w:r w:rsidR="009674B7">
        <w:t xml:space="preserve">confirmatory </w:t>
      </w:r>
      <w:r w:rsidR="00E53239" w:rsidRPr="00E53239">
        <w:t>TOE</w:t>
      </w:r>
      <w:r w:rsidR="009674B7">
        <w:t xml:space="preserve"> and</w:t>
      </w:r>
      <w:r w:rsidR="00E53239" w:rsidRPr="00E53239">
        <w:t xml:space="preserve"> </w:t>
      </w:r>
      <w:r w:rsidR="000228CC">
        <w:t xml:space="preserve">the </w:t>
      </w:r>
      <w:r w:rsidR="00E53239" w:rsidRPr="00E53239">
        <w:t xml:space="preserve">appropriateness of </w:t>
      </w:r>
      <w:r w:rsidR="00733A74">
        <w:t xml:space="preserve">those </w:t>
      </w:r>
      <w:r w:rsidR="00E53239" w:rsidRPr="00E53239">
        <w:t>referral</w:t>
      </w:r>
      <w:r w:rsidR="00733A74">
        <w:t>s</w:t>
      </w:r>
      <w:r w:rsidR="00E53239" w:rsidRPr="00E53239">
        <w:t xml:space="preserve">. </w:t>
      </w:r>
      <w:r w:rsidR="005F2983" w:rsidRPr="005F2983">
        <w:t xml:space="preserve">Incorporation of TCD </w:t>
      </w:r>
      <w:r w:rsidR="005F2983">
        <w:t xml:space="preserve">bubble testing </w:t>
      </w:r>
      <w:r w:rsidR="005F2983" w:rsidRPr="005F2983">
        <w:t>may improve triage of patients for confirmatory imaging and has the potential to reduce use of sem</w:t>
      </w:r>
      <w:r w:rsidR="005F2983">
        <w:t>i-</w:t>
      </w:r>
      <w:r w:rsidR="005F2983" w:rsidRPr="005F2983">
        <w:t>invasive TOE or streamline diagnostic pathways in settings where TCD is readily available</w:t>
      </w:r>
      <w:r w:rsidR="004C5F63">
        <w:t>.</w:t>
      </w:r>
      <w:r w:rsidR="005F2983" w:rsidRPr="005F2983">
        <w:t xml:space="preserve"> </w:t>
      </w:r>
      <w:r w:rsidR="004C5F63">
        <w:t>H</w:t>
      </w:r>
      <w:r w:rsidR="005F2983" w:rsidRPr="005F2983">
        <w:t>owever, these benefits are likely to be contex</w:t>
      </w:r>
      <w:r w:rsidR="005F2983">
        <w:t>t-</w:t>
      </w:r>
      <w:r w:rsidR="005F2983" w:rsidRPr="005F2983">
        <w:t xml:space="preserve">dependent and may not be realised </w:t>
      </w:r>
      <w:r w:rsidR="004C5F63">
        <w:t>consistently</w:t>
      </w:r>
      <w:r w:rsidR="004C5F63" w:rsidRPr="005F2983">
        <w:t xml:space="preserve"> </w:t>
      </w:r>
      <w:r w:rsidR="005F2983" w:rsidRPr="005F2983">
        <w:t xml:space="preserve">across </w:t>
      </w:r>
      <w:r w:rsidR="004C5F63">
        <w:t xml:space="preserve">all </w:t>
      </w:r>
      <w:r w:rsidR="005F2983" w:rsidRPr="005F2983">
        <w:t>clinical settings.</w:t>
      </w:r>
    </w:p>
    <w:p w14:paraId="73980973" w14:textId="7D5F3E21" w:rsidR="009C5A01" w:rsidRDefault="00D649B2" w:rsidP="00F0257E">
      <w:r w:rsidRPr="00D649B2">
        <w:t xml:space="preserve">While </w:t>
      </w:r>
      <w:r w:rsidR="008F7D59" w:rsidRPr="008F7D59">
        <w:t>earlier or more sensitive detection of righ</w:t>
      </w:r>
      <w:r w:rsidR="008F7D59">
        <w:t>t-</w:t>
      </w:r>
      <w:r w:rsidR="008F7D59" w:rsidRPr="008F7D59">
        <w:t>t</w:t>
      </w:r>
      <w:r w:rsidR="008F7D59">
        <w:t>o-</w:t>
      </w:r>
      <w:r w:rsidR="008F7D59" w:rsidRPr="008F7D59">
        <w:t xml:space="preserve">left shunt may influence </w:t>
      </w:r>
      <w:r w:rsidR="00436E2B">
        <w:t xml:space="preserve">subsequence </w:t>
      </w:r>
      <w:r w:rsidR="008F7D59" w:rsidRPr="008F7D59">
        <w:t xml:space="preserve">management decisions, the extent to which this </w:t>
      </w:r>
      <w:r w:rsidR="00436E2B">
        <w:t>translates into</w:t>
      </w:r>
      <w:r w:rsidR="008F7D59" w:rsidRPr="008F7D59">
        <w:t xml:space="preserve"> improved clinical outcomes </w:t>
      </w:r>
      <w:r w:rsidR="006824F0">
        <w:t xml:space="preserve">(e.g. </w:t>
      </w:r>
      <w:r w:rsidR="006824F0" w:rsidRPr="00267CF0">
        <w:t>stroke recurrence, mortality, and quality of life</w:t>
      </w:r>
      <w:r w:rsidR="006824F0">
        <w:t>)</w:t>
      </w:r>
      <w:r w:rsidR="006824F0" w:rsidRPr="00267CF0">
        <w:t xml:space="preserve"> </w:t>
      </w:r>
      <w:r w:rsidR="008F7D59" w:rsidRPr="008F7D59">
        <w:t>remains uncertain</w:t>
      </w:r>
      <w:r w:rsidR="00145190">
        <w:t>.</w:t>
      </w:r>
      <w:r w:rsidR="00357CD6">
        <w:t xml:space="preserve"> </w:t>
      </w:r>
      <w:r w:rsidR="00145190">
        <w:t xml:space="preserve">This is because </w:t>
      </w:r>
      <w:r w:rsidR="00083F65">
        <w:t xml:space="preserve">definitive classification </w:t>
      </w:r>
      <w:r w:rsidR="00145190">
        <w:t>informing</w:t>
      </w:r>
      <w:r w:rsidR="00083F65">
        <w:t xml:space="preserve"> treatment decisions is </w:t>
      </w:r>
      <w:r w:rsidR="00145190">
        <w:t xml:space="preserve">typically </w:t>
      </w:r>
      <w:r w:rsidR="009C5A01">
        <w:t>determined using TOE with bubble contrast</w:t>
      </w:r>
      <w:r w:rsidR="00875421">
        <w:t xml:space="preserve"> </w:t>
      </w:r>
      <w:r w:rsidR="00145190">
        <w:t>in conjunction</w:t>
      </w:r>
      <w:r w:rsidR="002F07A1">
        <w:t xml:space="preserve"> with</w:t>
      </w:r>
      <w:r w:rsidR="00875421">
        <w:t xml:space="preserve"> </w:t>
      </w:r>
      <w:r w:rsidR="0096342F">
        <w:t xml:space="preserve">validated </w:t>
      </w:r>
      <w:r w:rsidR="002F07A1">
        <w:t xml:space="preserve">risk </w:t>
      </w:r>
      <w:r w:rsidR="0096342F">
        <w:t xml:space="preserve">stratification </w:t>
      </w:r>
      <w:r w:rsidR="002F07A1">
        <w:t>tools (e.g. PASCAL classification)</w:t>
      </w:r>
      <w:r w:rsidR="0096342F">
        <w:t>, which are applied</w:t>
      </w:r>
      <w:r w:rsidR="002F07A1">
        <w:t xml:space="preserve"> </w:t>
      </w:r>
      <w:r w:rsidR="002F07A1" w:rsidRPr="00B279B3">
        <w:t xml:space="preserve">alongside comprehensive clinical </w:t>
      </w:r>
      <w:r w:rsidR="0096342F">
        <w:t>assessment</w:t>
      </w:r>
      <w:r w:rsidR="008F7D59" w:rsidRPr="008F7D59">
        <w:t>.</w:t>
      </w:r>
    </w:p>
    <w:p w14:paraId="525A2352" w14:textId="25339C0B" w:rsidR="00267CF0" w:rsidRDefault="009C5A01" w:rsidP="00F0257E">
      <w:r>
        <w:t>P</w:t>
      </w:r>
      <w:r w:rsidR="008F7D59" w:rsidRPr="008F7D59">
        <w:t>atien</w:t>
      </w:r>
      <w:r w:rsidR="008F7D59">
        <w:t>t-</w:t>
      </w:r>
      <w:r w:rsidR="008F7D59" w:rsidRPr="008F7D59">
        <w:t>centred outcomes are also relevant</w:t>
      </w:r>
      <w:r>
        <w:t>;</w:t>
      </w:r>
      <w:r w:rsidR="008F7D59" w:rsidRPr="008F7D59">
        <w:t xml:space="preserve"> </w:t>
      </w:r>
      <w:r w:rsidR="00AD5E14">
        <w:t xml:space="preserve">earlier </w:t>
      </w:r>
      <w:r w:rsidR="008F7D59" w:rsidRPr="008F7D59">
        <w:t>identification of a PF</w:t>
      </w:r>
      <w:r w:rsidR="008F7D59">
        <w:t>O-</w:t>
      </w:r>
      <w:r w:rsidR="008F7D59" w:rsidRPr="008F7D59">
        <w:t>associated mechanism may provide diagnostic clarity and support timely management, although the impact on longe</w:t>
      </w:r>
      <w:r w:rsidR="000E1ED7">
        <w:t>r-</w:t>
      </w:r>
      <w:r w:rsidR="008F7D59" w:rsidRPr="008F7D59">
        <w:t>term quality of life is likely to vary.</w:t>
      </w:r>
    </w:p>
    <w:p w14:paraId="3400138A" w14:textId="3259FB44" w:rsidR="00AF637A" w:rsidRDefault="00AF637A" w:rsidP="00F0257E">
      <w:r w:rsidRPr="00AF637A">
        <w:t>From a safety perspective, TCD is no</w:t>
      </w:r>
      <w:r>
        <w:t>n-</w:t>
      </w:r>
      <w:r w:rsidRPr="00AF637A">
        <w:t xml:space="preserve">invasive with minimal direct </w:t>
      </w:r>
      <w:r w:rsidR="00D649B2">
        <w:t>risk; h</w:t>
      </w:r>
      <w:r w:rsidRPr="00AF637A">
        <w:t xml:space="preserve">owever, harms may arise indirectly </w:t>
      </w:r>
      <w:r w:rsidR="00413C08">
        <w:t>from</w:t>
      </w:r>
      <w:r w:rsidRPr="00AF637A">
        <w:t xml:space="preserve"> incorrect results, including complications of </w:t>
      </w:r>
      <w:r w:rsidR="00CF3873">
        <w:t>additional</w:t>
      </w:r>
      <w:r w:rsidRPr="00AF637A">
        <w:t xml:space="preserve"> </w:t>
      </w:r>
      <w:r w:rsidR="00413C08">
        <w:t xml:space="preserve">procedures or </w:t>
      </w:r>
      <w:r w:rsidRPr="00AF637A">
        <w:t xml:space="preserve">missed </w:t>
      </w:r>
      <w:r w:rsidR="00413C08">
        <w:t>treatme</w:t>
      </w:r>
      <w:r w:rsidR="001A0587">
        <w:t xml:space="preserve">nt </w:t>
      </w:r>
      <w:r w:rsidRPr="00AF637A">
        <w:t>opportunities.</w:t>
      </w:r>
    </w:p>
    <w:p w14:paraId="10E0F96C" w14:textId="708A7369" w:rsidR="00A3356E" w:rsidRDefault="001A0587" w:rsidP="00A3356E">
      <w:r w:rsidRPr="001A0587">
        <w:lastRenderedPageBreak/>
        <w:t xml:space="preserve">TCD use may also affect healthcare resource use, particularly the number and type of downstream investigations and procedures. </w:t>
      </w:r>
      <w:r w:rsidR="00246F38">
        <w:t>The introducti</w:t>
      </w:r>
      <w:r w:rsidR="001021F1">
        <w:t>on</w:t>
      </w:r>
      <w:r w:rsidR="00246F38">
        <w:t xml:space="preserve"> of TCD </w:t>
      </w:r>
      <w:r w:rsidRPr="001A0587">
        <w:t>may reduce use of more resourc</w:t>
      </w:r>
      <w:r w:rsidR="000E1ED7">
        <w:t>e-</w:t>
      </w:r>
      <w:r w:rsidRPr="001A0587">
        <w:t xml:space="preserve">intensive imaging, although </w:t>
      </w:r>
      <w:r w:rsidR="00810608">
        <w:t xml:space="preserve">the </w:t>
      </w:r>
      <w:r w:rsidRPr="001A0587">
        <w:t>overall resource impact will depend on utilisation patterns</w:t>
      </w:r>
      <w:r w:rsidR="0096178F">
        <w:t xml:space="preserve">, </w:t>
      </w:r>
      <w:r w:rsidRPr="001A0587">
        <w:t>diagnostic accuracy</w:t>
      </w:r>
      <w:r w:rsidR="0096178F">
        <w:t>, and access to services</w:t>
      </w:r>
      <w:r w:rsidRPr="001A0587">
        <w:t>.</w:t>
      </w:r>
    </w:p>
    <w:p w14:paraId="36966B9F" w14:textId="4D40E84F" w:rsidR="008D0554" w:rsidRDefault="00FF38E6" w:rsidP="003F16F9">
      <w:pPr>
        <w:pStyle w:val="Heading4"/>
      </w:pPr>
      <w:r>
        <w:t>E</w:t>
      </w:r>
      <w:r w:rsidR="0022492C">
        <w:t xml:space="preserve">vidence </w:t>
      </w:r>
      <w:r>
        <w:t>for safety and clinical effectiveness</w:t>
      </w:r>
    </w:p>
    <w:p w14:paraId="560021CD" w14:textId="40B2D55F" w:rsidR="00D12AE2" w:rsidRDefault="00D12AE2" w:rsidP="00D12AE2">
      <w:r>
        <w:t>Evidence to inform the safety and clinical effectiveness of TCD bubble testing is expected to be available, although it is likely to be indirect and derived from multiple sources. Clinical effectiveness will primarily be assessed through diagnostic test accuracy studies, in which TCD bubble testing is compared against a reference standard</w:t>
      </w:r>
      <w:r w:rsidR="00021051">
        <w:t xml:space="preserve">, </w:t>
      </w:r>
      <w:r>
        <w:t>typically TOE with bubble contrast. These studies</w:t>
      </w:r>
      <w:r w:rsidR="000E11E5">
        <w:t>, along with</w:t>
      </w:r>
      <w:r w:rsidR="00F20B61">
        <w:t xml:space="preserve"> systematic reviews and meta-analyses (e.g. Caso et al. 2024; Katsanos et al. 2016; Mojadidi et</w:t>
      </w:r>
      <w:r w:rsidR="00F20B61">
        <w:rPr>
          <w:rFonts w:cs="Calibri"/>
        </w:rPr>
        <w:t> </w:t>
      </w:r>
      <w:r w:rsidR="00F20B61">
        <w:t xml:space="preserve">al. 2014; </w:t>
      </w:r>
      <w:proofErr w:type="spellStart"/>
      <w:r w:rsidR="00F20B61">
        <w:t>Pristipino</w:t>
      </w:r>
      <w:proofErr w:type="spellEnd"/>
      <w:r w:rsidR="00F20B61">
        <w:t xml:space="preserve"> et al. 2019; Yavuz et al. 2026; Zhang et al. 2024)</w:t>
      </w:r>
      <w:r w:rsidR="001768B3">
        <w:t>,</w:t>
      </w:r>
      <w:r>
        <w:t xml:space="preserve"> provide evidence on sensitivity, specificity, concordance, </w:t>
      </w:r>
      <w:r w:rsidR="00643817">
        <w:t>and</w:t>
      </w:r>
      <w:r>
        <w:t xml:space="preserve"> diagnostic yield</w:t>
      </w:r>
      <w:r w:rsidR="00643817">
        <w:t>,</w:t>
      </w:r>
      <w:r>
        <w:t xml:space="preserve"> </w:t>
      </w:r>
      <w:r w:rsidR="003D0C0A">
        <w:t xml:space="preserve">including the </w:t>
      </w:r>
      <w:r>
        <w:t>detect</w:t>
      </w:r>
      <w:r w:rsidR="001768B3">
        <w:t>ion of</w:t>
      </w:r>
      <w:r>
        <w:t xml:space="preserve"> righ</w:t>
      </w:r>
      <w:r w:rsidR="00E223FF">
        <w:t>t-</w:t>
      </w:r>
      <w:r>
        <w:t>t</w:t>
      </w:r>
      <w:r w:rsidR="00E223FF">
        <w:t>o-</w:t>
      </w:r>
      <w:r>
        <w:t xml:space="preserve">left shunts. </w:t>
      </w:r>
      <w:r w:rsidR="001768B3">
        <w:t>A</w:t>
      </w:r>
      <w:r w:rsidR="00F20B61">
        <w:t xml:space="preserve"> </w:t>
      </w:r>
      <w:r w:rsidR="00C52AA8">
        <w:t xml:space="preserve">small </w:t>
      </w:r>
      <w:r w:rsidR="00F20B61">
        <w:t xml:space="preserve">number of </w:t>
      </w:r>
      <w:r w:rsidR="00A50D06">
        <w:t xml:space="preserve">diagnostic test accuracy </w:t>
      </w:r>
      <w:r w:rsidR="00416E36">
        <w:t xml:space="preserve">studies </w:t>
      </w:r>
      <w:r w:rsidR="00DF1752">
        <w:t xml:space="preserve">directly </w:t>
      </w:r>
      <w:r w:rsidR="00416E36">
        <w:t>compar</w:t>
      </w:r>
      <w:r w:rsidR="001768B3">
        <w:t>e</w:t>
      </w:r>
      <w:r w:rsidR="00416E36">
        <w:t xml:space="preserve"> </w:t>
      </w:r>
      <w:r>
        <w:t xml:space="preserve">TCD </w:t>
      </w:r>
      <w:r w:rsidR="00416E36">
        <w:t xml:space="preserve">bubble testing </w:t>
      </w:r>
      <w:r w:rsidR="00945FA9">
        <w:t>versus</w:t>
      </w:r>
      <w:r>
        <w:t xml:space="preserve"> TTE</w:t>
      </w:r>
      <w:r w:rsidR="00416E36">
        <w:t xml:space="preserve"> with bubble contrast</w:t>
      </w:r>
      <w:r w:rsidR="001768B3">
        <w:t>,</w:t>
      </w:r>
      <w:r w:rsidR="00416E36">
        <w:t xml:space="preserve"> using </w:t>
      </w:r>
      <w:r w:rsidR="00393DCA">
        <w:t xml:space="preserve">TOE as the reference </w:t>
      </w:r>
      <w:r w:rsidR="00393DCA" w:rsidRPr="002472F7">
        <w:t>standard</w:t>
      </w:r>
      <w:r w:rsidR="00315D21" w:rsidRPr="002472F7">
        <w:t xml:space="preserve"> (e.g. </w:t>
      </w:r>
      <w:r w:rsidR="00F6269C" w:rsidRPr="002472F7">
        <w:t xml:space="preserve">Di Tullio et al. 1993; </w:t>
      </w:r>
      <w:r w:rsidR="00D40076" w:rsidRPr="002472F7">
        <w:t>Gonzále</w:t>
      </w:r>
      <w:r w:rsidR="00441621">
        <w:t>z-</w:t>
      </w:r>
      <w:proofErr w:type="spellStart"/>
      <w:r w:rsidR="00D40076" w:rsidRPr="002472F7">
        <w:t>Alujas</w:t>
      </w:r>
      <w:proofErr w:type="spellEnd"/>
      <w:r w:rsidR="00D40076" w:rsidRPr="002472F7">
        <w:t xml:space="preserve"> et al. 2011; </w:t>
      </w:r>
      <w:r w:rsidR="00F6269C" w:rsidRPr="002472F7">
        <w:t>Oshima et al. 2026; Tan et al. 2024; Yang et al. 2020)</w:t>
      </w:r>
      <w:r w:rsidRPr="002472F7">
        <w:t>.</w:t>
      </w:r>
      <w:r w:rsidR="00636338">
        <w:t xml:space="preserve"> </w:t>
      </w:r>
      <w:r w:rsidR="00636338" w:rsidRPr="00636338">
        <w:t xml:space="preserve">However, the ESO guidelines (Caso et al. 2024) </w:t>
      </w:r>
      <w:r w:rsidR="000C7A99" w:rsidRPr="000C7A99">
        <w:t>did not identify any such direct comparative studies in their systematic review, highlighting limitations in the consistency and accessibility of the evidence base.</w:t>
      </w:r>
      <w:r w:rsidR="00A27D96">
        <w:rPr>
          <w:rStyle w:val="FootnoteReference"/>
        </w:rPr>
        <w:footnoteReference w:id="9"/>
      </w:r>
      <w:r w:rsidR="000C7A99" w:rsidRPr="000C7A99">
        <w:t xml:space="preserve"> It is possible that relevant studies were not included due to the application of specific eligibility criteria; therefore, a targeted review of primary studies will be required to fully characterise the available comparative evidence.</w:t>
      </w:r>
    </w:p>
    <w:p w14:paraId="1A83EA78" w14:textId="1ECBCACE" w:rsidR="005C77C1" w:rsidRDefault="00951898" w:rsidP="005C77C1">
      <w:r>
        <w:t>S</w:t>
      </w:r>
      <w:r w:rsidR="00FA0FD8" w:rsidRPr="00FA0FD8">
        <w:t>ubstantial heterogeneity is anticipated between studies. Differences in the use and adequacy of provocati</w:t>
      </w:r>
      <w:r w:rsidR="009F5FCB">
        <w:t>ve</w:t>
      </w:r>
      <w:r w:rsidR="00FA0FD8" w:rsidRPr="00FA0FD8">
        <w:t xml:space="preserve"> manoeuvres (e.g. Valsalva), </w:t>
      </w:r>
      <w:r w:rsidR="00B768F7">
        <w:t>composition</w:t>
      </w:r>
      <w:r w:rsidR="00FA0FD8" w:rsidRPr="00FA0FD8">
        <w:t xml:space="preserve"> of contrast agent</w:t>
      </w:r>
      <w:r w:rsidR="007A4780">
        <w:rPr>
          <w:rStyle w:val="FootnoteReference"/>
        </w:rPr>
        <w:footnoteReference w:id="10"/>
      </w:r>
      <w:r w:rsidR="00BD2B04">
        <w:t>,</w:t>
      </w:r>
      <w:r w:rsidR="00FA0FD8" w:rsidRPr="00FA0FD8">
        <w:t xml:space="preserve"> and thresholds for defining a positive test (e.g. microbubble count and timing of appearance) are likely to influence shunt detection rates. Variation in imaging protocols, patient positioning, and operator expertise</w:t>
      </w:r>
      <w:r w:rsidR="005C77C1">
        <w:t xml:space="preserve"> – particularly for TCD – </w:t>
      </w:r>
      <w:r w:rsidR="00F67457">
        <w:t xml:space="preserve">may </w:t>
      </w:r>
      <w:r w:rsidR="005C77C1">
        <w:t>further contribute to variability in reported diagnostic performance</w:t>
      </w:r>
      <w:r w:rsidR="003C358E">
        <w:t xml:space="preserve">, </w:t>
      </w:r>
      <w:r w:rsidR="003C358E" w:rsidRPr="003C358E">
        <w:t>although the extent of these effects</w:t>
      </w:r>
      <w:r w:rsidR="0086719A">
        <w:t xml:space="preserve"> will require confirmation through systematic review</w:t>
      </w:r>
      <w:r w:rsidR="005C77C1">
        <w:t>.</w:t>
      </w:r>
    </w:p>
    <w:p w14:paraId="28CF17B1" w14:textId="282643D3" w:rsidR="00985D65" w:rsidRDefault="009D245F" w:rsidP="005C77C1">
      <w:r w:rsidRPr="009D245F">
        <w:t xml:space="preserve">Study populations are </w:t>
      </w:r>
      <w:r w:rsidR="0073123A">
        <w:t>also</w:t>
      </w:r>
      <w:r w:rsidRPr="009D245F">
        <w:t xml:space="preserve"> expected to be heterogeneous and may not fully reflect those encountered in contemporary PFO screening pathways. Many studies are likely to include selected patients with known or suspected shunts, potentially overestimating diagnostic performance compared with an unselected stroke population. In addition, TCD is </w:t>
      </w:r>
      <w:r w:rsidR="00F81A35">
        <w:t>sometimes</w:t>
      </w:r>
      <w:r w:rsidRPr="009D245F">
        <w:t xml:space="preserve"> evaluated as a confirmatory test </w:t>
      </w:r>
      <w:r w:rsidR="00C96AF2">
        <w:t>following</w:t>
      </w:r>
      <w:r w:rsidR="00F81A35">
        <w:t xml:space="preserve"> TTE</w:t>
      </w:r>
      <w:r w:rsidR="006C7171">
        <w:t xml:space="preserve"> with bubble contrast</w:t>
      </w:r>
      <w:r w:rsidR="00C96AF2">
        <w:t>,</w:t>
      </w:r>
      <w:r w:rsidR="006C7171">
        <w:t xml:space="preserve"> </w:t>
      </w:r>
      <w:r w:rsidRPr="009D245F">
        <w:t>rather than as a firs</w:t>
      </w:r>
      <w:r w:rsidR="008B59FB">
        <w:t>t-</w:t>
      </w:r>
      <w:r w:rsidRPr="009D245F">
        <w:t xml:space="preserve">line triage tool, which may limit the direct applicability of </w:t>
      </w:r>
      <w:r w:rsidR="00671EB0">
        <w:t>the</w:t>
      </w:r>
      <w:r w:rsidRPr="009D245F">
        <w:t xml:space="preserve"> evidence to the proposed pathway. These anticipated limitations will require confirmation through a comprehensive review of the available </w:t>
      </w:r>
      <w:r w:rsidR="00671EB0">
        <w:t>evidence</w:t>
      </w:r>
      <w:r w:rsidRPr="009D245F">
        <w:t>.</w:t>
      </w:r>
    </w:p>
    <w:p w14:paraId="5E1D91EF" w14:textId="5B5615CA" w:rsidR="00D12AE2" w:rsidRDefault="00D12AE2" w:rsidP="00D12AE2">
      <w:r>
        <w:t xml:space="preserve">Direct evidence linking TCD bubble testing to patient health outcomes (e.g. stroke recurrence) is </w:t>
      </w:r>
      <w:r w:rsidR="00AE505C">
        <w:t xml:space="preserve">not </w:t>
      </w:r>
      <w:r w:rsidR="00313FD3">
        <w:t>expected</w:t>
      </w:r>
      <w:r>
        <w:t xml:space="preserve">. Instead, the impact on clinical outcomes will need to be inferred </w:t>
      </w:r>
      <w:r w:rsidR="00427F9C">
        <w:t xml:space="preserve">through </w:t>
      </w:r>
      <w:r w:rsidR="007F73B8">
        <w:t>a linked evidence approach</w:t>
      </w:r>
      <w:r w:rsidR="0054107C">
        <w:t>,</w:t>
      </w:r>
      <w:r w:rsidR="007F73B8">
        <w:t xml:space="preserve"> </w:t>
      </w:r>
      <w:r w:rsidR="004970B5">
        <w:t xml:space="preserve">based on </w:t>
      </w:r>
      <w:r w:rsidR="00464F9D">
        <w:t>change</w:t>
      </w:r>
      <w:r w:rsidR="00427F9C">
        <w:t>s</w:t>
      </w:r>
      <w:r w:rsidR="00464F9D">
        <w:t xml:space="preserve"> in </w:t>
      </w:r>
      <w:r w:rsidR="00316FD8">
        <w:t>patient management</w:t>
      </w:r>
      <w:r>
        <w:t xml:space="preserve">, </w:t>
      </w:r>
      <w:r w:rsidR="00D478E2">
        <w:t>such as</w:t>
      </w:r>
      <w:r>
        <w:t xml:space="preserve"> </w:t>
      </w:r>
      <w:r w:rsidR="00A922AB">
        <w:t xml:space="preserve">appropriate </w:t>
      </w:r>
      <w:r w:rsidR="00232031">
        <w:t>referral for confirmatory TOE</w:t>
      </w:r>
      <w:r w:rsidR="003E6DD7">
        <w:t xml:space="preserve"> </w:t>
      </w:r>
      <w:r w:rsidR="00232031">
        <w:t xml:space="preserve">and </w:t>
      </w:r>
      <w:r w:rsidR="006259C9">
        <w:t>subsequent decisions</w:t>
      </w:r>
      <w:r w:rsidR="003E6DD7">
        <w:t xml:space="preserve"> </w:t>
      </w:r>
      <w:r w:rsidR="006259C9">
        <w:t>regarding</w:t>
      </w:r>
      <w:r w:rsidR="00232031">
        <w:t xml:space="preserve"> </w:t>
      </w:r>
      <w:r>
        <w:t>PFO closure.</w:t>
      </w:r>
      <w:r w:rsidR="008702CE">
        <w:t xml:space="preserve"> S</w:t>
      </w:r>
      <w:r w:rsidR="008702CE" w:rsidRPr="008702CE">
        <w:t xml:space="preserve">tudies such as Tan et al. (2024) provide practical </w:t>
      </w:r>
      <w:r w:rsidR="008702CE" w:rsidRPr="008702CE">
        <w:lastRenderedPageBreak/>
        <w:t xml:space="preserve">examples of this pathway, reporting downstream management </w:t>
      </w:r>
      <w:r w:rsidR="006259C9">
        <w:t>decisions</w:t>
      </w:r>
      <w:r w:rsidR="008702CE" w:rsidRPr="008702CE">
        <w:t>, including confirmatory TOE and PFO closure, following both TCD and TTE bubble testing.</w:t>
      </w:r>
    </w:p>
    <w:p w14:paraId="2F745D36" w14:textId="21BD4DC1" w:rsidR="00D12AE2" w:rsidRDefault="00D12AE2" w:rsidP="00D12AE2">
      <w:r>
        <w:t xml:space="preserve">Safety data for TCD bubble testing are </w:t>
      </w:r>
      <w:r w:rsidR="007931AC">
        <w:t xml:space="preserve">also </w:t>
      </w:r>
      <w:r>
        <w:t>expected to be limited but sufficient to demonstrate that the procedure is low risk, given its no</w:t>
      </w:r>
      <w:r w:rsidR="00366D49">
        <w:t>n-</w:t>
      </w:r>
      <w:r>
        <w:t xml:space="preserve">invasive nature and use of agitated saline contrast. Evidence </w:t>
      </w:r>
      <w:r w:rsidR="00B43A58">
        <w:t>is likely to</w:t>
      </w:r>
      <w:r>
        <w:t xml:space="preserve"> be derived </w:t>
      </w:r>
      <w:r w:rsidR="00B43A58">
        <w:t xml:space="preserve">primarily </w:t>
      </w:r>
      <w:r>
        <w:t xml:space="preserve">from observational studies and clinical experience, with a focus on minor procedural risks </w:t>
      </w:r>
      <w:r w:rsidR="00E2001F">
        <w:t xml:space="preserve">(related to cannulation) </w:t>
      </w:r>
      <w:r>
        <w:t>and indirect harms arising from incorrect test results (i.e. false positive</w:t>
      </w:r>
      <w:r w:rsidR="00CD7107">
        <w:t xml:space="preserve"> results</w:t>
      </w:r>
      <w:r>
        <w:t xml:space="preserve"> leading to </w:t>
      </w:r>
      <w:r w:rsidR="00C00C9A">
        <w:t>semi-</w:t>
      </w:r>
      <w:r>
        <w:t xml:space="preserve">invasive </w:t>
      </w:r>
      <w:r w:rsidR="00C00C9A">
        <w:t>TOE</w:t>
      </w:r>
      <w:r>
        <w:t xml:space="preserve">, and false negative </w:t>
      </w:r>
      <w:r w:rsidR="00CD7107">
        <w:t>results</w:t>
      </w:r>
      <w:r>
        <w:t xml:space="preserve"> leading to missed treatment opportunities).</w:t>
      </w:r>
      <w:r w:rsidR="007761EB">
        <w:t xml:space="preserve"> </w:t>
      </w:r>
    </w:p>
    <w:p w14:paraId="391B6096" w14:textId="1ECF3405" w:rsidR="004C3C22" w:rsidRDefault="00DF0BBB" w:rsidP="00D12AE2">
      <w:r w:rsidRPr="00483266">
        <w:rPr>
          <w:rFonts w:asciiTheme="minorHAnsi" w:hAnsiTheme="minorHAnsi" w:cstheme="minorHAnsi"/>
          <w:i/>
          <w:iCs/>
        </w:rPr>
        <w:t xml:space="preserve">PASC considered that </w:t>
      </w:r>
      <w:r>
        <w:rPr>
          <w:rFonts w:asciiTheme="minorHAnsi" w:hAnsiTheme="minorHAnsi" w:cstheme="minorHAnsi"/>
          <w:i/>
          <w:iCs/>
        </w:rPr>
        <w:t>the clinical evaluation should assess both the performance of the triage tests (i.e. TCD/TCCD or TTE) and their downstream impact on</w:t>
      </w:r>
      <w:r w:rsidRPr="00483266">
        <w:rPr>
          <w:rFonts w:asciiTheme="minorHAnsi" w:hAnsiTheme="minorHAnsi" w:cstheme="minorHAnsi"/>
          <w:i/>
          <w:iCs/>
        </w:rPr>
        <w:t xml:space="preserve"> patient health outcomes. PASC noted that TTE with bubble contrast is an imperfect triage test and that</w:t>
      </w:r>
      <w:r>
        <w:rPr>
          <w:rFonts w:asciiTheme="minorHAnsi" w:hAnsiTheme="minorHAnsi" w:cstheme="minorHAnsi"/>
          <w:i/>
          <w:iCs/>
        </w:rPr>
        <w:t>,</w:t>
      </w:r>
      <w:r w:rsidRPr="00483266">
        <w:rPr>
          <w:rFonts w:asciiTheme="minorHAnsi" w:hAnsiTheme="minorHAnsi" w:cstheme="minorHAnsi"/>
          <w:i/>
          <w:iCs/>
        </w:rPr>
        <w:t xml:space="preserve"> </w:t>
      </w:r>
      <w:r>
        <w:rPr>
          <w:rFonts w:asciiTheme="minorHAnsi" w:hAnsiTheme="minorHAnsi" w:cstheme="minorHAnsi"/>
          <w:i/>
          <w:iCs/>
        </w:rPr>
        <w:t xml:space="preserve">if </w:t>
      </w:r>
      <w:r w:rsidRPr="00483266">
        <w:rPr>
          <w:rFonts w:asciiTheme="minorHAnsi" w:hAnsiTheme="minorHAnsi" w:cstheme="minorHAnsi"/>
          <w:i/>
          <w:iCs/>
        </w:rPr>
        <w:t xml:space="preserve">TCD bubble testing </w:t>
      </w:r>
      <w:r>
        <w:rPr>
          <w:rFonts w:asciiTheme="minorHAnsi" w:hAnsiTheme="minorHAnsi" w:cstheme="minorHAnsi"/>
          <w:i/>
          <w:iCs/>
        </w:rPr>
        <w:t>is shown to have</w:t>
      </w:r>
      <w:r w:rsidRPr="00483266">
        <w:rPr>
          <w:rFonts w:asciiTheme="minorHAnsi" w:hAnsiTheme="minorHAnsi" w:cstheme="minorHAnsi"/>
          <w:i/>
          <w:iCs/>
        </w:rPr>
        <w:t xml:space="preserve"> superior diagnostic performance</w:t>
      </w:r>
      <w:r>
        <w:rPr>
          <w:rFonts w:asciiTheme="minorHAnsi" w:hAnsiTheme="minorHAnsi" w:cstheme="minorHAnsi"/>
          <w:i/>
          <w:iCs/>
        </w:rPr>
        <w:t xml:space="preserve"> compared with TTE, it</w:t>
      </w:r>
      <w:r w:rsidRPr="00483266">
        <w:rPr>
          <w:rFonts w:asciiTheme="minorHAnsi" w:hAnsiTheme="minorHAnsi" w:cstheme="minorHAnsi"/>
          <w:i/>
          <w:iCs/>
        </w:rPr>
        <w:t xml:space="preserve"> could increase the identification of patients with a PFO </w:t>
      </w:r>
      <w:r>
        <w:rPr>
          <w:rFonts w:asciiTheme="minorHAnsi" w:hAnsiTheme="minorHAnsi" w:cstheme="minorHAnsi"/>
          <w:i/>
          <w:iCs/>
        </w:rPr>
        <w:t xml:space="preserve">who are </w:t>
      </w:r>
      <w:r w:rsidRPr="00483266">
        <w:rPr>
          <w:rFonts w:asciiTheme="minorHAnsi" w:hAnsiTheme="minorHAnsi" w:cstheme="minorHAnsi"/>
          <w:i/>
          <w:iCs/>
        </w:rPr>
        <w:t xml:space="preserve">at risk of recurrent stroke </w:t>
      </w:r>
      <w:r>
        <w:rPr>
          <w:rFonts w:asciiTheme="minorHAnsi" w:hAnsiTheme="minorHAnsi" w:cstheme="minorHAnsi"/>
          <w:i/>
          <w:iCs/>
        </w:rPr>
        <w:t>and</w:t>
      </w:r>
      <w:r w:rsidRPr="00483266">
        <w:rPr>
          <w:rFonts w:asciiTheme="minorHAnsi" w:hAnsiTheme="minorHAnsi" w:cstheme="minorHAnsi"/>
          <w:i/>
          <w:iCs/>
        </w:rPr>
        <w:t xml:space="preserve"> </w:t>
      </w:r>
      <w:r>
        <w:rPr>
          <w:rFonts w:asciiTheme="minorHAnsi" w:hAnsiTheme="minorHAnsi" w:cstheme="minorHAnsi"/>
          <w:i/>
          <w:iCs/>
        </w:rPr>
        <w:t xml:space="preserve">should </w:t>
      </w:r>
      <w:r w:rsidRPr="00483266">
        <w:rPr>
          <w:rFonts w:asciiTheme="minorHAnsi" w:hAnsiTheme="minorHAnsi" w:cstheme="minorHAnsi"/>
          <w:i/>
          <w:iCs/>
        </w:rPr>
        <w:t xml:space="preserve">proceed to confirmatory TOE, potentially </w:t>
      </w:r>
      <w:r>
        <w:rPr>
          <w:rFonts w:asciiTheme="minorHAnsi" w:hAnsiTheme="minorHAnsi" w:cstheme="minorHAnsi"/>
          <w:i/>
          <w:iCs/>
        </w:rPr>
        <w:t>enabling earlier and more appropriate management, including PFO closure where indicated. This may improve health outcomes by reducing recurrent stroke events and associated morbidity, with consequent benefits for patients’ quality of life.</w:t>
      </w:r>
    </w:p>
    <w:p w14:paraId="4BBF84CB" w14:textId="6F2803E8" w:rsidR="009B31CC" w:rsidRDefault="009B31CC" w:rsidP="00984989">
      <w:pPr>
        <w:pStyle w:val="Heading2"/>
      </w:pPr>
      <w:r w:rsidRPr="00490FBB">
        <w:t>Assessment framework</w:t>
      </w:r>
    </w:p>
    <w:p w14:paraId="3352BE9D" w14:textId="0AFAAF33" w:rsidR="000A1B94" w:rsidRDefault="00D363F2" w:rsidP="009E441B">
      <w:r w:rsidRPr="00D363F2">
        <w:t xml:space="preserve">The proposed use of TCD bubble testing </w:t>
      </w:r>
      <w:r w:rsidR="00772936">
        <w:t>is</w:t>
      </w:r>
      <w:r w:rsidRPr="00D363F2">
        <w:t xml:space="preserve"> an alternative triage modalit</w:t>
      </w:r>
      <w:r w:rsidR="006E4852">
        <w:t>y</w:t>
      </w:r>
      <w:r w:rsidRPr="00D363F2">
        <w:t xml:space="preserve"> </w:t>
      </w:r>
      <w:r w:rsidR="00772936">
        <w:t xml:space="preserve">to </w:t>
      </w:r>
      <w:r w:rsidR="006E4852">
        <w:t xml:space="preserve">TTE with bubble contrast </w:t>
      </w:r>
      <w:r w:rsidRPr="00D363F2">
        <w:t xml:space="preserve">within the </w:t>
      </w:r>
      <w:r w:rsidR="00074082">
        <w:t>existing</w:t>
      </w:r>
      <w:r w:rsidRPr="00D363F2">
        <w:t xml:space="preserve"> diagnostic pathway</w:t>
      </w:r>
      <w:r w:rsidR="00862C4E">
        <w:t xml:space="preserve"> </w:t>
      </w:r>
      <w:r w:rsidR="00862C4E" w:rsidRPr="00862C4E">
        <w:t>for detect</w:t>
      </w:r>
      <w:r w:rsidR="00074082">
        <w:t>i</w:t>
      </w:r>
      <w:r w:rsidR="009F1D82">
        <w:t>ng</w:t>
      </w:r>
      <w:r w:rsidR="00862C4E" w:rsidRPr="00862C4E">
        <w:t xml:space="preserve"> right-to-left shunt and suspected</w:t>
      </w:r>
      <w:r w:rsidR="00862C4E">
        <w:t xml:space="preserve"> PFO</w:t>
      </w:r>
      <w:r w:rsidR="004A4D3D">
        <w:t xml:space="preserve"> </w:t>
      </w:r>
      <w:r w:rsidR="00074082">
        <w:t>following</w:t>
      </w:r>
      <w:r w:rsidR="004A4D3D">
        <w:t xml:space="preserve"> cryptogenic </w:t>
      </w:r>
      <w:r w:rsidR="003A4DB4">
        <w:t xml:space="preserve">ischaemic </w:t>
      </w:r>
      <w:r w:rsidR="004A4D3D">
        <w:t>stroke</w:t>
      </w:r>
      <w:r w:rsidR="00B03D31">
        <w:t xml:space="preserve"> or ESUS</w:t>
      </w:r>
      <w:r w:rsidRPr="00D363F2">
        <w:t xml:space="preserve">. </w:t>
      </w:r>
      <w:r w:rsidR="003E2D53">
        <w:t>The application claim</w:t>
      </w:r>
      <w:r w:rsidR="00270079">
        <w:t>ed that</w:t>
      </w:r>
      <w:r w:rsidR="003E2D53">
        <w:t xml:space="preserve"> </w:t>
      </w:r>
      <w:r w:rsidR="00EC4DB8">
        <w:t xml:space="preserve">TCD bubble testing </w:t>
      </w:r>
      <w:r w:rsidR="008E7154">
        <w:t>has</w:t>
      </w:r>
      <w:r w:rsidR="00270079">
        <w:t xml:space="preserve"> superior </w:t>
      </w:r>
      <w:r w:rsidR="008E7154">
        <w:t>sensitivity compared with</w:t>
      </w:r>
      <w:r w:rsidR="00270079">
        <w:t xml:space="preserve"> </w:t>
      </w:r>
      <w:r w:rsidR="00EC4DB8">
        <w:t xml:space="preserve">TTE with bubble contrast </w:t>
      </w:r>
      <w:r w:rsidR="00270079">
        <w:t>for</w:t>
      </w:r>
      <w:r w:rsidR="00C75CC1">
        <w:t xml:space="preserve"> detect</w:t>
      </w:r>
      <w:r w:rsidR="00270079">
        <w:t>ing</w:t>
      </w:r>
      <w:r w:rsidR="00C75CC1">
        <w:t xml:space="preserve"> </w:t>
      </w:r>
      <w:r w:rsidR="00EC4DB8" w:rsidRPr="00862C4E">
        <w:t>right-to-left shunt</w:t>
      </w:r>
      <w:r w:rsidR="008E7154">
        <w:t>s</w:t>
      </w:r>
      <w:r w:rsidR="00270079">
        <w:t xml:space="preserve"> and</w:t>
      </w:r>
      <w:r w:rsidR="008E7154">
        <w:t xml:space="preserve"> </w:t>
      </w:r>
      <w:r w:rsidR="00270079">
        <w:t xml:space="preserve">may </w:t>
      </w:r>
      <w:r w:rsidR="008E7154">
        <w:t xml:space="preserve">therefore </w:t>
      </w:r>
      <w:r w:rsidR="00270079">
        <w:t xml:space="preserve">improve identification and triage of </w:t>
      </w:r>
      <w:r w:rsidR="006E15F7">
        <w:t xml:space="preserve">patients for </w:t>
      </w:r>
      <w:r w:rsidR="00A86671">
        <w:t>confirmatory TOE with bubble contrast.</w:t>
      </w:r>
    </w:p>
    <w:p w14:paraId="63D3E19B" w14:textId="502B040D" w:rsidR="00501D5A" w:rsidRDefault="00B97FE8" w:rsidP="009E441B">
      <w:r w:rsidRPr="00F60B3F">
        <w:t>The evaluation will adopt a linked evidence approach, incorporating comparative diagnostic accuracy</w:t>
      </w:r>
      <w:r w:rsidR="007B2CCD" w:rsidRPr="00F60B3F">
        <w:t xml:space="preserve"> and</w:t>
      </w:r>
      <w:r w:rsidRPr="00F60B3F">
        <w:t xml:space="preserve"> </w:t>
      </w:r>
      <w:r w:rsidR="008E7154" w:rsidRPr="00F60B3F">
        <w:t xml:space="preserve">resulting changes </w:t>
      </w:r>
      <w:r w:rsidR="00F60B3F" w:rsidRPr="00F60B3F">
        <w:t xml:space="preserve">in </w:t>
      </w:r>
      <w:r w:rsidRPr="00F60B3F">
        <w:t xml:space="preserve">downstream management </w:t>
      </w:r>
      <w:r w:rsidR="006E390D" w:rsidRPr="00F60B3F">
        <w:t xml:space="preserve">that </w:t>
      </w:r>
      <w:r w:rsidR="00F60B3F" w:rsidRPr="00F60B3F">
        <w:t>are likely to influence</w:t>
      </w:r>
      <w:r w:rsidR="009A12A2" w:rsidRPr="00F60B3F">
        <w:t xml:space="preserve"> health</w:t>
      </w:r>
      <w:r w:rsidRPr="00F60B3F">
        <w:t xml:space="preserve"> outcomes</w:t>
      </w:r>
      <w:r w:rsidR="00D363F2" w:rsidRPr="00F60B3F">
        <w:t>.</w:t>
      </w:r>
    </w:p>
    <w:p w14:paraId="74EFC252" w14:textId="6B5C69EE" w:rsidR="0050266D" w:rsidRDefault="00230F85" w:rsidP="007F1F57">
      <w:r w:rsidRPr="00230F85">
        <w:t xml:space="preserve">A graphical representation of each step in the linked evidence analysis is shown in the assessment framework below. Each step </w:t>
      </w:r>
      <w:r w:rsidR="00F60B3F">
        <w:t>represents</w:t>
      </w:r>
      <w:r w:rsidRPr="00230F85">
        <w:t xml:space="preserve"> an evidentiary requirement and corresponds to a</w:t>
      </w:r>
      <w:r w:rsidR="00F60B3F">
        <w:t xml:space="preserve"> specific</w:t>
      </w:r>
      <w:r w:rsidRPr="00230F85">
        <w:t xml:space="preserve"> assessment question.</w:t>
      </w:r>
    </w:p>
    <w:p w14:paraId="58E23E9A" w14:textId="1696E64C" w:rsidR="009B31CC" w:rsidRPr="00C92B13" w:rsidRDefault="00AE6FE0" w:rsidP="00C40CC4">
      <w:pPr>
        <w:pStyle w:val="Caption"/>
      </w:pPr>
      <w:bookmarkStart w:id="8" w:name="_Ref68327593"/>
      <w:bookmarkStart w:id="9" w:name="_Ref68327680"/>
      <w:r w:rsidRPr="00C92B13">
        <w:t>Figure</w:t>
      </w:r>
      <w:bookmarkEnd w:id="8"/>
      <w:r w:rsidR="00E607F3" w:rsidRPr="00C92B13">
        <w:t> </w:t>
      </w:r>
      <w:r w:rsidRPr="00C92B13">
        <w:fldChar w:fldCharType="begin"/>
      </w:r>
      <w:r w:rsidRPr="00C92B13">
        <w:instrText xml:space="preserve"> SEQ Figure \* ARABIC </w:instrText>
      </w:r>
      <w:r w:rsidRPr="00C92B13">
        <w:fldChar w:fldCharType="separate"/>
      </w:r>
      <w:r w:rsidR="008B1867" w:rsidRPr="00C92B13">
        <w:rPr>
          <w:noProof/>
        </w:rPr>
        <w:t>1</w:t>
      </w:r>
      <w:r w:rsidRPr="00C92B13">
        <w:fldChar w:fldCharType="end"/>
      </w:r>
      <w:bookmarkEnd w:id="9"/>
      <w:r w:rsidR="009B31CC" w:rsidRPr="00C92B13">
        <w:tab/>
      </w:r>
      <w:r w:rsidR="008B1867" w:rsidRPr="00C92B13">
        <w:t>A</w:t>
      </w:r>
      <w:r w:rsidR="009B31CC" w:rsidRPr="00C92B13">
        <w:t>ssessment framework showing the links from the test population to health outcomes</w:t>
      </w:r>
    </w:p>
    <w:p w14:paraId="73C7D842" w14:textId="6B76756B" w:rsidR="00AA23A6" w:rsidRDefault="001E6784" w:rsidP="003826AD">
      <w:pPr>
        <w:pStyle w:val="Tablenotes"/>
        <w:jc w:val="left"/>
      </w:pPr>
      <w:r>
        <w:rPr>
          <w:noProof/>
        </w:rPr>
        <w:drawing>
          <wp:inline distT="0" distB="0" distL="0" distR="0" wp14:anchorId="249EB4A0" wp14:editId="137F992C">
            <wp:extent cx="5851069" cy="2102491"/>
            <wp:effectExtent l="0" t="0" r="0" b="0"/>
            <wp:docPr id="960486" name="Picture 7" descr="Flowchart illustrating the assessment framework, starting with the target test population, use of triage testing leading to triage initial classification, the decision whether to use the definitive test or not, use of the definitive test leading to final classification, subsequent treatment/ management decisions leading to health outcomes. Adverse events of initial testing, definitive testing and treatment are incorpo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86" name="Picture 7" descr="Flowchart illustrating the assessment framework, starting with the target test population, use of triage testing leading to triage initial classification, the decision whether to use the definitive test or not, use of the definitive test leading to final classification, subsequent treatment/ management decisions leading to health outcomes. Adverse events of initial testing, definitive testing and treatment are incorporated.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83105" cy="2114003"/>
                    </a:xfrm>
                    <a:prstGeom prst="rect">
                      <a:avLst/>
                    </a:prstGeom>
                    <a:noFill/>
                  </pic:spPr>
                </pic:pic>
              </a:graphicData>
            </a:graphic>
          </wp:inline>
        </w:drawing>
      </w:r>
    </w:p>
    <w:p w14:paraId="1ECA55C5" w14:textId="0EE2D184" w:rsidR="00AA23A6" w:rsidRPr="0010015B" w:rsidRDefault="00AA23A6" w:rsidP="00F60B3F">
      <w:pPr>
        <w:pStyle w:val="Tablenotes"/>
        <w:spacing w:after="360"/>
      </w:pPr>
      <w:r w:rsidRPr="0010015B">
        <w:t xml:space="preserve">Figure notes: 1: direct </w:t>
      </w:r>
      <w:r w:rsidR="00F60B3F">
        <w:t xml:space="preserve">evidence </w:t>
      </w:r>
      <w:r w:rsidRPr="0010015B">
        <w:t xml:space="preserve">from test to health outcomes; </w:t>
      </w:r>
      <w:r w:rsidR="001E314F">
        <w:t xml:space="preserve">2: </w:t>
      </w:r>
      <w:r w:rsidR="00170F30">
        <w:t xml:space="preserve">impact </w:t>
      </w:r>
      <w:r w:rsidR="00105E28">
        <w:t xml:space="preserve">of triage test </w:t>
      </w:r>
      <w:r w:rsidR="00170F30">
        <w:t>on</w:t>
      </w:r>
      <w:r w:rsidR="004E0C8E">
        <w:t xml:space="preserve"> </w:t>
      </w:r>
      <w:r w:rsidR="005D5DC3">
        <w:t xml:space="preserve">time to </w:t>
      </w:r>
      <w:r w:rsidR="00B407ED">
        <w:t>final classification</w:t>
      </w:r>
      <w:r w:rsidR="006E390D">
        <w:t xml:space="preserve"> </w:t>
      </w:r>
      <w:r w:rsidR="00887AE5">
        <w:t>(</w:t>
      </w:r>
      <w:r w:rsidR="00887AE5" w:rsidRPr="00887AE5">
        <w:t xml:space="preserve">i.e. presence or absence of a causally related PFO) </w:t>
      </w:r>
      <w:r w:rsidR="006E390D">
        <w:t>and clinical management decisions</w:t>
      </w:r>
      <w:r w:rsidR="00E805AA">
        <w:t xml:space="preserve">; </w:t>
      </w:r>
      <w:r>
        <w:t>3</w:t>
      </w:r>
      <w:r w:rsidRPr="0010015B">
        <w:t xml:space="preserve">: test accuracy; </w:t>
      </w:r>
      <w:r>
        <w:t>4</w:t>
      </w:r>
      <w:r w:rsidRPr="0010015B">
        <w:t xml:space="preserve">: change in </w:t>
      </w:r>
      <w:r w:rsidR="00F755C8">
        <w:t xml:space="preserve">referral for definitive </w:t>
      </w:r>
      <w:r w:rsidR="009A1413">
        <w:t>test</w:t>
      </w:r>
      <w:r w:rsidR="00F60B3F">
        <w:t>ing</w:t>
      </w:r>
      <w:r w:rsidRPr="0010015B">
        <w:t xml:space="preserve">; </w:t>
      </w:r>
      <w:r w:rsidR="003D3380">
        <w:t>5</w:t>
      </w:r>
      <w:r w:rsidRPr="0010015B">
        <w:t xml:space="preserve">: influence of the </w:t>
      </w:r>
      <w:r w:rsidR="005D6B8B">
        <w:t xml:space="preserve">triage </w:t>
      </w:r>
      <w:r w:rsidR="009A1413">
        <w:t>test</w:t>
      </w:r>
      <w:r w:rsidR="00991DF4">
        <w:t xml:space="preserve"> </w:t>
      </w:r>
      <w:r w:rsidR="00991DF4">
        <w:lastRenderedPageBreak/>
        <w:t xml:space="preserve">on </w:t>
      </w:r>
      <w:r w:rsidR="005D6B8B">
        <w:t xml:space="preserve">definitive test results and </w:t>
      </w:r>
      <w:r w:rsidR="00991DF4">
        <w:t>final classification</w:t>
      </w:r>
      <w:r w:rsidRPr="0010015B">
        <w:t xml:space="preserve">; </w:t>
      </w:r>
      <w:r w:rsidR="00991DF4">
        <w:t>6</w:t>
      </w:r>
      <w:r w:rsidRPr="0010015B">
        <w:t xml:space="preserve">: </w:t>
      </w:r>
      <w:r w:rsidR="000C1D81" w:rsidRPr="0010015B">
        <w:t xml:space="preserve">influence of the </w:t>
      </w:r>
      <w:r w:rsidR="000C1D81">
        <w:t xml:space="preserve">triage test on </w:t>
      </w:r>
      <w:r w:rsidR="001B18B2">
        <w:t xml:space="preserve">treatment selection and </w:t>
      </w:r>
      <w:r w:rsidR="00590A8F">
        <w:t>subsequent health outcomes</w:t>
      </w:r>
      <w:r w:rsidRPr="0010015B">
        <w:t xml:space="preserve">; 7: adverse events due to </w:t>
      </w:r>
      <w:r w:rsidR="00A70CFF">
        <w:t xml:space="preserve">triage </w:t>
      </w:r>
      <w:r w:rsidRPr="0010015B">
        <w:t>test</w:t>
      </w:r>
      <w:r w:rsidR="00F60B3F">
        <w:t>ing</w:t>
      </w:r>
      <w:r w:rsidRPr="0010015B">
        <w:t xml:space="preserve">; 8: adverse events due to </w:t>
      </w:r>
      <w:r w:rsidR="00A70CFF">
        <w:t xml:space="preserve">definitive </w:t>
      </w:r>
      <w:r w:rsidR="000D37B6">
        <w:t>test</w:t>
      </w:r>
      <w:r w:rsidR="00F60B3F">
        <w:t>ing</w:t>
      </w:r>
      <w:r w:rsidR="00D90780">
        <w:t xml:space="preserve">; 9. </w:t>
      </w:r>
      <w:r w:rsidR="00946072">
        <w:t>adverse events due to</w:t>
      </w:r>
      <w:r w:rsidR="00983A47">
        <w:t xml:space="preserve"> subsequent</w:t>
      </w:r>
      <w:r w:rsidR="00946072">
        <w:t xml:space="preserve"> treatment</w:t>
      </w:r>
      <w:r w:rsidR="000D37B6">
        <w:t>.</w:t>
      </w:r>
    </w:p>
    <w:p w14:paraId="66F4FBB3" w14:textId="7E6DC873" w:rsidR="007A0778" w:rsidRPr="0010015B" w:rsidRDefault="00C14726" w:rsidP="00F60B3F">
      <w:r>
        <w:t>While</w:t>
      </w:r>
      <w:r w:rsidRPr="003E22B9">
        <w:t xml:space="preserve"> TOE with bubble contras</w:t>
      </w:r>
      <w:r>
        <w:t>t is</w:t>
      </w:r>
      <w:r w:rsidRPr="003E22B9">
        <w:t xml:space="preserve"> commonly </w:t>
      </w:r>
      <w:r w:rsidR="007F6DAF">
        <w:t>used</w:t>
      </w:r>
      <w:r w:rsidR="007F6DAF" w:rsidRPr="003E22B9">
        <w:t xml:space="preserve"> </w:t>
      </w:r>
      <w:r w:rsidRPr="003E22B9">
        <w:t>as the reference standar</w:t>
      </w:r>
      <w:r>
        <w:t>d</w:t>
      </w:r>
      <w:r w:rsidR="007F6DAF">
        <w:t xml:space="preserve"> for PFO assessment</w:t>
      </w:r>
      <w:r>
        <w:t xml:space="preserve">, it is </w:t>
      </w:r>
      <w:r w:rsidRPr="003E22B9">
        <w:t xml:space="preserve">not perfectly sensitive for </w:t>
      </w:r>
      <w:r>
        <w:t xml:space="preserve">detecting </w:t>
      </w:r>
      <w:r w:rsidRPr="003E22B9">
        <w:t>righ</w:t>
      </w:r>
      <w:r>
        <w:t>t-</w:t>
      </w:r>
      <w:r w:rsidRPr="003E22B9">
        <w:t>t</w:t>
      </w:r>
      <w:r>
        <w:t>o-</w:t>
      </w:r>
      <w:r w:rsidRPr="003E22B9">
        <w:t xml:space="preserve">left shunt. </w:t>
      </w:r>
      <w:r w:rsidRPr="004A3528">
        <w:t xml:space="preserve">However, under the PASCAL classification framework, which </w:t>
      </w:r>
      <w:r w:rsidR="00445BFA">
        <w:t>incorporates</w:t>
      </w:r>
      <w:r w:rsidR="00445BFA" w:rsidRPr="004A3528">
        <w:t xml:space="preserve"> </w:t>
      </w:r>
      <w:r w:rsidRPr="004A3528">
        <w:t xml:space="preserve">shunt size and clinical features to determine the likelihood </w:t>
      </w:r>
      <w:r w:rsidR="00445BFA">
        <w:t xml:space="preserve">that a PFO </w:t>
      </w:r>
      <w:r w:rsidR="005E2C81">
        <w:t xml:space="preserve">is causally </w:t>
      </w:r>
      <w:r w:rsidR="00E93868">
        <w:t>related to the index stroke</w:t>
      </w:r>
      <w:r w:rsidRPr="004A3528">
        <w:t xml:space="preserve">, additional small </w:t>
      </w:r>
      <w:r w:rsidRPr="003E22B9">
        <w:t>righ</w:t>
      </w:r>
      <w:r>
        <w:t>t-</w:t>
      </w:r>
      <w:r w:rsidRPr="003E22B9">
        <w:t>t</w:t>
      </w:r>
      <w:r>
        <w:t>o-</w:t>
      </w:r>
      <w:r w:rsidRPr="003E22B9">
        <w:t>left shunt</w:t>
      </w:r>
      <w:r w:rsidR="00E93868">
        <w:t>s</w:t>
      </w:r>
      <w:r w:rsidRPr="004A3528">
        <w:t xml:space="preserve"> detected by TCD but not confirmed on TOE may not </w:t>
      </w:r>
      <w:r w:rsidR="00DD5B0D">
        <w:t>change the overall</w:t>
      </w:r>
      <w:r w:rsidRPr="004A3528">
        <w:t xml:space="preserve"> classification</w:t>
      </w:r>
      <w:r w:rsidR="00DD5B0D">
        <w:t xml:space="preserve"> of PFO</w:t>
      </w:r>
      <w:r w:rsidR="00226CFC">
        <w:t>-related stroke causality</w:t>
      </w:r>
      <w:r w:rsidRPr="004A3528">
        <w:t xml:space="preserve">. </w:t>
      </w:r>
      <w:r w:rsidR="00226CFC">
        <w:t>Consequently</w:t>
      </w:r>
      <w:r w:rsidRPr="004A3528">
        <w:t>, improvement</w:t>
      </w:r>
      <w:r w:rsidR="00226CFC">
        <w:t>s</w:t>
      </w:r>
      <w:r w:rsidRPr="004A3528">
        <w:t xml:space="preserve"> in </w:t>
      </w:r>
      <w:r w:rsidR="00226CFC">
        <w:t xml:space="preserve">the </w:t>
      </w:r>
      <w:r w:rsidRPr="004A3528">
        <w:t xml:space="preserve">analytical sensitivity </w:t>
      </w:r>
      <w:r w:rsidR="00226CFC">
        <w:t xml:space="preserve">of shunt detection </w:t>
      </w:r>
      <w:r w:rsidRPr="004A3528">
        <w:t xml:space="preserve">may not necessarily translate into changes in </w:t>
      </w:r>
      <w:r w:rsidR="00533E2B">
        <w:t xml:space="preserve">the final clinical </w:t>
      </w:r>
      <w:r w:rsidRPr="004A3528">
        <w:t xml:space="preserve">classification </w:t>
      </w:r>
      <w:r w:rsidR="00533E2B">
        <w:t xml:space="preserve">of a </w:t>
      </w:r>
      <w:r w:rsidR="003E7158">
        <w:t>causally related</w:t>
      </w:r>
      <w:r w:rsidR="00533E2B">
        <w:t xml:space="preserve"> PFO, n</w:t>
      </w:r>
      <w:r w:rsidRPr="004A3528">
        <w:t xml:space="preserve">or </w:t>
      </w:r>
      <w:r w:rsidR="00533E2B">
        <w:t xml:space="preserve">into differences in </w:t>
      </w:r>
      <w:r w:rsidRPr="004A3528">
        <w:t xml:space="preserve">downstream management </w:t>
      </w:r>
      <w:r w:rsidR="00533E2B">
        <w:t xml:space="preserve">or patient outcomes </w:t>
      </w:r>
      <w:r w:rsidRPr="004A3528">
        <w:t>for all patients</w:t>
      </w:r>
      <w:r w:rsidRPr="003E22B9">
        <w:t>.</w:t>
      </w:r>
      <w:r w:rsidR="00383589">
        <w:t xml:space="preserve"> </w:t>
      </w:r>
      <w:r w:rsidR="00383589" w:rsidRPr="00383589">
        <w:t xml:space="preserve">The assessment should therefore examine whether any incremental diagnostic yield associated with TCD </w:t>
      </w:r>
      <w:r w:rsidR="00E966E8">
        <w:t xml:space="preserve">bubble testing compared with TTE with bubble contrast </w:t>
      </w:r>
      <w:r w:rsidR="00383589" w:rsidRPr="00383589">
        <w:t>results in meaningful changes in PFO classification, clinical management and patient outcomes.</w:t>
      </w:r>
    </w:p>
    <w:p w14:paraId="252C5C6A" w14:textId="77777777" w:rsidR="00D3698C" w:rsidRPr="00785DF4" w:rsidRDefault="00D3698C" w:rsidP="00785DF4">
      <w:pPr>
        <w:pStyle w:val="Heading3"/>
      </w:pPr>
      <w:r w:rsidRPr="00785DF4">
        <w:t>Direct evidence</w:t>
      </w:r>
    </w:p>
    <w:p w14:paraId="31E226D9" w14:textId="07AB9B05" w:rsidR="00D3698C" w:rsidRPr="00785DF4" w:rsidRDefault="00D3698C" w:rsidP="00840159">
      <w:pPr>
        <w:keepNext/>
        <w:spacing w:after="120"/>
        <w:rPr>
          <w:b/>
          <w:bCs/>
        </w:rPr>
      </w:pPr>
      <w:r w:rsidRPr="00785DF4">
        <w:rPr>
          <w:b/>
          <w:bCs/>
        </w:rPr>
        <w:t>Step 1</w:t>
      </w:r>
      <w:r w:rsidR="0089084D" w:rsidRPr="00785DF4">
        <w:rPr>
          <w:b/>
          <w:bCs/>
        </w:rPr>
        <w:t xml:space="preserve">: </w:t>
      </w:r>
      <w:r w:rsidR="003213E5" w:rsidRPr="00785DF4">
        <w:rPr>
          <w:b/>
          <w:bCs/>
        </w:rPr>
        <w:t>Test to health outcomes</w:t>
      </w:r>
    </w:p>
    <w:p w14:paraId="4BF93297" w14:textId="1758ED7C" w:rsidR="00D3698C" w:rsidRDefault="00D3698C" w:rsidP="003213E5">
      <w:pPr>
        <w:pStyle w:val="ListParagraph"/>
        <w:numPr>
          <w:ilvl w:val="0"/>
          <w:numId w:val="26"/>
        </w:numPr>
      </w:pPr>
      <w:r w:rsidRPr="00785DF4">
        <w:t>In patients with prior cryptogenic isch</w:t>
      </w:r>
      <w:r w:rsidR="00D740EA">
        <w:t>a</w:t>
      </w:r>
      <w:r w:rsidRPr="00785DF4">
        <w:t xml:space="preserve">emic stroke </w:t>
      </w:r>
      <w:r w:rsidR="006B6AB0">
        <w:t xml:space="preserve">or ESUS </w:t>
      </w:r>
      <w:r w:rsidRPr="00785DF4">
        <w:t xml:space="preserve">undergoing evaluation for a </w:t>
      </w:r>
      <w:r w:rsidR="0024110D">
        <w:t xml:space="preserve">causally related </w:t>
      </w:r>
      <w:r w:rsidRPr="00785DF4">
        <w:t>PFO, does the use of TCD bubble testing</w:t>
      </w:r>
      <w:r w:rsidR="00611768">
        <w:t xml:space="preserve"> followed by TOE with bubble contrast</w:t>
      </w:r>
      <w:r w:rsidR="00E31483">
        <w:t>, compared with</w:t>
      </w:r>
      <w:r w:rsidRPr="00785DF4">
        <w:t xml:space="preserve"> TTE with bubble contrast</w:t>
      </w:r>
      <w:r w:rsidR="00611768">
        <w:t xml:space="preserve"> followed by TOE with bubble contrast</w:t>
      </w:r>
      <w:r w:rsidR="00E31483">
        <w:t>,</w:t>
      </w:r>
      <w:r w:rsidRPr="00785DF4">
        <w:t xml:space="preserve"> result in </w:t>
      </w:r>
      <w:r w:rsidR="00615764">
        <w:t>comparable</w:t>
      </w:r>
      <w:r w:rsidRPr="00785DF4">
        <w:t xml:space="preserve"> </w:t>
      </w:r>
      <w:r w:rsidR="00AC0C01">
        <w:t xml:space="preserve">or superior </w:t>
      </w:r>
      <w:r w:rsidRPr="00785DF4">
        <w:t>health outcomes?</w:t>
      </w:r>
    </w:p>
    <w:p w14:paraId="3216A9F1" w14:textId="6B164CA0" w:rsidR="00D3698C" w:rsidRPr="00785DF4" w:rsidRDefault="00D3698C" w:rsidP="00D3698C">
      <w:r w:rsidRPr="00785DF4">
        <w:t xml:space="preserve">Direct evidence linking TCD bubble testing to health outcomes (e.g. stroke recurrence, mortality) is </w:t>
      </w:r>
      <w:r w:rsidR="002A6C61">
        <w:t>not anticipated</w:t>
      </w:r>
      <w:r w:rsidRPr="00785DF4">
        <w:t>.</w:t>
      </w:r>
    </w:p>
    <w:p w14:paraId="2A824949" w14:textId="77777777" w:rsidR="00D3698C" w:rsidRDefault="00D3698C" w:rsidP="00D3698C">
      <w:pPr>
        <w:pStyle w:val="Heading3"/>
      </w:pPr>
      <w:r w:rsidRPr="00196CCD">
        <w:t>Indirect evidence</w:t>
      </w:r>
    </w:p>
    <w:p w14:paraId="17753FF7" w14:textId="7586A53D" w:rsidR="00F54FCE" w:rsidRPr="00814AE4" w:rsidRDefault="00F54FCE" w:rsidP="00F54FCE">
      <w:pPr>
        <w:keepNext/>
        <w:spacing w:after="120"/>
        <w:rPr>
          <w:b/>
          <w:bCs/>
        </w:rPr>
      </w:pPr>
      <w:r w:rsidRPr="00B66B7E">
        <w:rPr>
          <w:b/>
          <w:bCs/>
        </w:rPr>
        <w:t xml:space="preserve">Step </w:t>
      </w:r>
      <w:r w:rsidR="00575CD8">
        <w:rPr>
          <w:b/>
          <w:bCs/>
        </w:rPr>
        <w:t>2</w:t>
      </w:r>
      <w:r w:rsidRPr="00B66B7E">
        <w:rPr>
          <w:b/>
          <w:bCs/>
        </w:rPr>
        <w:t xml:space="preserve">: </w:t>
      </w:r>
      <w:r w:rsidRPr="00814AE4">
        <w:rPr>
          <w:b/>
          <w:bCs/>
        </w:rPr>
        <w:t xml:space="preserve">Impact on </w:t>
      </w:r>
      <w:r w:rsidR="00575CD8" w:rsidRPr="00814AE4">
        <w:rPr>
          <w:b/>
          <w:bCs/>
        </w:rPr>
        <w:t xml:space="preserve">time to </w:t>
      </w:r>
      <w:r w:rsidR="009C515D">
        <w:rPr>
          <w:b/>
          <w:bCs/>
        </w:rPr>
        <w:t>final classification</w:t>
      </w:r>
      <w:r w:rsidR="00366B97">
        <w:rPr>
          <w:b/>
          <w:bCs/>
        </w:rPr>
        <w:t xml:space="preserve"> (</w:t>
      </w:r>
      <w:r w:rsidR="00366B97" w:rsidRPr="00366B97">
        <w:rPr>
          <w:b/>
          <w:bCs/>
        </w:rPr>
        <w:t>i.e. presence or absence of a causally related PFO)</w:t>
      </w:r>
    </w:p>
    <w:p w14:paraId="0823AB98" w14:textId="58452884" w:rsidR="00F54FCE" w:rsidRDefault="009C43FE" w:rsidP="00F54FCE">
      <w:pPr>
        <w:pStyle w:val="ListParagraph"/>
        <w:numPr>
          <w:ilvl w:val="0"/>
          <w:numId w:val="27"/>
        </w:numPr>
      </w:pPr>
      <w:r w:rsidRPr="00814AE4">
        <w:t>Does the use of TCD bubble testing</w:t>
      </w:r>
      <w:r w:rsidR="00E31483">
        <w:t>, compared with</w:t>
      </w:r>
      <w:r w:rsidRPr="00814AE4">
        <w:t xml:space="preserve"> TTE with bubble contrast</w:t>
      </w:r>
      <w:r w:rsidR="00E31483">
        <w:t>,</w:t>
      </w:r>
      <w:r w:rsidRPr="00814AE4">
        <w:t xml:space="preserve"> </w:t>
      </w:r>
      <w:r w:rsidR="00A425E6">
        <w:t>reduce</w:t>
      </w:r>
      <w:r w:rsidR="00F208EF">
        <w:t xml:space="preserve"> the</w:t>
      </w:r>
      <w:r w:rsidR="00A425E6">
        <w:t xml:space="preserve"> </w:t>
      </w:r>
      <w:r w:rsidR="00F17F60" w:rsidRPr="00814AE4">
        <w:t xml:space="preserve">time to </w:t>
      </w:r>
      <w:r w:rsidR="00D8253B">
        <w:t>final classification</w:t>
      </w:r>
      <w:r w:rsidR="00F17F60" w:rsidRPr="00814AE4">
        <w:t xml:space="preserve"> </w:t>
      </w:r>
      <w:r w:rsidR="00F208EF">
        <w:t xml:space="preserve">of the presence or absence of a causally related PFO, </w:t>
      </w:r>
      <w:r w:rsidR="00F17F60" w:rsidRPr="00814AE4">
        <w:t xml:space="preserve">and </w:t>
      </w:r>
      <w:r w:rsidR="00C519D4">
        <w:t xml:space="preserve">to </w:t>
      </w:r>
      <w:r w:rsidR="00814AE4" w:rsidRPr="00814AE4">
        <w:t>subsequent clinical decision-making?</w:t>
      </w:r>
    </w:p>
    <w:p w14:paraId="63423AFA" w14:textId="7292B63F" w:rsidR="00D3698C" w:rsidRPr="002B6B8A" w:rsidRDefault="00D3698C" w:rsidP="00840159">
      <w:pPr>
        <w:keepNext/>
        <w:spacing w:after="120"/>
        <w:rPr>
          <w:b/>
          <w:bCs/>
        </w:rPr>
      </w:pPr>
      <w:r w:rsidRPr="002B6B8A">
        <w:rPr>
          <w:b/>
          <w:bCs/>
        </w:rPr>
        <w:t xml:space="preserve">Step </w:t>
      </w:r>
      <w:r w:rsidR="002B6B8A" w:rsidRPr="002B6B8A">
        <w:rPr>
          <w:b/>
          <w:bCs/>
        </w:rPr>
        <w:t>3</w:t>
      </w:r>
      <w:r w:rsidRPr="002B6B8A">
        <w:rPr>
          <w:b/>
          <w:bCs/>
        </w:rPr>
        <w:t>: Test accuracy</w:t>
      </w:r>
    </w:p>
    <w:p w14:paraId="7BB83FCE" w14:textId="4FA12C88" w:rsidR="000B4D0F" w:rsidRDefault="000B4D0F" w:rsidP="000B4D0F">
      <w:pPr>
        <w:pStyle w:val="ListParagraph"/>
        <w:numPr>
          <w:ilvl w:val="0"/>
          <w:numId w:val="26"/>
        </w:numPr>
      </w:pPr>
      <w:r w:rsidRPr="002B6B8A">
        <w:t xml:space="preserve">What is the </w:t>
      </w:r>
      <w:r>
        <w:t xml:space="preserve">comparative </w:t>
      </w:r>
      <w:r w:rsidRPr="002B6B8A">
        <w:t xml:space="preserve">diagnostic accuracy </w:t>
      </w:r>
      <w:r w:rsidR="00105D5B">
        <w:t xml:space="preserve">and concordance </w:t>
      </w:r>
      <w:r w:rsidRPr="002B6B8A">
        <w:t>of bubble testing</w:t>
      </w:r>
      <w:r>
        <w:t xml:space="preserve"> using a TCD system compared with a TCCD system?</w:t>
      </w:r>
    </w:p>
    <w:p w14:paraId="491F2B2F" w14:textId="2B287AC3" w:rsidR="00F253D0" w:rsidRPr="002B6B8A" w:rsidRDefault="00D3698C" w:rsidP="000B4D0F">
      <w:pPr>
        <w:pStyle w:val="ListParagraph"/>
        <w:numPr>
          <w:ilvl w:val="0"/>
          <w:numId w:val="26"/>
        </w:numPr>
      </w:pPr>
      <w:r w:rsidRPr="002B6B8A">
        <w:t xml:space="preserve">What is the </w:t>
      </w:r>
      <w:r w:rsidR="00A915D6">
        <w:t xml:space="preserve">comparative </w:t>
      </w:r>
      <w:r w:rsidRPr="002B6B8A">
        <w:t xml:space="preserve">diagnostic accuracy of TCD bubble testing compared with </w:t>
      </w:r>
      <w:r w:rsidR="00E1625D">
        <w:t xml:space="preserve">TTE with bubble contrast </w:t>
      </w:r>
      <w:r w:rsidR="00301C41">
        <w:t>against</w:t>
      </w:r>
      <w:r w:rsidR="00301C41" w:rsidRPr="002B6B8A">
        <w:t xml:space="preserve"> </w:t>
      </w:r>
      <w:r w:rsidRPr="002B6B8A">
        <w:t>the reference standard (TOE with bubble contrast)?</w:t>
      </w:r>
      <w:r w:rsidR="00A876E1">
        <w:t xml:space="preserve"> </w:t>
      </w:r>
      <w:r w:rsidR="00A876E1" w:rsidRPr="00A876E1">
        <w:t xml:space="preserve">What is the concordance of TCD bubble testing compared to TTE </w:t>
      </w:r>
      <w:r w:rsidR="00A876E1">
        <w:t>with bubble contrast</w:t>
      </w:r>
      <w:r w:rsidR="00A876E1" w:rsidRPr="00A876E1">
        <w:t>?</w:t>
      </w:r>
    </w:p>
    <w:p w14:paraId="462EE06B" w14:textId="06B31474" w:rsidR="006309C4" w:rsidRDefault="0091153C" w:rsidP="003D5C34">
      <w:pPr>
        <w:pStyle w:val="ListParagraph"/>
        <w:numPr>
          <w:ilvl w:val="0"/>
          <w:numId w:val="26"/>
        </w:numPr>
      </w:pPr>
      <w:r>
        <w:t xml:space="preserve">What are the clinical consequences of </w:t>
      </w:r>
      <w:r w:rsidR="00C01395">
        <w:t>a false</w:t>
      </w:r>
      <w:r w:rsidR="00885E8F">
        <w:t>-</w:t>
      </w:r>
      <w:r w:rsidR="00C01395">
        <w:t xml:space="preserve">negative triage </w:t>
      </w:r>
      <w:r w:rsidR="009B34D1">
        <w:t xml:space="preserve">test </w:t>
      </w:r>
      <w:r w:rsidR="003303B6">
        <w:t>(i.e</w:t>
      </w:r>
      <w:r w:rsidR="007531A5">
        <w:t>.</w:t>
      </w:r>
      <w:r w:rsidR="003303B6">
        <w:t xml:space="preserve"> TCD bubble test</w:t>
      </w:r>
      <w:r w:rsidR="009B34D1">
        <w:t>ing</w:t>
      </w:r>
      <w:r w:rsidR="00AE1451">
        <w:t xml:space="preserve"> or TTE with bubble contrast</w:t>
      </w:r>
      <w:r w:rsidR="003303B6">
        <w:t>)</w:t>
      </w:r>
      <w:r w:rsidR="00C01395">
        <w:t xml:space="preserve"> result?</w:t>
      </w:r>
    </w:p>
    <w:p w14:paraId="7E0603E4" w14:textId="186DFFF4" w:rsidR="000C3845" w:rsidRPr="003D5C34" w:rsidRDefault="002C5605" w:rsidP="00D206DF">
      <w:r>
        <w:t>If the comparative diagnostic accuracy of</w:t>
      </w:r>
      <w:r w:rsidR="00D658D7" w:rsidRPr="00D658D7">
        <w:t xml:space="preserve"> TCD and TCCD </w:t>
      </w:r>
      <w:r w:rsidR="001C5BD6">
        <w:t xml:space="preserve">systems </w:t>
      </w:r>
      <w:r w:rsidR="00FD7820">
        <w:t>is</w:t>
      </w:r>
      <w:r>
        <w:t xml:space="preserve"> not </w:t>
      </w:r>
      <w:r w:rsidR="00FD7820">
        <w:t xml:space="preserve">found to differ </w:t>
      </w:r>
      <w:r>
        <w:t>materially, the two technologies may</w:t>
      </w:r>
      <w:r w:rsidR="00D658D7" w:rsidRPr="00D658D7">
        <w:t xml:space="preserve"> be </w:t>
      </w:r>
      <w:r w:rsidR="00DA1E40">
        <w:t>considered together</w:t>
      </w:r>
      <w:r w:rsidR="00D658D7" w:rsidRPr="00D658D7">
        <w:t xml:space="preserve"> </w:t>
      </w:r>
      <w:r>
        <w:t>for the remainder of the assessment</w:t>
      </w:r>
      <w:r w:rsidR="00D658D7" w:rsidRPr="00D658D7">
        <w:t xml:space="preserve">. If </w:t>
      </w:r>
      <w:r w:rsidR="00B73894">
        <w:t xml:space="preserve">meaningful differences in </w:t>
      </w:r>
      <w:r w:rsidR="00D658D7" w:rsidRPr="00D658D7">
        <w:t xml:space="preserve">diagnostic accuracy are </w:t>
      </w:r>
      <w:r w:rsidR="00B73894">
        <w:t>identified</w:t>
      </w:r>
      <w:r w:rsidR="00D658D7" w:rsidRPr="00D658D7">
        <w:t xml:space="preserve">, </w:t>
      </w:r>
      <w:r w:rsidR="001C5BD6">
        <w:t>TCD and TCCD should be assessed separately</w:t>
      </w:r>
      <w:r w:rsidR="00D658D7" w:rsidRPr="00D658D7">
        <w:t>.</w:t>
      </w:r>
    </w:p>
    <w:p w14:paraId="4C377152" w14:textId="0E9A838B" w:rsidR="00D3698C" w:rsidRPr="000E5A38" w:rsidRDefault="00D3698C" w:rsidP="00840159">
      <w:pPr>
        <w:keepNext/>
        <w:spacing w:after="120"/>
        <w:rPr>
          <w:b/>
          <w:bCs/>
        </w:rPr>
      </w:pPr>
      <w:r w:rsidRPr="000E5A38">
        <w:rPr>
          <w:b/>
          <w:bCs/>
        </w:rPr>
        <w:lastRenderedPageBreak/>
        <w:t xml:space="preserve">Step </w:t>
      </w:r>
      <w:r w:rsidR="000E5A38" w:rsidRPr="000E5A38">
        <w:rPr>
          <w:b/>
          <w:bCs/>
        </w:rPr>
        <w:t>4</w:t>
      </w:r>
      <w:r w:rsidRPr="000E5A38">
        <w:rPr>
          <w:b/>
          <w:bCs/>
        </w:rPr>
        <w:t xml:space="preserve">: Change in </w:t>
      </w:r>
      <w:r w:rsidR="009E4962" w:rsidRPr="000E5A38">
        <w:rPr>
          <w:b/>
          <w:bCs/>
        </w:rPr>
        <w:t>initial classification</w:t>
      </w:r>
      <w:r w:rsidR="00FF3785" w:rsidRPr="000E5A38">
        <w:rPr>
          <w:b/>
          <w:bCs/>
        </w:rPr>
        <w:t xml:space="preserve"> </w:t>
      </w:r>
      <w:r w:rsidR="00B7165B">
        <w:rPr>
          <w:b/>
          <w:bCs/>
        </w:rPr>
        <w:t>and referral</w:t>
      </w:r>
      <w:r w:rsidR="00A70563">
        <w:rPr>
          <w:b/>
          <w:bCs/>
        </w:rPr>
        <w:t xml:space="preserve"> for definitive testing</w:t>
      </w:r>
    </w:p>
    <w:p w14:paraId="422E5084" w14:textId="0E7378B3" w:rsidR="00D3698C" w:rsidRPr="000E5A38" w:rsidRDefault="006C6BD8" w:rsidP="00623611">
      <w:pPr>
        <w:pStyle w:val="ListParagraph"/>
        <w:numPr>
          <w:ilvl w:val="0"/>
          <w:numId w:val="27"/>
        </w:numPr>
      </w:pPr>
      <w:r>
        <w:t>D</w:t>
      </w:r>
      <w:r w:rsidR="00D3698C" w:rsidRPr="000E5A38">
        <w:t xml:space="preserve">oes </w:t>
      </w:r>
      <w:r w:rsidR="00885E8F">
        <w:t xml:space="preserve">the </w:t>
      </w:r>
      <w:r w:rsidR="00D3698C" w:rsidRPr="000E5A38">
        <w:t>use of TCD bubble testing</w:t>
      </w:r>
      <w:r w:rsidR="00885E8F">
        <w:t>,</w:t>
      </w:r>
      <w:r w:rsidR="00D3698C" w:rsidRPr="000E5A38">
        <w:t xml:space="preserve"> compared with TTE with bubble contrast</w:t>
      </w:r>
      <w:r w:rsidR="00885E8F">
        <w:t>,</w:t>
      </w:r>
      <w:r w:rsidR="00D3698C" w:rsidRPr="000E5A38">
        <w:t xml:space="preserve"> </w:t>
      </w:r>
      <w:r w:rsidR="00885E8F">
        <w:t>alter</w:t>
      </w:r>
      <w:r w:rsidR="00623611">
        <w:t xml:space="preserve"> </w:t>
      </w:r>
      <w:r w:rsidR="00D3698C" w:rsidRPr="000E5A38">
        <w:t>the proportion of patients referred for TOE?</w:t>
      </w:r>
    </w:p>
    <w:p w14:paraId="72CC0BAA" w14:textId="77777777" w:rsidR="00430A3E" w:rsidRPr="000E5A38" w:rsidRDefault="00430A3E" w:rsidP="00430A3E">
      <w:pPr>
        <w:spacing w:after="120"/>
      </w:pPr>
      <w:r w:rsidRPr="000E5A38">
        <w:t>Populations considered at this step include:</w:t>
      </w:r>
    </w:p>
    <w:p w14:paraId="18E85EE3" w14:textId="7DA30D03" w:rsidR="00430A3E" w:rsidRDefault="00430A3E" w:rsidP="00430A3E">
      <w:pPr>
        <w:pStyle w:val="ListParagraph"/>
        <w:numPr>
          <w:ilvl w:val="0"/>
          <w:numId w:val="27"/>
        </w:numPr>
      </w:pPr>
      <w:r w:rsidRPr="000E5A38">
        <w:t>triage test</w:t>
      </w:r>
      <w:r w:rsidR="00885E8F">
        <w:t>-</w:t>
      </w:r>
      <w:r w:rsidRPr="000E5A38">
        <w:t>positive patients (referred for TOE</w:t>
      </w:r>
      <w:r w:rsidR="006779FA">
        <w:t xml:space="preserve"> with bubble contrast</w:t>
      </w:r>
      <w:r w:rsidRPr="000E5A38">
        <w:t>)</w:t>
      </w:r>
    </w:p>
    <w:p w14:paraId="20770AF1" w14:textId="3BE45534" w:rsidR="00430A3E" w:rsidRDefault="00430A3E" w:rsidP="00430A3E">
      <w:pPr>
        <w:pStyle w:val="ListParagraph"/>
        <w:numPr>
          <w:ilvl w:val="0"/>
          <w:numId w:val="27"/>
        </w:numPr>
      </w:pPr>
      <w:r w:rsidRPr="000E5A38">
        <w:t>triage test</w:t>
      </w:r>
      <w:r w:rsidR="00D75E49">
        <w:t>-</w:t>
      </w:r>
      <w:r w:rsidRPr="000E5A38">
        <w:t>negative patients (no further PFO investigation</w:t>
      </w:r>
      <w:r w:rsidR="001C2B2B">
        <w:t>,</w:t>
      </w:r>
      <w:r w:rsidR="009A3B7D">
        <w:t xml:space="preserve"> unless </w:t>
      </w:r>
      <w:r w:rsidR="00B078FC">
        <w:t>clinical suspicion</w:t>
      </w:r>
      <w:r w:rsidR="004E6298">
        <w:t xml:space="preserve"> persists</w:t>
      </w:r>
      <w:r w:rsidR="001C2B2B">
        <w:t xml:space="preserve"> after TTE with bubble contrast</w:t>
      </w:r>
      <w:r w:rsidRPr="000E5A38">
        <w:t>)</w:t>
      </w:r>
    </w:p>
    <w:p w14:paraId="7591194D" w14:textId="1D2D8195" w:rsidR="0090561A" w:rsidRPr="000E5A38" w:rsidRDefault="0090561A" w:rsidP="0090561A">
      <w:pPr>
        <w:pStyle w:val="ListParagraph"/>
        <w:numPr>
          <w:ilvl w:val="0"/>
          <w:numId w:val="27"/>
        </w:numPr>
      </w:pPr>
      <w:r>
        <w:t>triage test</w:t>
      </w:r>
      <w:r w:rsidR="00D75E49">
        <w:t>-</w:t>
      </w:r>
      <w:r>
        <w:t>equivocal patients (considered for repeat triage testing or referr</w:t>
      </w:r>
      <w:r w:rsidR="00D75E49">
        <w:t>al</w:t>
      </w:r>
      <w:r>
        <w:t xml:space="preserve"> for TOE with bubble contrast)</w:t>
      </w:r>
      <w:r w:rsidR="00D75E49">
        <w:t>.</w:t>
      </w:r>
    </w:p>
    <w:p w14:paraId="6ED1CF2F" w14:textId="69CC2E71" w:rsidR="00E966AE" w:rsidRPr="00D44806" w:rsidRDefault="00E966AE" w:rsidP="00E966AE">
      <w:pPr>
        <w:keepNext/>
        <w:spacing w:after="120"/>
        <w:rPr>
          <w:b/>
          <w:bCs/>
        </w:rPr>
      </w:pPr>
      <w:r w:rsidRPr="00D44806">
        <w:rPr>
          <w:b/>
          <w:bCs/>
        </w:rPr>
        <w:t>Step 5: Impact on final classification</w:t>
      </w:r>
    </w:p>
    <w:p w14:paraId="02062661" w14:textId="7EEA36DA" w:rsidR="00E966AE" w:rsidRPr="00D44806" w:rsidRDefault="00E966AE" w:rsidP="00E966AE">
      <w:pPr>
        <w:pStyle w:val="ListParagraph"/>
        <w:numPr>
          <w:ilvl w:val="0"/>
          <w:numId w:val="26"/>
        </w:numPr>
      </w:pPr>
      <w:r w:rsidRPr="00D44806">
        <w:t xml:space="preserve">Does the use of TCD bubble testing </w:t>
      </w:r>
      <w:r w:rsidR="008862EF">
        <w:t xml:space="preserve">(followed by TOE with bubble contrast) </w:t>
      </w:r>
      <w:r w:rsidRPr="00D44806">
        <w:t>result in the same classification (i.e. presence or absence of a causally</w:t>
      </w:r>
      <w:r w:rsidR="00D75E49">
        <w:t xml:space="preserve"> </w:t>
      </w:r>
      <w:r w:rsidRPr="00D44806">
        <w:t xml:space="preserve">related PFO) </w:t>
      </w:r>
      <w:r w:rsidR="00D75E49">
        <w:t>compared with</w:t>
      </w:r>
      <w:r w:rsidRPr="00D44806">
        <w:t xml:space="preserve"> TT</w:t>
      </w:r>
      <w:r w:rsidR="008D22A7">
        <w:t>E</w:t>
      </w:r>
      <w:r w:rsidRPr="00D44806">
        <w:t xml:space="preserve"> with bubble contrast</w:t>
      </w:r>
      <w:r w:rsidR="008862EF">
        <w:t xml:space="preserve"> (followed by TOE with bubble contrast)</w:t>
      </w:r>
      <w:r w:rsidRPr="00D44806">
        <w:t>?</w:t>
      </w:r>
    </w:p>
    <w:p w14:paraId="1760FE66" w14:textId="1DAFED14" w:rsidR="00B619A1" w:rsidRPr="001919EE" w:rsidRDefault="00B619A1" w:rsidP="00840159">
      <w:pPr>
        <w:keepNext/>
        <w:spacing w:after="120"/>
        <w:rPr>
          <w:b/>
          <w:bCs/>
        </w:rPr>
      </w:pPr>
      <w:r w:rsidRPr="002808AA">
        <w:rPr>
          <w:b/>
          <w:bCs/>
        </w:rPr>
        <w:t xml:space="preserve">Step 6: </w:t>
      </w:r>
      <w:r w:rsidR="005D0F82">
        <w:rPr>
          <w:b/>
          <w:bCs/>
        </w:rPr>
        <w:t xml:space="preserve">Impact on </w:t>
      </w:r>
      <w:r w:rsidR="005E3ED8">
        <w:rPr>
          <w:b/>
          <w:bCs/>
        </w:rPr>
        <w:t xml:space="preserve">treatment selection and </w:t>
      </w:r>
      <w:r w:rsidR="00F01077">
        <w:rPr>
          <w:b/>
          <w:bCs/>
        </w:rPr>
        <w:t xml:space="preserve">subsequent </w:t>
      </w:r>
      <w:r w:rsidR="005D0F82">
        <w:rPr>
          <w:b/>
          <w:bCs/>
        </w:rPr>
        <w:t>h</w:t>
      </w:r>
      <w:r w:rsidRPr="002808AA">
        <w:rPr>
          <w:b/>
          <w:bCs/>
        </w:rPr>
        <w:t xml:space="preserve">ealth </w:t>
      </w:r>
      <w:r w:rsidRPr="001919EE">
        <w:rPr>
          <w:b/>
          <w:bCs/>
        </w:rPr>
        <w:t>outcomes</w:t>
      </w:r>
    </w:p>
    <w:p w14:paraId="17E204BB" w14:textId="7A474280" w:rsidR="00B619A1" w:rsidRPr="001919EE" w:rsidRDefault="00B03678" w:rsidP="005025FA">
      <w:pPr>
        <w:pStyle w:val="ListParagraph"/>
        <w:numPr>
          <w:ilvl w:val="0"/>
          <w:numId w:val="28"/>
        </w:numPr>
      </w:pPr>
      <w:r>
        <w:t>D</w:t>
      </w:r>
      <w:r w:rsidR="00712B6C" w:rsidRPr="00712B6C">
        <w:t>o differences in the diagnostic performance of TCD bubble testing and TTE with bubble contrast translate into differences in treatment selection (e.g. PFO closure or medical management) and subsequent health outcomes?</w:t>
      </w:r>
    </w:p>
    <w:p w14:paraId="20844743" w14:textId="65C50A11" w:rsidR="00B619A1" w:rsidRPr="00136ED4" w:rsidRDefault="00B619A1" w:rsidP="00840159">
      <w:pPr>
        <w:keepNext/>
        <w:spacing w:after="120"/>
        <w:rPr>
          <w:b/>
          <w:bCs/>
        </w:rPr>
      </w:pPr>
      <w:r w:rsidRPr="00136ED4">
        <w:rPr>
          <w:b/>
          <w:bCs/>
        </w:rPr>
        <w:t xml:space="preserve">Step 7: Adverse events due to </w:t>
      </w:r>
      <w:r w:rsidR="00840159" w:rsidRPr="00136ED4">
        <w:rPr>
          <w:b/>
          <w:bCs/>
        </w:rPr>
        <w:t xml:space="preserve">triage </w:t>
      </w:r>
      <w:r w:rsidRPr="00136ED4">
        <w:rPr>
          <w:b/>
          <w:bCs/>
        </w:rPr>
        <w:t>testing</w:t>
      </w:r>
    </w:p>
    <w:p w14:paraId="003B9821" w14:textId="76248ACD" w:rsidR="00B619A1" w:rsidRPr="00136ED4" w:rsidRDefault="00C46418" w:rsidP="00A77A48">
      <w:pPr>
        <w:pStyle w:val="ListParagraph"/>
        <w:numPr>
          <w:ilvl w:val="0"/>
          <w:numId w:val="28"/>
        </w:numPr>
      </w:pPr>
      <w:r w:rsidRPr="00136ED4">
        <w:t xml:space="preserve">What are the </w:t>
      </w:r>
      <w:r w:rsidR="001D0EB7" w:rsidRPr="00136ED4">
        <w:t>direct harms</w:t>
      </w:r>
      <w:r w:rsidR="00B619A1" w:rsidRPr="00136ED4">
        <w:t xml:space="preserve"> associated with TCD bubble testing </w:t>
      </w:r>
      <w:r w:rsidRPr="00136ED4">
        <w:t>com</w:t>
      </w:r>
      <w:r w:rsidR="003B228E" w:rsidRPr="00136ED4">
        <w:t xml:space="preserve">pared with TTE </w:t>
      </w:r>
      <w:r w:rsidR="001D0EB7" w:rsidRPr="00136ED4">
        <w:t xml:space="preserve">with </w:t>
      </w:r>
      <w:r w:rsidR="003B228E" w:rsidRPr="00136ED4">
        <w:t>bubble contrast?</w:t>
      </w:r>
    </w:p>
    <w:p w14:paraId="6D8CFB90" w14:textId="627CA348" w:rsidR="00B619A1" w:rsidRPr="00136ED4" w:rsidRDefault="003B228E" w:rsidP="00CF54D2">
      <w:pPr>
        <w:pStyle w:val="ListParagraph"/>
        <w:numPr>
          <w:ilvl w:val="0"/>
          <w:numId w:val="28"/>
        </w:numPr>
      </w:pPr>
      <w:r w:rsidRPr="00136ED4">
        <w:t>What are the i</w:t>
      </w:r>
      <w:r w:rsidR="00B619A1" w:rsidRPr="00136ED4">
        <w:t>ndirect harms</w:t>
      </w:r>
      <w:r w:rsidR="00A17ABE">
        <w:t xml:space="preserve"> associated with </w:t>
      </w:r>
      <w:r w:rsidR="0024001E">
        <w:t>false positive</w:t>
      </w:r>
      <w:r w:rsidR="00A17ABE">
        <w:t xml:space="preserve"> and </w:t>
      </w:r>
      <w:r w:rsidR="0024001E">
        <w:t>false negative</w:t>
      </w:r>
      <w:r w:rsidR="00A17ABE">
        <w:t xml:space="preserve"> results</w:t>
      </w:r>
      <w:r w:rsidR="00620739">
        <w:t>?</w:t>
      </w:r>
    </w:p>
    <w:p w14:paraId="72E6EBFE" w14:textId="61F5695E" w:rsidR="00B619A1" w:rsidRPr="00D00465" w:rsidRDefault="00B619A1" w:rsidP="00840159">
      <w:pPr>
        <w:keepNext/>
        <w:spacing w:after="120"/>
        <w:rPr>
          <w:b/>
          <w:bCs/>
        </w:rPr>
      </w:pPr>
      <w:r w:rsidRPr="00D00465">
        <w:rPr>
          <w:b/>
          <w:bCs/>
        </w:rPr>
        <w:t xml:space="preserve">Step 8: Adverse events due to </w:t>
      </w:r>
      <w:r w:rsidR="00840159" w:rsidRPr="00D00465">
        <w:rPr>
          <w:b/>
          <w:bCs/>
        </w:rPr>
        <w:t>definitive testing</w:t>
      </w:r>
    </w:p>
    <w:p w14:paraId="64B3B640" w14:textId="021660DC" w:rsidR="001B70FD" w:rsidRDefault="00064FF6" w:rsidP="00A77A48">
      <w:pPr>
        <w:pStyle w:val="ListParagraph"/>
        <w:numPr>
          <w:ilvl w:val="0"/>
          <w:numId w:val="29"/>
        </w:numPr>
      </w:pPr>
      <w:r w:rsidRPr="00D00465">
        <w:t>What are the harms</w:t>
      </w:r>
      <w:r w:rsidR="00B619A1" w:rsidRPr="00D00465">
        <w:t xml:space="preserve"> associated with </w:t>
      </w:r>
      <w:r w:rsidR="001B70FD">
        <w:t>definitive</w:t>
      </w:r>
      <w:r w:rsidR="00CB309A">
        <w:t>, semi-invasive</w:t>
      </w:r>
      <w:r w:rsidR="001B70FD">
        <w:t xml:space="preserve"> TOE with bubble contrast</w:t>
      </w:r>
      <w:r w:rsidR="005C102D" w:rsidRPr="00FB3EDB">
        <w:t>,</w:t>
      </w:r>
      <w:r w:rsidR="005C102D">
        <w:t xml:space="preserve"> and </w:t>
      </w:r>
      <w:r w:rsidR="005C102D" w:rsidRPr="00862366">
        <w:t>do differences in the TCD and TTE diagnostic pathways result in differences in exposure to these harms</w:t>
      </w:r>
      <w:r w:rsidR="001B70FD">
        <w:t>?</w:t>
      </w:r>
    </w:p>
    <w:p w14:paraId="29231F10" w14:textId="03306649" w:rsidR="00AC2EB2" w:rsidRPr="00D00465" w:rsidRDefault="00AC2EB2" w:rsidP="00AC2EB2">
      <w:pPr>
        <w:keepNext/>
        <w:spacing w:after="120"/>
        <w:rPr>
          <w:b/>
          <w:bCs/>
        </w:rPr>
      </w:pPr>
      <w:r w:rsidRPr="00D00465">
        <w:rPr>
          <w:b/>
          <w:bCs/>
        </w:rPr>
        <w:t xml:space="preserve">Step </w:t>
      </w:r>
      <w:r>
        <w:rPr>
          <w:b/>
          <w:bCs/>
        </w:rPr>
        <w:t>9</w:t>
      </w:r>
      <w:r w:rsidRPr="00D00465">
        <w:rPr>
          <w:b/>
          <w:bCs/>
        </w:rPr>
        <w:t xml:space="preserve">: Adverse events due to </w:t>
      </w:r>
      <w:r>
        <w:rPr>
          <w:b/>
          <w:bCs/>
        </w:rPr>
        <w:t>subsequent treatment</w:t>
      </w:r>
    </w:p>
    <w:p w14:paraId="436B5FF6" w14:textId="4E6D020A" w:rsidR="00AC2EB2" w:rsidRDefault="00FB3EDB" w:rsidP="00AC2EB2">
      <w:pPr>
        <w:pStyle w:val="ListParagraph"/>
        <w:numPr>
          <w:ilvl w:val="0"/>
          <w:numId w:val="29"/>
        </w:numPr>
      </w:pPr>
      <w:r w:rsidRPr="00FB3EDB">
        <w:t>What are the harms associated with subsequent treatment (e.g. PFO closure or medical management),</w:t>
      </w:r>
      <w:r w:rsidR="00862366">
        <w:t xml:space="preserve"> and </w:t>
      </w:r>
      <w:r w:rsidR="00862366" w:rsidRPr="00862366">
        <w:t>do differences in the TCD and TTE diagnostic pathways result in differences in exposure to these harms</w:t>
      </w:r>
      <w:r w:rsidR="00A85C5B" w:rsidRPr="00A85C5B">
        <w:t>?</w:t>
      </w:r>
    </w:p>
    <w:p w14:paraId="3228D09C" w14:textId="48548633" w:rsidR="004766AF" w:rsidRDefault="00523248" w:rsidP="004766AF">
      <w:r w:rsidRPr="005B379C">
        <w:rPr>
          <w:rFonts w:asciiTheme="minorHAnsi" w:hAnsiTheme="minorHAnsi" w:cstheme="minorHAnsi"/>
          <w:i/>
          <w:iCs/>
        </w:rPr>
        <w:t xml:space="preserve">PASC considered that a full assessment framework, without truncation, is appropriate given the claim of superior diagnostic performance for TCD bubble testing compared with TTE with bubble contrast. PASC noted that the choice of triage test may </w:t>
      </w:r>
      <w:r>
        <w:rPr>
          <w:rFonts w:asciiTheme="minorHAnsi" w:hAnsiTheme="minorHAnsi" w:cstheme="minorHAnsi"/>
          <w:i/>
          <w:iCs/>
        </w:rPr>
        <w:t xml:space="preserve">alter the spectrum of patients referred for confirmatory TOE, affecting both the likelihood of confirming a PFO and the performance of the overall diagnostic pathway. </w:t>
      </w:r>
      <w:r w:rsidRPr="00CE4D5A">
        <w:rPr>
          <w:rFonts w:asciiTheme="minorHAnsi" w:hAnsiTheme="minorHAnsi" w:cstheme="minorHAnsi"/>
          <w:i/>
          <w:iCs/>
        </w:rPr>
        <w:t>PASC further noted that there is relatively robust downstream evidence comparing PFO closure with medical management in patients with a confirmed PFO.</w:t>
      </w:r>
      <w:r>
        <w:rPr>
          <w:rFonts w:asciiTheme="minorHAnsi" w:hAnsiTheme="minorHAnsi" w:cstheme="minorHAnsi"/>
          <w:i/>
          <w:iCs/>
        </w:rPr>
        <w:t xml:space="preserve"> </w:t>
      </w:r>
      <w:r w:rsidRPr="005B379C">
        <w:rPr>
          <w:rFonts w:asciiTheme="minorHAnsi" w:hAnsiTheme="minorHAnsi" w:cstheme="minorHAnsi"/>
          <w:i/>
          <w:iCs/>
        </w:rPr>
        <w:t xml:space="preserve">As </w:t>
      </w:r>
      <w:r>
        <w:rPr>
          <w:rFonts w:asciiTheme="minorHAnsi" w:hAnsiTheme="minorHAnsi" w:cstheme="minorHAnsi"/>
          <w:i/>
          <w:iCs/>
        </w:rPr>
        <w:t>improved</w:t>
      </w:r>
      <w:r w:rsidRPr="005B379C">
        <w:rPr>
          <w:rFonts w:asciiTheme="minorHAnsi" w:hAnsiTheme="minorHAnsi" w:cstheme="minorHAnsi"/>
          <w:i/>
          <w:iCs/>
        </w:rPr>
        <w:t xml:space="preserve"> identification of patients with a PFO </w:t>
      </w:r>
      <w:r>
        <w:rPr>
          <w:rFonts w:asciiTheme="minorHAnsi" w:hAnsiTheme="minorHAnsi" w:cstheme="minorHAnsi"/>
          <w:i/>
          <w:iCs/>
        </w:rPr>
        <w:t xml:space="preserve">who are </w:t>
      </w:r>
      <w:r w:rsidRPr="005B379C">
        <w:rPr>
          <w:rFonts w:asciiTheme="minorHAnsi" w:hAnsiTheme="minorHAnsi" w:cstheme="minorHAnsi"/>
          <w:i/>
          <w:iCs/>
        </w:rPr>
        <w:t xml:space="preserve">at risk of recurrent stroke may </w:t>
      </w:r>
      <w:r>
        <w:rPr>
          <w:rFonts w:asciiTheme="minorHAnsi" w:hAnsiTheme="minorHAnsi" w:cstheme="minorHAnsi"/>
          <w:i/>
          <w:iCs/>
        </w:rPr>
        <w:t>increase</w:t>
      </w:r>
      <w:r w:rsidRPr="005B379C">
        <w:rPr>
          <w:rFonts w:asciiTheme="minorHAnsi" w:hAnsiTheme="minorHAnsi" w:cstheme="minorHAnsi"/>
          <w:i/>
          <w:iCs/>
        </w:rPr>
        <w:t xml:space="preserve"> </w:t>
      </w:r>
      <w:r>
        <w:rPr>
          <w:rFonts w:asciiTheme="minorHAnsi" w:hAnsiTheme="minorHAnsi" w:cstheme="minorHAnsi"/>
          <w:i/>
          <w:iCs/>
        </w:rPr>
        <w:t xml:space="preserve">access to appropriate treatment and improve </w:t>
      </w:r>
      <w:r w:rsidRPr="005B379C">
        <w:rPr>
          <w:rFonts w:asciiTheme="minorHAnsi" w:hAnsiTheme="minorHAnsi" w:cstheme="minorHAnsi"/>
          <w:i/>
          <w:iCs/>
        </w:rPr>
        <w:t>health outcomes, PASC considered that assessment of downstream clinical consequences is required.</w:t>
      </w:r>
    </w:p>
    <w:p w14:paraId="6069F0B5" w14:textId="77777777" w:rsidR="00D73332" w:rsidRDefault="00D73332" w:rsidP="00984989">
      <w:pPr>
        <w:pStyle w:val="Heading2"/>
      </w:pPr>
      <w:r w:rsidRPr="00490FBB">
        <w:lastRenderedPageBreak/>
        <w:t>Clinical management algorithms</w:t>
      </w:r>
    </w:p>
    <w:p w14:paraId="1F9DF29A" w14:textId="24B5A270" w:rsidR="00633E31" w:rsidRPr="00762026" w:rsidRDefault="00633E31" w:rsidP="00A241D9">
      <w:pPr>
        <w:pStyle w:val="Heading3"/>
      </w:pPr>
      <w:r w:rsidRPr="00762026">
        <w:t>Current clinical management</w:t>
      </w:r>
    </w:p>
    <w:p w14:paraId="1716E84C" w14:textId="74F52093" w:rsidR="00103083" w:rsidRDefault="00103083" w:rsidP="00103083">
      <w:r>
        <w:t>In current practice</w:t>
      </w:r>
      <w:r w:rsidR="008D2612">
        <w:t xml:space="preserve"> (</w:t>
      </w:r>
      <w:r w:rsidR="008D2612">
        <w:fldChar w:fldCharType="begin"/>
      </w:r>
      <w:r w:rsidR="008D2612">
        <w:instrText xml:space="preserve"> REF _Ref231486057 \h </w:instrText>
      </w:r>
      <w:r w:rsidR="008D2612">
        <w:fldChar w:fldCharType="separate"/>
      </w:r>
      <w:r w:rsidR="008D2612">
        <w:t xml:space="preserve">Figure </w:t>
      </w:r>
      <w:r w:rsidR="008D2612">
        <w:rPr>
          <w:noProof/>
        </w:rPr>
        <w:t>2</w:t>
      </w:r>
      <w:r w:rsidR="008D2612">
        <w:fldChar w:fldCharType="end"/>
      </w:r>
      <w:r w:rsidR="008D2612">
        <w:t>)</w:t>
      </w:r>
      <w:r>
        <w:t xml:space="preserve">, patients presenting with </w:t>
      </w:r>
      <w:r w:rsidR="00CE3830">
        <w:t xml:space="preserve">suspected </w:t>
      </w:r>
      <w:r>
        <w:t>cryptogenic ischaemic stroke undergo a structured diagnostic wor</w:t>
      </w:r>
      <w:r w:rsidR="00997FAA">
        <w:t>k-</w:t>
      </w:r>
      <w:r>
        <w:t>up</w:t>
      </w:r>
      <w:r w:rsidR="003F63D7">
        <w:t>, typically coordinated by a neurologist or stroke physician,</w:t>
      </w:r>
      <w:r>
        <w:t xml:space="preserve"> to exclude common causes of stroke. This includes brain imaging, vascular imaging, cardiac rhythm monitoring</w:t>
      </w:r>
      <w:r w:rsidR="00FC3CE8">
        <w:t xml:space="preserve"> (e.g. to exclude AF)</w:t>
      </w:r>
      <w:r>
        <w:t xml:space="preserve">, and laboratory investigations. Where no alternative cause is identified, </w:t>
      </w:r>
      <w:r w:rsidR="00AB5F2C">
        <w:t xml:space="preserve">patients proceed to </w:t>
      </w:r>
      <w:r w:rsidR="00AB2FA4">
        <w:t xml:space="preserve">evaluation for </w:t>
      </w:r>
      <w:r w:rsidR="00AB5F2C">
        <w:t>a PFO</w:t>
      </w:r>
      <w:r w:rsidR="00376D31">
        <w:t xml:space="preserve">, usually </w:t>
      </w:r>
      <w:r w:rsidR="00AB2FA4">
        <w:t>in collaboration with</w:t>
      </w:r>
      <w:r w:rsidR="00376D31">
        <w:t xml:space="preserve"> </w:t>
      </w:r>
      <w:r w:rsidR="00FA467A">
        <w:t>cardiology services</w:t>
      </w:r>
      <w:r>
        <w:t>.</w:t>
      </w:r>
    </w:p>
    <w:p w14:paraId="7B62BFC2" w14:textId="48697BA5" w:rsidR="001D2F26" w:rsidRDefault="00376D31" w:rsidP="00103083">
      <w:r>
        <w:t>I</w:t>
      </w:r>
      <w:r w:rsidR="00103083">
        <w:t xml:space="preserve">nitial </w:t>
      </w:r>
      <w:r>
        <w:t>evaluation for PFO is commonly undertaken using</w:t>
      </w:r>
      <w:r w:rsidR="00103083">
        <w:t xml:space="preserve"> TTE</w:t>
      </w:r>
      <w:r w:rsidR="00EF2916">
        <w:t>, increasingly</w:t>
      </w:r>
      <w:r w:rsidR="00501B07">
        <w:t xml:space="preserve"> </w:t>
      </w:r>
      <w:r w:rsidR="00103083">
        <w:t>wit</w:t>
      </w:r>
      <w:r w:rsidR="00501B07">
        <w:t>h bubble</w:t>
      </w:r>
      <w:r w:rsidR="00103083">
        <w:t xml:space="preserve"> contrast</w:t>
      </w:r>
      <w:r w:rsidR="00EF2916">
        <w:t xml:space="preserve">, which functions as a triage test </w:t>
      </w:r>
      <w:r w:rsidR="00CB38AC">
        <w:t>for the detection</w:t>
      </w:r>
      <w:r w:rsidR="00EF2916">
        <w:t xml:space="preserve"> </w:t>
      </w:r>
      <w:r w:rsidR="00F57238">
        <w:t>of a right-to-left shunt</w:t>
      </w:r>
      <w:r w:rsidR="00103083">
        <w:t xml:space="preserve">. </w:t>
      </w:r>
      <w:r w:rsidR="001D2F26" w:rsidRPr="001D2F26">
        <w:t>TTE with bubble contrast provides a no</w:t>
      </w:r>
      <w:r w:rsidR="001D2F26">
        <w:t>n-</w:t>
      </w:r>
      <w:r w:rsidR="001D2F26" w:rsidRPr="001D2F26">
        <w:t>invasive means of identifying or excluding a potential shunt</w:t>
      </w:r>
      <w:r w:rsidR="006B14FA">
        <w:t xml:space="preserve"> and may </w:t>
      </w:r>
      <w:r w:rsidR="00CA1F11">
        <w:t xml:space="preserve">also provide information on other structural </w:t>
      </w:r>
      <w:r w:rsidR="0000409D">
        <w:t xml:space="preserve">cardiac </w:t>
      </w:r>
      <w:r w:rsidR="00CA1F11">
        <w:t>abnormalities</w:t>
      </w:r>
      <w:r w:rsidR="00BF3C8D">
        <w:t>. However</w:t>
      </w:r>
      <w:r w:rsidR="001D2F26" w:rsidRPr="001D2F26">
        <w:t xml:space="preserve">, </w:t>
      </w:r>
      <w:r w:rsidR="00BF3C8D">
        <w:t>detection of a right-to-left shunt</w:t>
      </w:r>
      <w:r w:rsidR="003A3968">
        <w:t xml:space="preserve"> does not confirm that a PFO is present, and TTE does not generally provide s</w:t>
      </w:r>
      <w:r w:rsidR="004A1806">
        <w:t xml:space="preserve">ufficient detail to </w:t>
      </w:r>
      <w:r w:rsidR="001D2F26" w:rsidRPr="001D2F26">
        <w:t>fully characterise PFO anatomy</w:t>
      </w:r>
      <w:r w:rsidR="004A1806">
        <w:t xml:space="preserve"> or associated high-risk features</w:t>
      </w:r>
      <w:r w:rsidR="00350CE9">
        <w:t xml:space="preserve"> relevant to treatment decision-making</w:t>
      </w:r>
      <w:r w:rsidR="001D2F26" w:rsidRPr="001D2F26">
        <w:t>.</w:t>
      </w:r>
    </w:p>
    <w:p w14:paraId="7C919215" w14:textId="26661AF9" w:rsidR="00536048" w:rsidRDefault="00536048" w:rsidP="00536048">
      <w:r>
        <w:t xml:space="preserve">Based on </w:t>
      </w:r>
      <w:r w:rsidR="00546098">
        <w:t xml:space="preserve">the results of the </w:t>
      </w:r>
      <w:r>
        <w:t xml:space="preserve">triage test </w:t>
      </w:r>
      <w:r w:rsidR="007608CC">
        <w:t>(i.e. TTE with bubble contrast)</w:t>
      </w:r>
      <w:r>
        <w:t xml:space="preserve">, patients may be classified as having </w:t>
      </w:r>
      <w:r w:rsidR="00317490">
        <w:t>a right-to-left shunt</w:t>
      </w:r>
      <w:r>
        <w:t xml:space="preserve"> detected, not detected, or equivocal findings. </w:t>
      </w:r>
      <w:r w:rsidR="00225AD0">
        <w:t>P</w:t>
      </w:r>
      <w:r>
        <w:t>atients with positive or equivocal findings are typically referred for TOE with bubble contrast, which serves as the confirmatory test</w:t>
      </w:r>
      <w:r w:rsidR="001A2167">
        <w:t xml:space="preserve"> for a PFO</w:t>
      </w:r>
      <w:r>
        <w:t xml:space="preserve">. </w:t>
      </w:r>
      <w:r w:rsidR="00AA1A17">
        <w:t>P</w:t>
      </w:r>
      <w:r>
        <w:t xml:space="preserve">atients with negative </w:t>
      </w:r>
      <w:r w:rsidR="00AA1A17">
        <w:t xml:space="preserve">TTE </w:t>
      </w:r>
      <w:r>
        <w:t xml:space="preserve">results </w:t>
      </w:r>
      <w:r w:rsidR="00332DFF">
        <w:t>may also be referred for TOE with bubble contrast where there is persistent</w:t>
      </w:r>
      <w:r>
        <w:t xml:space="preserve"> clinical suspicion </w:t>
      </w:r>
      <w:r w:rsidR="00FE0F42">
        <w:t xml:space="preserve">of a PFO-mediated stroke, </w:t>
      </w:r>
      <w:r w:rsidR="00DE0AF5" w:rsidRPr="00DE0AF5">
        <w:t xml:space="preserve">such as in younger patients with an embolic-pattern stroke, no alternative stroke aetiology identified following standard investigations, a high </w:t>
      </w:r>
      <w:proofErr w:type="spellStart"/>
      <w:r w:rsidR="00DE0AF5" w:rsidRPr="00DE0AF5">
        <w:t>RoPE</w:t>
      </w:r>
      <w:proofErr w:type="spellEnd"/>
      <w:r w:rsidR="00DE0AF5" w:rsidRPr="00DE0AF5">
        <w:t xml:space="preserve"> score, or a history of venous thromboembolism</w:t>
      </w:r>
      <w:r w:rsidR="00CA4E32">
        <w:t>.</w:t>
      </w:r>
      <w:r w:rsidR="0044618A">
        <w:t xml:space="preserve"> </w:t>
      </w:r>
      <w:r w:rsidR="00CA4E32">
        <w:t>Referral</w:t>
      </w:r>
      <w:r>
        <w:t xml:space="preserve"> to TOE</w:t>
      </w:r>
      <w:r w:rsidR="00CA4E32">
        <w:t xml:space="preserve"> </w:t>
      </w:r>
      <w:r w:rsidR="00CA4E32" w:rsidRPr="00CA4E32">
        <w:t>may be particularly warranted where the TTE examination was technically limited or where there are concerns regarding its sensitivity to exclude a clinically significant PFO. Where equivocal findings are considered to reflect technical limitations (e.g. inadequate Valsalva manoeuvre, incomplete examination, or uncertainty regarding study quality), repeat TTE with bubble contrast may be considered before proceeding to TOE</w:t>
      </w:r>
      <w:r w:rsidR="00B56EBC" w:rsidRPr="00B56EBC">
        <w:t>.</w:t>
      </w:r>
    </w:p>
    <w:p w14:paraId="779E2DA8" w14:textId="4C669078" w:rsidR="00536048" w:rsidRDefault="00536048" w:rsidP="00536048">
      <w:r>
        <w:t>Other triage modalities, such as TCD</w:t>
      </w:r>
      <w:r w:rsidR="00317490">
        <w:t xml:space="preserve"> </w:t>
      </w:r>
      <w:r>
        <w:t xml:space="preserve">bubble testing, may be used in some centres; however, their use in Australia is </w:t>
      </w:r>
      <w:r w:rsidR="00BB1FF7">
        <w:t xml:space="preserve">currently </w:t>
      </w:r>
      <w:r>
        <w:t>limited and variable, and they are not routinely incorporated into standard diagnostic pathways.</w:t>
      </w:r>
    </w:p>
    <w:p w14:paraId="6FB4ECD7" w14:textId="3FAB45F4" w:rsidR="00E33B2B" w:rsidRDefault="00536048" w:rsidP="00E33B2B">
      <w:r>
        <w:t>Where a PFO is confirmed</w:t>
      </w:r>
      <w:r w:rsidR="0043649E">
        <w:t xml:space="preserve"> </w:t>
      </w:r>
      <w:r w:rsidR="0039180E">
        <w:t>by TOE with bubble contrast</w:t>
      </w:r>
      <w:r>
        <w:t xml:space="preserve">, clinical assessment focuses on determining the likelihood that the PFO is causally related to the index stroke. </w:t>
      </w:r>
      <w:r w:rsidR="00E03BE8" w:rsidRPr="00E03BE8">
        <w:t xml:space="preserve">This involves integration of clinical factors (e.g. age, vascular risk factors), often captured in the </w:t>
      </w:r>
      <w:proofErr w:type="spellStart"/>
      <w:r w:rsidR="00E03BE8" w:rsidRPr="00E03BE8">
        <w:t>RoPE</w:t>
      </w:r>
      <w:proofErr w:type="spellEnd"/>
      <w:r w:rsidR="00E03BE8" w:rsidRPr="00E03BE8">
        <w:t xml:space="preserve"> </w:t>
      </w:r>
      <w:r w:rsidR="00E03BE8">
        <w:t>S</w:t>
      </w:r>
      <w:r w:rsidR="00E03BE8" w:rsidRPr="00E03BE8">
        <w:t>core, and anatomical features identified on TOE (e.g. shunt size, presence of an atrial septal aneurysm). In practice, this combined assessment is frequently undertaken in a manner conceptually consistent with frameworks such as the PASCAL classification, although application is not standardised and may be implicit rather than formally defined.</w:t>
      </w:r>
    </w:p>
    <w:p w14:paraId="654F1D19" w14:textId="015E27ED" w:rsidR="00536048" w:rsidRDefault="00536048" w:rsidP="00536048">
      <w:r>
        <w:t>Management decisions are then based on this integrated clinical judgement. Patients considered to have a higher likelihood of PF</w:t>
      </w:r>
      <w:r w:rsidR="00EF08BD">
        <w:t>O-</w:t>
      </w:r>
      <w:r>
        <w:t>related stroke may be referred for percutaneous closure following multidisciplinary discussion</w:t>
      </w:r>
      <w:r w:rsidR="00C632DB">
        <w:t xml:space="preserve"> (typically involving neurology and cardiology)</w:t>
      </w:r>
      <w:r>
        <w:t>, while others are managed with medical therapy alone.</w:t>
      </w:r>
    </w:p>
    <w:p w14:paraId="31D29356" w14:textId="307D628E" w:rsidR="00536048" w:rsidRDefault="00536048" w:rsidP="00536048">
      <w:r>
        <w:t xml:space="preserve">While this approach is broadly consistent with </w:t>
      </w:r>
      <w:r w:rsidR="00B523D7">
        <w:t xml:space="preserve">contemporary </w:t>
      </w:r>
      <w:r>
        <w:t>clinical practice guidelines</w:t>
      </w:r>
      <w:r w:rsidR="006A285D">
        <w:t xml:space="preserve"> (Stroke Foundation; Caso et al. 2024; Kavinsky et al. 2022; </w:t>
      </w:r>
      <w:proofErr w:type="spellStart"/>
      <w:r w:rsidR="006A285D">
        <w:t>Kleindorfer</w:t>
      </w:r>
      <w:proofErr w:type="spellEnd"/>
      <w:r w:rsidR="006A285D">
        <w:t xml:space="preserve"> et al. 2021; </w:t>
      </w:r>
      <w:proofErr w:type="spellStart"/>
      <w:r w:rsidR="006A285D">
        <w:t>Pristipino</w:t>
      </w:r>
      <w:proofErr w:type="spellEnd"/>
      <w:r w:rsidR="006A285D">
        <w:t xml:space="preserve"> et al. 2019)</w:t>
      </w:r>
      <w:r>
        <w:t xml:space="preserve">, there is </w:t>
      </w:r>
      <w:r>
        <w:lastRenderedPageBreak/>
        <w:t xml:space="preserve">substantial variation in test sequencing, escalation to TOE, and the </w:t>
      </w:r>
      <w:r w:rsidR="00572C59">
        <w:t xml:space="preserve">consistency with which structured risk stratification approaches (e.g. </w:t>
      </w:r>
      <w:proofErr w:type="spellStart"/>
      <w:r w:rsidR="00572C59">
        <w:t>RoPE</w:t>
      </w:r>
      <w:proofErr w:type="spellEnd"/>
      <w:r w:rsidR="00572C59">
        <w:t xml:space="preserve"> ad PASCAL-type assessments) are applied</w:t>
      </w:r>
      <w:r>
        <w:t>, reflecting differences in clinician preference, local expertise, and access to imaging.</w:t>
      </w:r>
    </w:p>
    <w:p w14:paraId="4D898481" w14:textId="126CB8C4" w:rsidR="00A4058F" w:rsidRDefault="00A4058F" w:rsidP="00103083"/>
    <w:p w14:paraId="0DE6781C" w14:textId="77777777" w:rsidR="0051178F" w:rsidRDefault="0051178F" w:rsidP="00103083">
      <w:pPr>
        <w:sectPr w:rsidR="0051178F" w:rsidSect="001F0C55">
          <w:headerReference w:type="even" r:id="rId19"/>
          <w:headerReference w:type="default" r:id="rId20"/>
          <w:footerReference w:type="even" r:id="rId21"/>
          <w:footerReference w:type="default" r:id="rId22"/>
          <w:headerReference w:type="first" r:id="rId23"/>
          <w:footerReference w:type="first" r:id="rId24"/>
          <w:pgSz w:w="11906" w:h="16838"/>
          <w:pgMar w:top="682" w:right="1134" w:bottom="1021" w:left="1191" w:header="709" w:footer="567" w:gutter="0"/>
          <w:cols w:space="708"/>
          <w:docGrid w:linePitch="360"/>
        </w:sectPr>
      </w:pPr>
    </w:p>
    <w:p w14:paraId="5A6A5E44" w14:textId="27FDFA1F" w:rsidR="009149C2" w:rsidRDefault="009149C2" w:rsidP="00EB0CAD">
      <w:pPr>
        <w:pStyle w:val="Caption"/>
      </w:pPr>
      <w:bookmarkStart w:id="10" w:name="_Ref231486057"/>
      <w:r>
        <w:lastRenderedPageBreak/>
        <w:t xml:space="preserve">Figure </w:t>
      </w:r>
      <w:r>
        <w:fldChar w:fldCharType="begin"/>
      </w:r>
      <w:r>
        <w:instrText xml:space="preserve"> SEQ Figure \* ARABIC </w:instrText>
      </w:r>
      <w:r>
        <w:fldChar w:fldCharType="separate"/>
      </w:r>
      <w:r>
        <w:rPr>
          <w:noProof/>
        </w:rPr>
        <w:t>2</w:t>
      </w:r>
      <w:r>
        <w:fldChar w:fldCharType="end"/>
      </w:r>
      <w:bookmarkEnd w:id="10"/>
      <w:r w:rsidR="00EB0CAD">
        <w:tab/>
        <w:t xml:space="preserve">Current clinical management </w:t>
      </w:r>
      <w:r w:rsidR="00EB0CAD" w:rsidRPr="00EB0CAD">
        <w:t>algorithm</w:t>
      </w:r>
    </w:p>
    <w:p w14:paraId="7219BF7A" w14:textId="2C0BC40F" w:rsidR="00EB0CAD" w:rsidRDefault="001636E7" w:rsidP="00EE0579">
      <w:pPr>
        <w:spacing w:after="120" w:line="240" w:lineRule="auto"/>
        <w:jc w:val="center"/>
        <w:rPr>
          <w:lang w:val="en-GB" w:eastAsia="ja-JP"/>
        </w:rPr>
      </w:pPr>
      <w:r>
        <w:rPr>
          <w:noProof/>
          <w:lang w:val="en-GB" w:eastAsia="ja-JP"/>
        </w:rPr>
        <w:drawing>
          <wp:inline distT="0" distB="0" distL="0" distR="0" wp14:anchorId="172DCCD0" wp14:editId="11756B32">
            <wp:extent cx="6920179" cy="4783276"/>
            <wp:effectExtent l="0" t="0" r="0" b="0"/>
            <wp:docPr id="971267668" name="Picture 7" descr="Flowchart illustrates the current clinical management algorithm whereby TTE with bubble contrast is used as a triage test prior to confirmatory TOE with bubble contrast. The PASCAL classification is then used to determine whether PFO is causally related to the stroke, and thereafter clinical management decisions are made (PFO closure or medical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67668" name="Picture 7" descr="Flowchart illustrates the current clinical management algorithm whereby TTE with bubble contrast is used as a triage test prior to confirmatory TOE with bubble contrast. The PASCAL classification is then used to determine whether PFO is causally related to the stroke, and thereafter clinical management decisions are made (PFO closure or medical therap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49921" cy="4803834"/>
                    </a:xfrm>
                    <a:prstGeom prst="rect">
                      <a:avLst/>
                    </a:prstGeom>
                    <a:noFill/>
                  </pic:spPr>
                </pic:pic>
              </a:graphicData>
            </a:graphic>
          </wp:inline>
        </w:drawing>
      </w:r>
    </w:p>
    <w:p w14:paraId="5083E1D8" w14:textId="258AB361" w:rsidR="0051178F" w:rsidRDefault="0051178F" w:rsidP="008D27DC">
      <w:pPr>
        <w:pStyle w:val="Tablenotes"/>
        <w:spacing w:after="0"/>
      </w:pPr>
      <w:r>
        <w:t xml:space="preserve">AF = atrial fibrillation; CT = computed tomography; </w:t>
      </w:r>
      <w:r w:rsidR="001636E7">
        <w:t>ESUS = embolic stroke</w:t>
      </w:r>
      <w:r w:rsidR="00193A45">
        <w:t xml:space="preserve"> of undetermined source;</w:t>
      </w:r>
      <w:r w:rsidR="001636E7">
        <w:t xml:space="preserve"> </w:t>
      </w:r>
      <w:r>
        <w:t xml:space="preserve">MRI = magnetic resonance imaging; PFO = patent foramen </w:t>
      </w:r>
      <w:proofErr w:type="spellStart"/>
      <w:r>
        <w:t>ovale</w:t>
      </w:r>
      <w:proofErr w:type="spellEnd"/>
      <w:r>
        <w:t>; RLS = right-to-left shunt; TOE = transoesophageal echocardiography; TTE = transthoracic echocardiography.</w:t>
      </w:r>
    </w:p>
    <w:p w14:paraId="2F5A5430" w14:textId="69D8DA82" w:rsidR="00EB0CAD" w:rsidRPr="008D27DC" w:rsidRDefault="008D27DC" w:rsidP="008D27DC">
      <w:pPr>
        <w:pStyle w:val="Tablenotes"/>
      </w:pPr>
      <w:r w:rsidRPr="008C179C">
        <w:rPr>
          <w:vertAlign w:val="superscript"/>
        </w:rPr>
        <w:t xml:space="preserve">a </w:t>
      </w:r>
      <w:r>
        <w:t xml:space="preserve">Standard work-up includes: </w:t>
      </w:r>
      <w:r w:rsidRPr="003F69BC">
        <w:rPr>
          <w:b/>
          <w:bCs/>
        </w:rPr>
        <w:t>brain imaging</w:t>
      </w:r>
      <w:r w:rsidRPr="00C0695A">
        <w:t xml:space="preserve"> (e.g. MRI, CT)</w:t>
      </w:r>
      <w:r>
        <w:t xml:space="preserve">; </w:t>
      </w:r>
      <w:r w:rsidRPr="003F69BC">
        <w:rPr>
          <w:b/>
          <w:bCs/>
        </w:rPr>
        <w:t>vascular imaging</w:t>
      </w:r>
      <w:r w:rsidRPr="00C0695A">
        <w:t xml:space="preserve"> (e.g. CT or MR angiography) to exclude extracranial and intracranial arterial stenosis</w:t>
      </w:r>
      <w:r>
        <w:t xml:space="preserve">; </w:t>
      </w:r>
      <w:r w:rsidRPr="00EE5F51">
        <w:rPr>
          <w:b/>
          <w:bCs/>
        </w:rPr>
        <w:t>cardiac evaluation</w:t>
      </w:r>
      <w:r>
        <w:t xml:space="preserve"> (</w:t>
      </w:r>
      <w:r w:rsidRPr="00C0695A">
        <w:t>including TTE to assess for structural</w:t>
      </w:r>
      <w:r>
        <w:t xml:space="preserve"> cardiac </w:t>
      </w:r>
      <w:r w:rsidRPr="00C0695A">
        <w:t>sources of embolism and prolonged rhythm monitoring to exclude AF</w:t>
      </w:r>
      <w:r>
        <w:t xml:space="preserve">); </w:t>
      </w:r>
      <w:r w:rsidRPr="00153E0B">
        <w:rPr>
          <w:b/>
          <w:bCs/>
        </w:rPr>
        <w:t>targeted laboratory investigations</w:t>
      </w:r>
      <w:r w:rsidRPr="00C0695A">
        <w:t xml:space="preserve"> (e.g. vasculitis or thrombophilia in selected patients)</w:t>
      </w:r>
      <w:r>
        <w:t xml:space="preserve">; </w:t>
      </w:r>
      <w:r w:rsidRPr="00153E0B">
        <w:rPr>
          <w:b/>
          <w:bCs/>
        </w:rPr>
        <w:t>additional investigations as indicated</w:t>
      </w:r>
      <w:r>
        <w:t>.</w:t>
      </w:r>
    </w:p>
    <w:p w14:paraId="74197073" w14:textId="77777777" w:rsidR="0051178F" w:rsidRDefault="0051178F" w:rsidP="00EB0CAD">
      <w:pPr>
        <w:rPr>
          <w:lang w:val="en-GB" w:eastAsia="ja-JP"/>
        </w:rPr>
        <w:sectPr w:rsidR="0051178F" w:rsidSect="0051178F">
          <w:pgSz w:w="16838" w:h="11906" w:orient="landscape"/>
          <w:pgMar w:top="1191" w:right="682" w:bottom="1134" w:left="1021" w:header="709" w:footer="567" w:gutter="0"/>
          <w:cols w:space="708"/>
          <w:docGrid w:linePitch="360"/>
        </w:sectPr>
      </w:pPr>
    </w:p>
    <w:p w14:paraId="327088A9" w14:textId="299EA391" w:rsidR="00F6682F" w:rsidRPr="00F6682F" w:rsidRDefault="00F6682F" w:rsidP="00A241D9">
      <w:pPr>
        <w:pStyle w:val="Heading3"/>
      </w:pPr>
      <w:r>
        <w:lastRenderedPageBreak/>
        <w:t>Proposed clinical management</w:t>
      </w:r>
    </w:p>
    <w:p w14:paraId="5421F282" w14:textId="1CA7D458" w:rsidR="00DB6A29" w:rsidRDefault="00DB6A29" w:rsidP="00DB6A29">
      <w:r>
        <w:t>Under the proposed clinical management algorithm (</w:t>
      </w:r>
      <w:r w:rsidR="00016F1C">
        <w:fldChar w:fldCharType="begin"/>
      </w:r>
      <w:r w:rsidR="00016F1C">
        <w:instrText xml:space="preserve"> REF _Ref231486017 \h </w:instrText>
      </w:r>
      <w:r w:rsidR="00016F1C">
        <w:fldChar w:fldCharType="separate"/>
      </w:r>
      <w:r w:rsidR="00016F1C">
        <w:t xml:space="preserve">Figure </w:t>
      </w:r>
      <w:r w:rsidR="00016F1C">
        <w:rPr>
          <w:noProof/>
        </w:rPr>
        <w:t>3</w:t>
      </w:r>
      <w:r w:rsidR="00016F1C">
        <w:fldChar w:fldCharType="end"/>
      </w:r>
      <w:r>
        <w:t xml:space="preserve">), patients presenting with </w:t>
      </w:r>
      <w:r w:rsidR="00CE3830">
        <w:t xml:space="preserve">suspected </w:t>
      </w:r>
      <w:r>
        <w:t xml:space="preserve">cryptogenic ischaemic stroke </w:t>
      </w:r>
      <w:r w:rsidR="001B6667">
        <w:t>or ESUS</w:t>
      </w:r>
      <w:r>
        <w:t xml:space="preserve"> undergo the same structured initial diagnostic wor</w:t>
      </w:r>
      <w:r w:rsidR="00016F1C">
        <w:t>k-</w:t>
      </w:r>
      <w:r>
        <w:t>up as in current practice to exclude alternative causes of stroke. Patients in whom no alternative cause is identified proceed to targeted evaluation for a PFO.</w:t>
      </w:r>
    </w:p>
    <w:p w14:paraId="7DB02986" w14:textId="3B86695B" w:rsidR="00A74585" w:rsidRDefault="005F42B5" w:rsidP="00A74585">
      <w:r>
        <w:t xml:space="preserve">Initial evaluation is undertaken using </w:t>
      </w:r>
      <w:r w:rsidR="008D26FF">
        <w:t>either</w:t>
      </w:r>
      <w:r w:rsidR="00083B1F">
        <w:t xml:space="preserve"> TTE with bubble contrast </w:t>
      </w:r>
      <w:r w:rsidR="008D26FF">
        <w:t>or</w:t>
      </w:r>
      <w:r w:rsidR="00083B1F">
        <w:t xml:space="preserve"> </w:t>
      </w:r>
      <w:r w:rsidR="00A74585">
        <w:t>TCD bubble testing</w:t>
      </w:r>
      <w:r>
        <w:t>,</w:t>
      </w:r>
      <w:r w:rsidR="00FB441F">
        <w:t xml:space="preserve"> </w:t>
      </w:r>
      <w:r w:rsidR="004C54DA">
        <w:t xml:space="preserve">both of which </w:t>
      </w:r>
      <w:r w:rsidR="00071041">
        <w:t xml:space="preserve">function </w:t>
      </w:r>
      <w:r w:rsidR="00FB3E77">
        <w:t xml:space="preserve">as </w:t>
      </w:r>
      <w:r w:rsidR="009C3EE2">
        <w:t xml:space="preserve">triage </w:t>
      </w:r>
      <w:r w:rsidR="00D00116">
        <w:t xml:space="preserve">tests </w:t>
      </w:r>
      <w:r w:rsidR="00071614">
        <w:t xml:space="preserve">for </w:t>
      </w:r>
      <w:r w:rsidR="00071041">
        <w:t xml:space="preserve">the detection of a </w:t>
      </w:r>
      <w:r w:rsidR="00071614">
        <w:t>right-to-left</w:t>
      </w:r>
      <w:r w:rsidR="00A74585">
        <w:t xml:space="preserve"> shunt.</w:t>
      </w:r>
      <w:r w:rsidR="00F541DA">
        <w:t xml:space="preserve"> </w:t>
      </w:r>
      <w:r w:rsidR="004C54DA">
        <w:t>The choice of</w:t>
      </w:r>
      <w:r w:rsidR="00E13BB2">
        <w:t xml:space="preserve"> </w:t>
      </w:r>
      <w:r w:rsidR="00F541DA" w:rsidRPr="00F541DA">
        <w:t xml:space="preserve">triage modality </w:t>
      </w:r>
      <w:r w:rsidR="009D566E">
        <w:t>may be based</w:t>
      </w:r>
      <w:r w:rsidR="00F541DA" w:rsidRPr="00F541DA">
        <w:t xml:space="preserve"> on local availability, </w:t>
      </w:r>
      <w:r w:rsidR="000D58FA">
        <w:t xml:space="preserve">clinician </w:t>
      </w:r>
      <w:r w:rsidR="00F541DA" w:rsidRPr="00F541DA">
        <w:t>expertise, and access to imaging services.</w:t>
      </w:r>
    </w:p>
    <w:p w14:paraId="66493027" w14:textId="2E84AC50" w:rsidR="00BA0486" w:rsidRDefault="00A74585" w:rsidP="00FB268A">
      <w:r w:rsidRPr="009F0E30">
        <w:t xml:space="preserve">Following triage testing, patients are categorised as having </w:t>
      </w:r>
      <w:r w:rsidR="006D5065" w:rsidRPr="009F0E30">
        <w:t>a right-to-left shunt</w:t>
      </w:r>
      <w:r w:rsidRPr="009F0E30">
        <w:t xml:space="preserve"> detected, not detected, or equivocal findings. </w:t>
      </w:r>
      <w:r w:rsidR="003C5055" w:rsidRPr="009F0E30">
        <w:t xml:space="preserve">Patients with positive </w:t>
      </w:r>
      <w:r w:rsidR="006E7D89" w:rsidRPr="009F0E30">
        <w:t>results typically</w:t>
      </w:r>
      <w:r w:rsidR="003C5055" w:rsidRPr="009F0E30">
        <w:t xml:space="preserve"> proceed directly to TOE with bubble contrast</w:t>
      </w:r>
      <w:r w:rsidR="002E4208">
        <w:t>, which serves as the confirmatory test for PFO</w:t>
      </w:r>
      <w:r w:rsidR="009954F7" w:rsidRPr="009F0E30">
        <w:t>.</w:t>
      </w:r>
      <w:r w:rsidR="002227DD" w:rsidRPr="009F0E30">
        <w:t xml:space="preserve"> </w:t>
      </w:r>
    </w:p>
    <w:p w14:paraId="776D60C7" w14:textId="3EDF02C8" w:rsidR="009F0E30" w:rsidRPr="009F0E30" w:rsidRDefault="00BA0486" w:rsidP="00FB268A">
      <w:r>
        <w:t xml:space="preserve">Where </w:t>
      </w:r>
      <w:r w:rsidR="00D74FEE">
        <w:t xml:space="preserve">triage </w:t>
      </w:r>
      <w:r w:rsidR="000811C1">
        <w:t>testing is negative (</w:t>
      </w:r>
      <w:r>
        <w:t xml:space="preserve">i.e. </w:t>
      </w:r>
      <w:r w:rsidR="000811C1">
        <w:t xml:space="preserve">no </w:t>
      </w:r>
      <w:r w:rsidR="002E4208">
        <w:t xml:space="preserve">right-to-left </w:t>
      </w:r>
      <w:r w:rsidR="000811C1">
        <w:t xml:space="preserve">shunt </w:t>
      </w:r>
      <w:r w:rsidR="00D74FEE">
        <w:t xml:space="preserve">is </w:t>
      </w:r>
      <w:r w:rsidR="000811C1">
        <w:t xml:space="preserve">detected), </w:t>
      </w:r>
      <w:r w:rsidR="00D74FEE">
        <w:t xml:space="preserve">a </w:t>
      </w:r>
      <w:r w:rsidR="000811C1">
        <w:t xml:space="preserve">PFO is </w:t>
      </w:r>
      <w:r w:rsidR="00CD646C">
        <w:t xml:space="preserve">generally considered unlikely to be the cause of the </w:t>
      </w:r>
      <w:r w:rsidR="00D74FEE">
        <w:t xml:space="preserve">index </w:t>
      </w:r>
      <w:r w:rsidR="00CD646C">
        <w:t>event</w:t>
      </w:r>
      <w:r w:rsidR="004A18D9">
        <w:t>,</w:t>
      </w:r>
      <w:r w:rsidR="00AA2D78">
        <w:t xml:space="preserve"> particularly </w:t>
      </w:r>
      <w:r w:rsidR="00CD646C">
        <w:t>when</w:t>
      </w:r>
      <w:r w:rsidR="00767356">
        <w:t xml:space="preserve"> TCD bubble testing </w:t>
      </w:r>
      <w:r w:rsidR="00CD646C">
        <w:t>has been</w:t>
      </w:r>
      <w:r w:rsidR="00767356">
        <w:t xml:space="preserve"> used as the </w:t>
      </w:r>
      <w:r w:rsidR="00CD646C">
        <w:t xml:space="preserve">initial </w:t>
      </w:r>
      <w:r w:rsidR="00767356">
        <w:t xml:space="preserve">triage </w:t>
      </w:r>
      <w:r w:rsidR="00CD646C">
        <w:t>m</w:t>
      </w:r>
      <w:r w:rsidR="001973F9">
        <w:t>o</w:t>
      </w:r>
      <w:r w:rsidR="00CD646C">
        <w:t>dality</w:t>
      </w:r>
      <w:r w:rsidR="00767356">
        <w:t>, given its high sensitivity</w:t>
      </w:r>
      <w:r w:rsidR="001973F9">
        <w:t>. In such cases,</w:t>
      </w:r>
      <w:r w:rsidR="00A9480C">
        <w:t xml:space="preserve"> </w:t>
      </w:r>
      <w:r w:rsidR="00B203F8">
        <w:t xml:space="preserve">further investigation </w:t>
      </w:r>
      <w:r w:rsidR="00A9480C">
        <w:t>should focus on</w:t>
      </w:r>
      <w:r w:rsidR="000811C1">
        <w:t xml:space="preserve"> </w:t>
      </w:r>
      <w:r w:rsidR="00B203F8">
        <w:t xml:space="preserve">identifying </w:t>
      </w:r>
      <w:r w:rsidR="000811C1">
        <w:t>alternative stroke mechanisms.</w:t>
      </w:r>
      <w:r w:rsidR="00B40D9F">
        <w:t xml:space="preserve"> </w:t>
      </w:r>
      <w:r w:rsidR="00812849">
        <w:t xml:space="preserve">A negative </w:t>
      </w:r>
      <w:r w:rsidR="007D06E1">
        <w:t xml:space="preserve">TCD result may not completely </w:t>
      </w:r>
      <w:r w:rsidR="0021040B">
        <w:t>preclude</w:t>
      </w:r>
      <w:r w:rsidR="007D06E1">
        <w:t xml:space="preserve"> further cardiac assessment where clinical suspicion </w:t>
      </w:r>
      <w:r w:rsidR="003F7DDA">
        <w:t xml:space="preserve">of a PFO </w:t>
      </w:r>
      <w:r w:rsidR="007D06E1">
        <w:t>remains</w:t>
      </w:r>
      <w:r w:rsidR="003F7DDA">
        <w:t xml:space="preserve"> high</w:t>
      </w:r>
      <w:r w:rsidR="007D06E1">
        <w:t xml:space="preserve">, </w:t>
      </w:r>
      <w:r w:rsidR="00BA6123">
        <w:t xml:space="preserve">although this was expected to occur infrequently. </w:t>
      </w:r>
    </w:p>
    <w:p w14:paraId="5AA76037" w14:textId="560D360E" w:rsidR="003C5055" w:rsidRDefault="009954F7" w:rsidP="003C5055">
      <w:r w:rsidRPr="000D6ECF">
        <w:t>In cases</w:t>
      </w:r>
      <w:r w:rsidR="009F0E30" w:rsidRPr="000D6ECF">
        <w:t xml:space="preserve"> of</w:t>
      </w:r>
      <w:r w:rsidRPr="000D6ECF">
        <w:t xml:space="preserve"> equivocal </w:t>
      </w:r>
      <w:r w:rsidR="009F0E30" w:rsidRPr="000D6ECF">
        <w:t xml:space="preserve">findings, </w:t>
      </w:r>
      <w:r w:rsidR="00A51BAB">
        <w:t xml:space="preserve">further assessment may be </w:t>
      </w:r>
      <w:r w:rsidR="008A0E96">
        <w:t>considered depending on the initial test performed and the level</w:t>
      </w:r>
      <w:r w:rsidR="00F1058F">
        <w:t xml:space="preserve"> </w:t>
      </w:r>
      <w:r w:rsidR="008A0E96">
        <w:t>of clinical suspicio</w:t>
      </w:r>
      <w:r w:rsidR="00F1058F">
        <w:t>n. P</w:t>
      </w:r>
      <w:r w:rsidR="008350D7">
        <w:t xml:space="preserve">atients with </w:t>
      </w:r>
      <w:r w:rsidR="009F0E30" w:rsidRPr="000D6ECF">
        <w:t>e</w:t>
      </w:r>
      <w:r w:rsidRPr="000D6ECF">
        <w:t>quivocal TT</w:t>
      </w:r>
      <w:r w:rsidR="005C5902">
        <w:t>E</w:t>
      </w:r>
      <w:r w:rsidRPr="000D6ECF">
        <w:t xml:space="preserve"> with bubble contrast </w:t>
      </w:r>
      <w:r w:rsidR="008350D7">
        <w:t xml:space="preserve">findings </w:t>
      </w:r>
      <w:r w:rsidRPr="000D6ECF">
        <w:t xml:space="preserve">may </w:t>
      </w:r>
      <w:r w:rsidR="002F1A0D">
        <w:t>be referred</w:t>
      </w:r>
      <w:r w:rsidR="000D6ECF" w:rsidRPr="000D6ECF">
        <w:t xml:space="preserve"> for </w:t>
      </w:r>
      <w:r w:rsidR="00667D1F" w:rsidRPr="000D6ECF">
        <w:t>TCD bubble testing</w:t>
      </w:r>
      <w:r w:rsidR="00D66E21" w:rsidRPr="000D6ECF">
        <w:t xml:space="preserve">, </w:t>
      </w:r>
      <w:r w:rsidR="00D96AC9">
        <w:t xml:space="preserve">if available, </w:t>
      </w:r>
      <w:r w:rsidR="00D66E21" w:rsidRPr="000D6ECF">
        <w:t xml:space="preserve">particularly </w:t>
      </w:r>
      <w:r w:rsidR="000D6ECF" w:rsidRPr="000D6ECF">
        <w:t xml:space="preserve">where </w:t>
      </w:r>
      <w:r w:rsidR="002F1A0D">
        <w:t>substantial</w:t>
      </w:r>
      <w:r w:rsidR="002F1A0D" w:rsidRPr="000D6ECF">
        <w:t xml:space="preserve"> </w:t>
      </w:r>
      <w:r w:rsidR="000D6ECF" w:rsidRPr="000D6ECF">
        <w:t>delays to</w:t>
      </w:r>
      <w:r w:rsidR="00517DA1" w:rsidRPr="000D6ECF">
        <w:t xml:space="preserve"> confirmatory TOE</w:t>
      </w:r>
      <w:r w:rsidR="000D6ECF" w:rsidRPr="000D6ECF">
        <w:t xml:space="preserve"> are anticipated</w:t>
      </w:r>
      <w:r w:rsidR="00667D1F" w:rsidRPr="000D6ECF">
        <w:t xml:space="preserve">. </w:t>
      </w:r>
      <w:r w:rsidR="00FB268A" w:rsidRPr="000D6ECF">
        <w:t xml:space="preserve">TTE </w:t>
      </w:r>
      <w:r w:rsidR="005B5718">
        <w:t xml:space="preserve">is not </w:t>
      </w:r>
      <w:r w:rsidR="00025D56">
        <w:t>routinely</w:t>
      </w:r>
      <w:r w:rsidR="000D6ECF" w:rsidRPr="000D6ECF">
        <w:t xml:space="preserve"> performed following</w:t>
      </w:r>
      <w:r w:rsidR="00C1585B" w:rsidRPr="000D6ECF">
        <w:t xml:space="preserve"> TCD</w:t>
      </w:r>
      <w:r w:rsidR="00673828">
        <w:t xml:space="preserve"> </w:t>
      </w:r>
      <w:r w:rsidR="00802AC7">
        <w:t xml:space="preserve">bubble testing </w:t>
      </w:r>
      <w:r w:rsidR="00995EBD">
        <w:t xml:space="preserve">specifically </w:t>
      </w:r>
      <w:r w:rsidR="00673828">
        <w:t>for PFO assessment</w:t>
      </w:r>
      <w:r w:rsidR="00026A49">
        <w:t>, a</w:t>
      </w:r>
      <w:r w:rsidR="00026A49" w:rsidRPr="00026A49">
        <w:t xml:space="preserve">s </w:t>
      </w:r>
      <w:r w:rsidR="00995EBD">
        <w:t xml:space="preserve">it </w:t>
      </w:r>
      <w:r w:rsidR="00026A49" w:rsidRPr="00026A49">
        <w:t xml:space="preserve">is generally </w:t>
      </w:r>
      <w:r w:rsidR="00995EBD">
        <w:t>undertaken</w:t>
      </w:r>
      <w:r w:rsidR="00026A49" w:rsidRPr="00026A49">
        <w:t xml:space="preserve"> as part of the standard pos</w:t>
      </w:r>
      <w:r w:rsidR="00026A49">
        <w:t>t-</w:t>
      </w:r>
      <w:r w:rsidR="00026A49" w:rsidRPr="00026A49">
        <w:t xml:space="preserve">stroke cardiac </w:t>
      </w:r>
      <w:r w:rsidR="00345639">
        <w:t>evaluation</w:t>
      </w:r>
      <w:r w:rsidR="00D9012E">
        <w:t>.</w:t>
      </w:r>
      <w:r w:rsidR="007D576B">
        <w:t xml:space="preserve"> </w:t>
      </w:r>
      <w:r w:rsidR="00382F18">
        <w:t>Nevertheless</w:t>
      </w:r>
      <w:r w:rsidR="00C1585B" w:rsidRPr="000D6ECF">
        <w:t xml:space="preserve">, </w:t>
      </w:r>
      <w:r w:rsidR="007D576B">
        <w:t>TTE</w:t>
      </w:r>
      <w:r w:rsidR="00246713">
        <w:t xml:space="preserve"> </w:t>
      </w:r>
      <w:r w:rsidR="00A817F5">
        <w:t xml:space="preserve">may </w:t>
      </w:r>
      <w:r w:rsidR="002B1540">
        <w:t xml:space="preserve">provide </w:t>
      </w:r>
      <w:r w:rsidR="00272A99">
        <w:t xml:space="preserve">complementary </w:t>
      </w:r>
      <w:r w:rsidR="002B1540">
        <w:t xml:space="preserve">information on </w:t>
      </w:r>
      <w:r w:rsidR="00FB268A" w:rsidRPr="000D6ECF">
        <w:t>structural cardiac abnormalities</w:t>
      </w:r>
      <w:r w:rsidR="00E825FA">
        <w:t>, such as impaired</w:t>
      </w:r>
      <w:r w:rsidR="00FB268A" w:rsidRPr="000D6ECF">
        <w:t xml:space="preserve"> </w:t>
      </w:r>
      <w:r w:rsidR="00894473">
        <w:t xml:space="preserve">ventricular function, valvular </w:t>
      </w:r>
      <w:r w:rsidR="00E825FA">
        <w:t xml:space="preserve">heart </w:t>
      </w:r>
      <w:r w:rsidR="00894473">
        <w:t xml:space="preserve">disease, </w:t>
      </w:r>
      <w:r w:rsidR="00E825FA">
        <w:t xml:space="preserve">or </w:t>
      </w:r>
      <w:r w:rsidR="00894473">
        <w:t>cardiomyopathy</w:t>
      </w:r>
      <w:r w:rsidR="00E825FA">
        <w:t>,</w:t>
      </w:r>
      <w:r w:rsidR="00894473">
        <w:t xml:space="preserve"> </w:t>
      </w:r>
      <w:r w:rsidR="00E825FA">
        <w:t>which</w:t>
      </w:r>
      <w:r w:rsidR="002B1540">
        <w:t xml:space="preserve"> may</w:t>
      </w:r>
      <w:r w:rsidR="00A817F5">
        <w:t xml:space="preserve"> inform subsequent</w:t>
      </w:r>
      <w:r w:rsidR="00E825FA">
        <w:t xml:space="preserve"> investigation and management</w:t>
      </w:r>
      <w:r w:rsidR="009D26B7">
        <w:t xml:space="preserve"> in selected patients</w:t>
      </w:r>
      <w:r w:rsidR="00FB268A" w:rsidRPr="000D6ECF">
        <w:t>.</w:t>
      </w:r>
    </w:p>
    <w:p w14:paraId="2FAF4AF5" w14:textId="1D685CB6" w:rsidR="000B7627" w:rsidRDefault="000B7627" w:rsidP="000B7627">
      <w:r>
        <w:t>From the point of confirmatory TOE onwards, clinical management is consistent with that described in the current clinical management pathway. Specifically, where a PFO is confirmed, assessment of causal relevance integrates clinical and anatomical factors (</w:t>
      </w:r>
      <w:r w:rsidR="00EC6040">
        <w:t xml:space="preserve">often </w:t>
      </w:r>
      <w:r w:rsidR="000D12D7">
        <w:t>including</w:t>
      </w:r>
      <w:r>
        <w:t xml:space="preserve"> </w:t>
      </w:r>
      <w:proofErr w:type="spellStart"/>
      <w:r>
        <w:t>RoPE</w:t>
      </w:r>
      <w:proofErr w:type="spellEnd"/>
      <w:r>
        <w:t>-informed assessment and PASCAL classification), and management decisions regarding PFO closure versus medical therapy are made accordingly.</w:t>
      </w:r>
    </w:p>
    <w:p w14:paraId="71E5E49E" w14:textId="5DFD9EB1" w:rsidR="000B7627" w:rsidRDefault="000B7627" w:rsidP="00BD17B7">
      <w:r>
        <w:t xml:space="preserve">Compared with current practice, the proposed algorithm primarily differs in the flexible selection of </w:t>
      </w:r>
      <w:r w:rsidR="00D05FF2">
        <w:t xml:space="preserve">the </w:t>
      </w:r>
      <w:r>
        <w:t xml:space="preserve">initial triage modality based on </w:t>
      </w:r>
      <w:r w:rsidR="001045D4">
        <w:t xml:space="preserve">local </w:t>
      </w:r>
      <w:r>
        <w:t>availability</w:t>
      </w:r>
      <w:r w:rsidR="00BD17B7">
        <w:t>.</w:t>
      </w:r>
    </w:p>
    <w:p w14:paraId="03CAAAF4" w14:textId="355FA787" w:rsidR="000120ED" w:rsidRDefault="009366A8" w:rsidP="009366A8">
      <w:r>
        <w:t>The proposed clinical management algorithm is broadly consistent with contemporary Australian and international clinical practice guidelines</w:t>
      </w:r>
      <w:r w:rsidR="000A2C08">
        <w:t xml:space="preserve"> </w:t>
      </w:r>
      <w:r w:rsidR="0086645B">
        <w:t xml:space="preserve">and position papers </w:t>
      </w:r>
      <w:r w:rsidR="000A2C08">
        <w:t>(</w:t>
      </w:r>
      <w:r w:rsidR="000C15EE">
        <w:t xml:space="preserve">Caso et al, 2024; </w:t>
      </w:r>
      <w:r w:rsidR="000A2C08">
        <w:t>Chambers et al. 2026</w:t>
      </w:r>
      <w:r w:rsidR="004B61DB">
        <w:t xml:space="preserve">; </w:t>
      </w:r>
      <w:proofErr w:type="spellStart"/>
      <w:r w:rsidR="004B61DB">
        <w:t>Kleindorfer</w:t>
      </w:r>
      <w:proofErr w:type="spellEnd"/>
      <w:r w:rsidR="004B61DB">
        <w:t xml:space="preserve"> et al. 2021</w:t>
      </w:r>
      <w:r w:rsidR="0086645B">
        <w:t xml:space="preserve">; </w:t>
      </w:r>
      <w:r w:rsidR="0097562E">
        <w:t xml:space="preserve">Messe et al. 2020; </w:t>
      </w:r>
      <w:proofErr w:type="spellStart"/>
      <w:r w:rsidR="0086645B">
        <w:t>Pristipino</w:t>
      </w:r>
      <w:proofErr w:type="spellEnd"/>
      <w:r w:rsidR="0086645B">
        <w:t xml:space="preserve"> et al. 2019)</w:t>
      </w:r>
      <w:r>
        <w:t xml:space="preserve">. However, guideline recommendations vary in the positioning of diagnostic modalities within the pathway. In particular, while the proposed algorithm allows either TTE with bubble contrast or TCD bubble testing to be used as initial triage tests, </w:t>
      </w:r>
      <w:r w:rsidR="00D32B9B">
        <w:t xml:space="preserve">the ESO </w:t>
      </w:r>
      <w:r>
        <w:t xml:space="preserve">guidelines </w:t>
      </w:r>
      <w:r w:rsidR="00D32B9B">
        <w:t xml:space="preserve">(Caso et al. 2024) </w:t>
      </w:r>
      <w:r>
        <w:t>position TCD as an additional investigation following a negative or inconclusive TTE result in patients with ongoing clinical suspicion.</w:t>
      </w:r>
    </w:p>
    <w:p w14:paraId="51BE6852" w14:textId="334A464C" w:rsidR="00CC4997" w:rsidRDefault="00CC4997">
      <w:r>
        <w:lastRenderedPageBreak/>
        <w:t>The Australian and New Zealand consensus statement, in contrast, recommends that, where available, TCD bubble testing be considered the preferred first-line screening modality for detection of PFO in patients with cryptogenic stroke</w:t>
      </w:r>
      <w:r w:rsidR="004D4083">
        <w:t>, reflecting</w:t>
      </w:r>
      <w:r>
        <w:t xml:space="preserve"> </w:t>
      </w:r>
      <w:r w:rsidR="00C91FC3">
        <w:t xml:space="preserve">its </w:t>
      </w:r>
      <w:r w:rsidR="00A00298">
        <w:t>higher</w:t>
      </w:r>
      <w:r w:rsidR="00C91FC3">
        <w:t xml:space="preserve"> sensitivity for </w:t>
      </w:r>
      <w:r w:rsidR="00733CD4">
        <w:t>detect</w:t>
      </w:r>
      <w:r w:rsidR="00A00298">
        <w:t>ing</w:t>
      </w:r>
      <w:r w:rsidR="00733CD4">
        <w:t xml:space="preserve"> </w:t>
      </w:r>
      <w:r w:rsidR="00C91FC3">
        <w:t xml:space="preserve">right-to-left shunt </w:t>
      </w:r>
      <w:r>
        <w:t>(Chambers et al. 2026).</w:t>
      </w:r>
    </w:p>
    <w:p w14:paraId="0FA262A0" w14:textId="2996ECAC" w:rsidR="009366A8" w:rsidRDefault="009366A8" w:rsidP="009366A8">
      <w:r>
        <w:t xml:space="preserve">In practice, selection of the initial modality may also be influenced by technical </w:t>
      </w:r>
      <w:r w:rsidR="001636EF">
        <w:t xml:space="preserve">and logistical </w:t>
      </w:r>
      <w:r>
        <w:t xml:space="preserve">considerations, </w:t>
      </w:r>
      <w:r w:rsidR="00001D5E" w:rsidRPr="00001D5E">
        <w:t>including the availability of services and patient-specific factors (e.g. adequacy of the acoustic window for TCD).</w:t>
      </w:r>
    </w:p>
    <w:p w14:paraId="21FF9C14" w14:textId="77777777" w:rsidR="00523248" w:rsidRDefault="00523248" w:rsidP="002031E1">
      <w:pPr>
        <w:autoSpaceDE w:val="0"/>
        <w:autoSpaceDN w:val="0"/>
        <w:adjustRightInd w:val="0"/>
        <w:rPr>
          <w:rFonts w:asciiTheme="minorHAnsi" w:hAnsiTheme="minorHAnsi" w:cstheme="minorHAnsi"/>
          <w:i/>
          <w:iCs/>
        </w:rPr>
      </w:pPr>
      <w:r w:rsidRPr="007C7F3E">
        <w:rPr>
          <w:rFonts w:asciiTheme="minorHAnsi" w:hAnsiTheme="minorHAnsi" w:cstheme="minorHAnsi"/>
          <w:i/>
          <w:iCs/>
        </w:rPr>
        <w:t xml:space="preserve">PASC considered that, where available, TCD bubble testing should be </w:t>
      </w:r>
      <w:r>
        <w:rPr>
          <w:rFonts w:asciiTheme="minorHAnsi" w:hAnsiTheme="minorHAnsi" w:cstheme="minorHAnsi"/>
          <w:i/>
          <w:iCs/>
        </w:rPr>
        <w:t>preferred over</w:t>
      </w:r>
      <w:r w:rsidRPr="007C7F3E">
        <w:rPr>
          <w:rFonts w:asciiTheme="minorHAnsi" w:hAnsiTheme="minorHAnsi" w:cstheme="minorHAnsi"/>
          <w:i/>
          <w:iCs/>
        </w:rPr>
        <w:t xml:space="preserve"> TTE with bubble contrast </w:t>
      </w:r>
      <w:r>
        <w:rPr>
          <w:rFonts w:asciiTheme="minorHAnsi" w:hAnsiTheme="minorHAnsi" w:cstheme="minorHAnsi"/>
          <w:i/>
          <w:iCs/>
        </w:rPr>
        <w:t>(that is, TTE</w:t>
      </w:r>
      <w:r w:rsidRPr="007C7F3E">
        <w:rPr>
          <w:rFonts w:asciiTheme="minorHAnsi" w:hAnsiTheme="minorHAnsi" w:cstheme="minorHAnsi"/>
          <w:i/>
          <w:iCs/>
        </w:rPr>
        <w:t xml:space="preserve"> </w:t>
      </w:r>
      <w:r>
        <w:rPr>
          <w:rFonts w:asciiTheme="minorHAnsi" w:hAnsiTheme="minorHAnsi" w:cstheme="minorHAnsi"/>
          <w:i/>
          <w:iCs/>
        </w:rPr>
        <w:t>should be used only where TCD bubble testing is not available, or otherwise not possible)</w:t>
      </w:r>
      <w:r w:rsidRPr="007C7F3E">
        <w:rPr>
          <w:rFonts w:asciiTheme="minorHAnsi" w:hAnsiTheme="minorHAnsi" w:cstheme="minorHAnsi"/>
          <w:i/>
          <w:iCs/>
        </w:rPr>
        <w:t xml:space="preserve"> in the clinical pathway due to its claimed superior performance in detecting righ</w:t>
      </w:r>
      <w:r>
        <w:rPr>
          <w:rFonts w:asciiTheme="minorHAnsi" w:hAnsiTheme="minorHAnsi" w:cstheme="minorHAnsi"/>
          <w:i/>
          <w:iCs/>
        </w:rPr>
        <w:t>t-</w:t>
      </w:r>
      <w:r w:rsidRPr="007C7F3E">
        <w:rPr>
          <w:rFonts w:asciiTheme="minorHAnsi" w:hAnsiTheme="minorHAnsi" w:cstheme="minorHAnsi"/>
          <w:i/>
          <w:iCs/>
        </w:rPr>
        <w:t>t</w:t>
      </w:r>
      <w:r>
        <w:rPr>
          <w:rFonts w:asciiTheme="minorHAnsi" w:hAnsiTheme="minorHAnsi" w:cstheme="minorHAnsi"/>
          <w:i/>
          <w:iCs/>
        </w:rPr>
        <w:t>o-</w:t>
      </w:r>
      <w:r w:rsidRPr="007C7F3E">
        <w:rPr>
          <w:rFonts w:asciiTheme="minorHAnsi" w:hAnsiTheme="minorHAnsi" w:cstheme="minorHAnsi"/>
          <w:i/>
          <w:iCs/>
        </w:rPr>
        <w:t>left shunts. PASC noted that the use of TCD bubble testing as the preferred triage test may improve the identification of patients who should proceed to confirmatory TOE.</w:t>
      </w:r>
    </w:p>
    <w:p w14:paraId="10C089E4" w14:textId="66137B23" w:rsidR="00754ECE" w:rsidRDefault="00523248" w:rsidP="00523248">
      <w:r>
        <w:rPr>
          <w:rFonts w:asciiTheme="minorHAnsi" w:hAnsiTheme="minorHAnsi" w:cstheme="minorHAnsi"/>
          <w:i/>
          <w:iCs/>
        </w:rPr>
        <w:t>P</w:t>
      </w:r>
      <w:r w:rsidRPr="00787B02">
        <w:rPr>
          <w:rFonts w:asciiTheme="minorHAnsi" w:hAnsiTheme="minorHAnsi" w:cstheme="minorHAnsi"/>
          <w:i/>
          <w:iCs/>
        </w:rPr>
        <w:t xml:space="preserve">ASC further noted that the high sensitivity of TCD bubble testing may provide </w:t>
      </w:r>
      <w:r>
        <w:rPr>
          <w:rFonts w:asciiTheme="minorHAnsi" w:hAnsiTheme="minorHAnsi" w:cstheme="minorHAnsi"/>
          <w:i/>
          <w:iCs/>
        </w:rPr>
        <w:t>greater</w:t>
      </w:r>
      <w:r w:rsidRPr="00787B02">
        <w:rPr>
          <w:rFonts w:asciiTheme="minorHAnsi" w:hAnsiTheme="minorHAnsi" w:cstheme="minorHAnsi"/>
          <w:i/>
          <w:iCs/>
        </w:rPr>
        <w:t xml:space="preserve"> confidence </w:t>
      </w:r>
      <w:r>
        <w:rPr>
          <w:rFonts w:asciiTheme="minorHAnsi" w:hAnsiTheme="minorHAnsi" w:cstheme="minorHAnsi"/>
          <w:i/>
          <w:iCs/>
        </w:rPr>
        <w:t>in</w:t>
      </w:r>
      <w:r w:rsidRPr="00787B02">
        <w:rPr>
          <w:rFonts w:asciiTheme="minorHAnsi" w:hAnsiTheme="minorHAnsi" w:cstheme="minorHAnsi"/>
          <w:i/>
          <w:iCs/>
        </w:rPr>
        <w:t xml:space="preserve"> exclud</w:t>
      </w:r>
      <w:r>
        <w:rPr>
          <w:rFonts w:asciiTheme="minorHAnsi" w:hAnsiTheme="minorHAnsi" w:cstheme="minorHAnsi"/>
          <w:i/>
          <w:iCs/>
        </w:rPr>
        <w:t>ing</w:t>
      </w:r>
      <w:r w:rsidRPr="00787B02">
        <w:rPr>
          <w:rFonts w:asciiTheme="minorHAnsi" w:hAnsiTheme="minorHAnsi" w:cstheme="minorHAnsi"/>
          <w:i/>
          <w:iCs/>
        </w:rPr>
        <w:t xml:space="preserve"> a clinically significant righ</w:t>
      </w:r>
      <w:r>
        <w:rPr>
          <w:rFonts w:asciiTheme="minorHAnsi" w:hAnsiTheme="minorHAnsi" w:cstheme="minorHAnsi"/>
          <w:i/>
          <w:iCs/>
        </w:rPr>
        <w:t>t-</w:t>
      </w:r>
      <w:r w:rsidRPr="00787B02">
        <w:rPr>
          <w:rFonts w:asciiTheme="minorHAnsi" w:hAnsiTheme="minorHAnsi" w:cstheme="minorHAnsi"/>
          <w:i/>
          <w:iCs/>
        </w:rPr>
        <w:t>t</w:t>
      </w:r>
      <w:r>
        <w:rPr>
          <w:rFonts w:asciiTheme="minorHAnsi" w:hAnsiTheme="minorHAnsi" w:cstheme="minorHAnsi"/>
          <w:i/>
          <w:iCs/>
        </w:rPr>
        <w:t>o-</w:t>
      </w:r>
      <w:r w:rsidRPr="00787B02">
        <w:rPr>
          <w:rFonts w:asciiTheme="minorHAnsi" w:hAnsiTheme="minorHAnsi" w:cstheme="minorHAnsi"/>
          <w:i/>
          <w:iCs/>
        </w:rPr>
        <w:t>left shunt when no shunt is detected</w:t>
      </w:r>
      <w:r>
        <w:rPr>
          <w:rFonts w:asciiTheme="minorHAnsi" w:hAnsiTheme="minorHAnsi" w:cstheme="minorHAnsi"/>
          <w:i/>
          <w:iCs/>
        </w:rPr>
        <w:t xml:space="preserve"> (i.e. TCD result is negative)</w:t>
      </w:r>
      <w:r w:rsidRPr="00787B02">
        <w:rPr>
          <w:rFonts w:asciiTheme="minorHAnsi" w:hAnsiTheme="minorHAnsi" w:cstheme="minorHAnsi"/>
          <w:i/>
          <w:iCs/>
        </w:rPr>
        <w:t>, thereby reducing the need for confirmatory TOE in these patients and supporting investigation of alternative causes of stroke.</w:t>
      </w:r>
      <w:r>
        <w:rPr>
          <w:rFonts w:asciiTheme="minorHAnsi" w:hAnsiTheme="minorHAnsi" w:cstheme="minorHAnsi"/>
          <w:i/>
          <w:iCs/>
        </w:rPr>
        <w:t xml:space="preserve"> </w:t>
      </w:r>
      <w:r w:rsidRPr="00423817">
        <w:rPr>
          <w:rFonts w:asciiTheme="minorHAnsi" w:hAnsiTheme="minorHAnsi" w:cstheme="minorHAnsi"/>
          <w:i/>
          <w:iCs/>
        </w:rPr>
        <w:t xml:space="preserve">The applicant confirmed that referral for TOE following a negative TCD bubble test would be uncommon and would generally be limited to cases </w:t>
      </w:r>
      <w:r>
        <w:rPr>
          <w:rFonts w:asciiTheme="minorHAnsi" w:hAnsiTheme="minorHAnsi" w:cstheme="minorHAnsi"/>
          <w:i/>
          <w:iCs/>
        </w:rPr>
        <w:t>where TOE is required to investigate alternative cardiac sources of stroke or other clinically relevant cardiac pathology</w:t>
      </w:r>
      <w:r w:rsidRPr="00423817">
        <w:rPr>
          <w:rFonts w:asciiTheme="minorHAnsi" w:hAnsiTheme="minorHAnsi" w:cstheme="minorHAnsi"/>
          <w:i/>
          <w:iCs/>
        </w:rPr>
        <w:t>.</w:t>
      </w:r>
      <w:r>
        <w:rPr>
          <w:rFonts w:asciiTheme="minorHAnsi" w:hAnsiTheme="minorHAnsi" w:cstheme="minorHAnsi"/>
          <w:i/>
          <w:iCs/>
        </w:rPr>
        <w:t xml:space="preserve"> PASC considered that </w:t>
      </w:r>
      <w:r w:rsidRPr="007C7F3E">
        <w:rPr>
          <w:rFonts w:asciiTheme="minorHAnsi" w:hAnsiTheme="minorHAnsi" w:cstheme="minorHAnsi"/>
          <w:i/>
          <w:iCs/>
        </w:rPr>
        <w:t xml:space="preserve">TTE with bubble contrast would remain an appropriate alternative </w:t>
      </w:r>
      <w:r>
        <w:rPr>
          <w:rFonts w:asciiTheme="minorHAnsi" w:hAnsiTheme="minorHAnsi" w:cstheme="minorHAnsi"/>
          <w:i/>
          <w:iCs/>
        </w:rPr>
        <w:t xml:space="preserve">triage test </w:t>
      </w:r>
      <w:r w:rsidRPr="007C7F3E">
        <w:rPr>
          <w:rFonts w:asciiTheme="minorHAnsi" w:hAnsiTheme="minorHAnsi" w:cstheme="minorHAnsi"/>
          <w:i/>
          <w:iCs/>
        </w:rPr>
        <w:t xml:space="preserve">where TCD bubble testing is </w:t>
      </w:r>
      <w:r>
        <w:rPr>
          <w:rFonts w:asciiTheme="minorHAnsi" w:hAnsiTheme="minorHAnsi" w:cstheme="minorHAnsi"/>
          <w:i/>
          <w:iCs/>
        </w:rPr>
        <w:t>not readily accessible.</w:t>
      </w:r>
    </w:p>
    <w:p w14:paraId="3BE9D76D" w14:textId="77777777" w:rsidR="00B81BC3" w:rsidRDefault="00B81BC3" w:rsidP="00F6682F">
      <w:pPr>
        <w:sectPr w:rsidR="00B81BC3" w:rsidSect="001F0C55">
          <w:pgSz w:w="11906" w:h="16838"/>
          <w:pgMar w:top="682" w:right="1134" w:bottom="1021" w:left="1191" w:header="709" w:footer="567" w:gutter="0"/>
          <w:cols w:space="708"/>
          <w:docGrid w:linePitch="360"/>
        </w:sectPr>
      </w:pPr>
    </w:p>
    <w:p w14:paraId="4B609CA2" w14:textId="30DDA9E6" w:rsidR="00EB0CAD" w:rsidRDefault="00EB0CAD" w:rsidP="00EB0CAD">
      <w:pPr>
        <w:pStyle w:val="Caption"/>
      </w:pPr>
      <w:bookmarkStart w:id="11" w:name="_Ref231486017"/>
      <w:r>
        <w:lastRenderedPageBreak/>
        <w:t xml:space="preserve">Figure </w:t>
      </w:r>
      <w:r>
        <w:fldChar w:fldCharType="begin"/>
      </w:r>
      <w:r>
        <w:instrText xml:space="preserve"> SEQ Figure \* ARABIC </w:instrText>
      </w:r>
      <w:r>
        <w:fldChar w:fldCharType="separate"/>
      </w:r>
      <w:r>
        <w:rPr>
          <w:noProof/>
        </w:rPr>
        <w:t>3</w:t>
      </w:r>
      <w:r>
        <w:fldChar w:fldCharType="end"/>
      </w:r>
      <w:bookmarkEnd w:id="11"/>
      <w:r>
        <w:tab/>
        <w:t xml:space="preserve">Proposed clinical management </w:t>
      </w:r>
      <w:r w:rsidRPr="00EB0CAD">
        <w:t>algorithm</w:t>
      </w:r>
    </w:p>
    <w:p w14:paraId="7C9A6D50" w14:textId="69BDBE8A" w:rsidR="00EB0CAD" w:rsidRDefault="00D51C47" w:rsidP="00EE0579">
      <w:pPr>
        <w:spacing w:after="120" w:line="240" w:lineRule="auto"/>
        <w:jc w:val="center"/>
      </w:pPr>
      <w:r>
        <w:rPr>
          <w:noProof/>
        </w:rPr>
        <w:drawing>
          <wp:inline distT="0" distB="0" distL="0" distR="0" wp14:anchorId="30F40FB3" wp14:editId="04612EFA">
            <wp:extent cx="8600156" cy="4762831"/>
            <wp:effectExtent l="0" t="0" r="0" b="0"/>
            <wp:docPr id="1257344945" name="Picture 8" descr="Flowchart illustrates the proposed clinical management algorithm whereby TCD bubble testing is used as the preferred triage test prior to confirmatory TOE with bubble contrast. Similar to the current pathway, the PASCAL classification is then used to determine whether PFO is causally related to the stroke, and thereafter clinical management decisions are made (PFO closure or medical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44945" name="Picture 8" descr="Flowchart illustrates the proposed clinical management algorithm whereby TCD bubble testing is used as the preferred triage test prior to confirmatory TOE with bubble contrast. Similar to the current pathway, the PASCAL classification is then used to determine whether PFO is causally related to the stroke, and thereafter clinical management decisions are made (PFO closure or medical thera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22570" cy="4775244"/>
                    </a:xfrm>
                    <a:prstGeom prst="rect">
                      <a:avLst/>
                    </a:prstGeom>
                    <a:noFill/>
                  </pic:spPr>
                </pic:pic>
              </a:graphicData>
            </a:graphic>
          </wp:inline>
        </w:drawing>
      </w:r>
    </w:p>
    <w:p w14:paraId="1FC3CD2E" w14:textId="2FE85B8D" w:rsidR="007D0CAC" w:rsidRPr="00441D49" w:rsidRDefault="00350482" w:rsidP="00441D49">
      <w:pPr>
        <w:pStyle w:val="Tablenotes"/>
        <w:spacing w:after="0"/>
        <w:rPr>
          <w:szCs w:val="18"/>
        </w:rPr>
      </w:pPr>
      <w:r w:rsidRPr="00441D49">
        <w:rPr>
          <w:szCs w:val="18"/>
        </w:rPr>
        <w:t xml:space="preserve">AF = atrial fibrillation; </w:t>
      </w:r>
      <w:r w:rsidR="00D36087" w:rsidRPr="00441D49">
        <w:rPr>
          <w:szCs w:val="18"/>
        </w:rPr>
        <w:t xml:space="preserve">CT = computed tomography; </w:t>
      </w:r>
      <w:r w:rsidR="00193A45">
        <w:t xml:space="preserve">ESUS = embolic stroke of undetermined source; </w:t>
      </w:r>
      <w:r w:rsidR="003F05D1" w:rsidRPr="00441D49">
        <w:rPr>
          <w:szCs w:val="18"/>
        </w:rPr>
        <w:t xml:space="preserve">MRI = magnetic resonance imaging; </w:t>
      </w:r>
      <w:r w:rsidR="007D0CAC" w:rsidRPr="00441D49">
        <w:rPr>
          <w:szCs w:val="18"/>
        </w:rPr>
        <w:t xml:space="preserve">PFO = patent foramen </w:t>
      </w:r>
      <w:proofErr w:type="spellStart"/>
      <w:r w:rsidR="007D0CAC" w:rsidRPr="00441D49">
        <w:rPr>
          <w:szCs w:val="18"/>
        </w:rPr>
        <w:t>ovale</w:t>
      </w:r>
      <w:proofErr w:type="spellEnd"/>
      <w:r w:rsidR="007D0CAC" w:rsidRPr="00441D49">
        <w:rPr>
          <w:szCs w:val="18"/>
        </w:rPr>
        <w:t>; RLS = right-to-left shunt</w:t>
      </w:r>
      <w:r w:rsidR="00EB6CB2" w:rsidRPr="00441D49">
        <w:rPr>
          <w:szCs w:val="18"/>
        </w:rPr>
        <w:t xml:space="preserve">; </w:t>
      </w:r>
      <w:r w:rsidR="008C4EE1" w:rsidRPr="00441D49">
        <w:rPr>
          <w:szCs w:val="18"/>
        </w:rPr>
        <w:t>TCD = transcranial Doppler</w:t>
      </w:r>
      <w:r w:rsidR="00CF1039">
        <w:rPr>
          <w:szCs w:val="18"/>
        </w:rPr>
        <w:t>; TCCD =</w:t>
      </w:r>
      <w:r w:rsidR="007461C8">
        <w:rPr>
          <w:szCs w:val="18"/>
        </w:rPr>
        <w:t xml:space="preserve"> transcranial colour-coded duplex sonography</w:t>
      </w:r>
      <w:r w:rsidR="008C4EE1" w:rsidRPr="00441D49">
        <w:rPr>
          <w:szCs w:val="18"/>
        </w:rPr>
        <w:t xml:space="preserve">; </w:t>
      </w:r>
      <w:r w:rsidR="00EB6CB2" w:rsidRPr="00441D49">
        <w:rPr>
          <w:szCs w:val="18"/>
        </w:rPr>
        <w:t>TOE = transoesophageal echocardiography; TTE = transthoracic echocardiography</w:t>
      </w:r>
      <w:r w:rsidR="008C4EE1" w:rsidRPr="00441D49">
        <w:rPr>
          <w:szCs w:val="18"/>
        </w:rPr>
        <w:t>.</w:t>
      </w:r>
    </w:p>
    <w:p w14:paraId="38891121" w14:textId="245E8DDD" w:rsidR="00BC2050" w:rsidRPr="00441D49" w:rsidRDefault="008C256C" w:rsidP="000A18B6">
      <w:pPr>
        <w:pStyle w:val="Tablenotes"/>
        <w:rPr>
          <w:szCs w:val="18"/>
        </w:rPr>
      </w:pPr>
      <w:r w:rsidRPr="008C179C">
        <w:rPr>
          <w:szCs w:val="18"/>
          <w:vertAlign w:val="superscript"/>
        </w:rPr>
        <w:t>a</w:t>
      </w:r>
      <w:r w:rsidRPr="00441D49">
        <w:rPr>
          <w:szCs w:val="18"/>
        </w:rPr>
        <w:t xml:space="preserve"> </w:t>
      </w:r>
      <w:r w:rsidR="00C0695A" w:rsidRPr="00441D49">
        <w:rPr>
          <w:szCs w:val="18"/>
        </w:rPr>
        <w:t xml:space="preserve">Standard work-up includes: </w:t>
      </w:r>
      <w:r w:rsidR="00C0695A" w:rsidRPr="00441D49">
        <w:rPr>
          <w:b/>
          <w:bCs/>
          <w:szCs w:val="18"/>
        </w:rPr>
        <w:t>brain imaging</w:t>
      </w:r>
      <w:r w:rsidR="00C0695A" w:rsidRPr="00441D49">
        <w:rPr>
          <w:szCs w:val="18"/>
        </w:rPr>
        <w:t xml:space="preserve"> (e.g. MRI, CT); </w:t>
      </w:r>
      <w:r w:rsidR="00C0695A" w:rsidRPr="00441D49">
        <w:rPr>
          <w:b/>
          <w:bCs/>
          <w:szCs w:val="18"/>
        </w:rPr>
        <w:t>vascular imaging</w:t>
      </w:r>
      <w:r w:rsidR="00C0695A" w:rsidRPr="00441D49">
        <w:rPr>
          <w:szCs w:val="18"/>
        </w:rPr>
        <w:t xml:space="preserve"> (e.g. CT or MR angiography) to exclude extracranial and intracranial arterial stenosis; </w:t>
      </w:r>
      <w:r w:rsidR="00C0695A" w:rsidRPr="00441D49">
        <w:rPr>
          <w:b/>
          <w:bCs/>
          <w:szCs w:val="18"/>
        </w:rPr>
        <w:t>cardiac evaluation</w:t>
      </w:r>
      <w:r w:rsidR="00EE5F51" w:rsidRPr="00441D49">
        <w:rPr>
          <w:szCs w:val="18"/>
        </w:rPr>
        <w:t xml:space="preserve"> (</w:t>
      </w:r>
      <w:r w:rsidR="00C0695A" w:rsidRPr="00441D49">
        <w:rPr>
          <w:szCs w:val="18"/>
        </w:rPr>
        <w:t xml:space="preserve">including TTE to assess for structural </w:t>
      </w:r>
      <w:r w:rsidR="00153E0B" w:rsidRPr="00441D49">
        <w:rPr>
          <w:szCs w:val="18"/>
        </w:rPr>
        <w:t xml:space="preserve">cardiac </w:t>
      </w:r>
      <w:r w:rsidR="00C0695A" w:rsidRPr="00441D49">
        <w:rPr>
          <w:szCs w:val="18"/>
        </w:rPr>
        <w:t>sources of embolism and prolonged rhythm monitoring to exclude AF</w:t>
      </w:r>
      <w:r w:rsidR="00153E0B" w:rsidRPr="00441D49">
        <w:rPr>
          <w:szCs w:val="18"/>
        </w:rPr>
        <w:t>)</w:t>
      </w:r>
      <w:r w:rsidR="00C0695A" w:rsidRPr="00441D49">
        <w:rPr>
          <w:szCs w:val="18"/>
        </w:rPr>
        <w:t xml:space="preserve">; </w:t>
      </w:r>
      <w:r w:rsidR="00153E0B" w:rsidRPr="00441D49">
        <w:rPr>
          <w:b/>
          <w:bCs/>
          <w:szCs w:val="18"/>
        </w:rPr>
        <w:t xml:space="preserve">targeted </w:t>
      </w:r>
      <w:r w:rsidR="00C0695A" w:rsidRPr="00441D49">
        <w:rPr>
          <w:b/>
          <w:bCs/>
          <w:szCs w:val="18"/>
        </w:rPr>
        <w:t>laboratory investigations</w:t>
      </w:r>
      <w:r w:rsidR="00C0695A" w:rsidRPr="00441D49">
        <w:rPr>
          <w:szCs w:val="18"/>
        </w:rPr>
        <w:t xml:space="preserve"> (e.g. vasculitis or thrombophilia in selected patients); </w:t>
      </w:r>
      <w:r w:rsidR="00C0695A" w:rsidRPr="00441D49">
        <w:rPr>
          <w:b/>
          <w:bCs/>
          <w:szCs w:val="18"/>
        </w:rPr>
        <w:t xml:space="preserve">additional investigations </w:t>
      </w:r>
      <w:r w:rsidR="00153E0B" w:rsidRPr="00441D49">
        <w:rPr>
          <w:b/>
          <w:bCs/>
          <w:szCs w:val="18"/>
        </w:rPr>
        <w:t>as indicated</w:t>
      </w:r>
      <w:r w:rsidR="00C0695A" w:rsidRPr="00441D49">
        <w:rPr>
          <w:szCs w:val="18"/>
        </w:rPr>
        <w:t>.</w:t>
      </w:r>
      <w:r w:rsidR="00FD4BAB" w:rsidRPr="00441D49" w:rsidDel="00FD4BAB">
        <w:rPr>
          <w:szCs w:val="18"/>
        </w:rPr>
        <w:t xml:space="preserve"> </w:t>
      </w:r>
    </w:p>
    <w:p w14:paraId="774522DE" w14:textId="77777777" w:rsidR="00B81BC3" w:rsidRDefault="00B81BC3" w:rsidP="00F6682F">
      <w:pPr>
        <w:sectPr w:rsidR="00B81BC3" w:rsidSect="00B81BC3">
          <w:pgSz w:w="16838" w:h="11906" w:orient="landscape"/>
          <w:pgMar w:top="1191" w:right="682" w:bottom="1134" w:left="1021" w:header="709" w:footer="567" w:gutter="0"/>
          <w:cols w:space="708"/>
          <w:docGrid w:linePitch="360"/>
        </w:sectPr>
      </w:pPr>
    </w:p>
    <w:p w14:paraId="2BDE22B9" w14:textId="72152531" w:rsidR="00D73332" w:rsidRDefault="00D73332" w:rsidP="00984989">
      <w:pPr>
        <w:pStyle w:val="Heading2"/>
      </w:pPr>
      <w:r w:rsidRPr="00490FBB">
        <w:lastRenderedPageBreak/>
        <w:t>Proposed economic evaluation</w:t>
      </w:r>
    </w:p>
    <w:p w14:paraId="1D964728" w14:textId="2BC2DE9D" w:rsidR="009F30D1" w:rsidRDefault="006D5431" w:rsidP="006D5431">
      <w:r>
        <w:t>The application claim</w:t>
      </w:r>
      <w:r w:rsidR="009A0068">
        <w:t>ed</w:t>
      </w:r>
      <w:r>
        <w:t xml:space="preserve"> that TCD bubble testing is superior to TTE with bubble contrast in sensitivity for detecting righ</w:t>
      </w:r>
      <w:r w:rsidR="00E223FF">
        <w:t>t-</w:t>
      </w:r>
      <w:r>
        <w:t>t</w:t>
      </w:r>
      <w:r w:rsidR="00E223FF">
        <w:t>o-</w:t>
      </w:r>
      <w:r>
        <w:t>left shunt, while being no</w:t>
      </w:r>
      <w:r w:rsidR="00FF324E">
        <w:t>n</w:t>
      </w:r>
      <w:r>
        <w:t xml:space="preserve">inferior in terms of safety. On this basis, </w:t>
      </w:r>
      <w:r w:rsidR="00E53A38">
        <w:t xml:space="preserve">where </w:t>
      </w:r>
      <w:r>
        <w:t xml:space="preserve">TCD is </w:t>
      </w:r>
      <w:r w:rsidR="00E53A38">
        <w:t xml:space="preserve">available, it is </w:t>
      </w:r>
      <w:r>
        <w:t xml:space="preserve">expected to improve identification of </w:t>
      </w:r>
      <w:r w:rsidR="00CC432E">
        <w:t>a causally related</w:t>
      </w:r>
      <w:r>
        <w:t xml:space="preserve"> PFO and </w:t>
      </w:r>
      <w:r w:rsidR="004942A9">
        <w:t>support</w:t>
      </w:r>
      <w:r>
        <w:t xml:space="preserve"> more appropriate </w:t>
      </w:r>
      <w:r w:rsidR="00011F8F">
        <w:t xml:space="preserve">and timely </w:t>
      </w:r>
      <w:r>
        <w:t xml:space="preserve">downstream management, including referral for confirmatory testing and </w:t>
      </w:r>
      <w:r w:rsidR="004942A9">
        <w:t>consideration of</w:t>
      </w:r>
      <w:r>
        <w:t xml:space="preserve"> PFO closure.</w:t>
      </w:r>
      <w:r w:rsidR="003D3462">
        <w:t xml:space="preserve"> </w:t>
      </w:r>
      <w:r w:rsidR="006920C2">
        <w:t xml:space="preserve">The application </w:t>
      </w:r>
      <w:r w:rsidR="00DF4A00">
        <w:t>also suggests that a shorter</w:t>
      </w:r>
      <w:r w:rsidR="009F30D1">
        <w:t xml:space="preserve"> time to diagnosis and </w:t>
      </w:r>
      <w:r w:rsidR="00DF4A00">
        <w:t>treat</w:t>
      </w:r>
      <w:r w:rsidR="009F30D1">
        <w:t xml:space="preserve">ment </w:t>
      </w:r>
      <w:r w:rsidR="003170DA">
        <w:t xml:space="preserve">of a </w:t>
      </w:r>
      <w:r w:rsidR="00CC432E">
        <w:t>causally related</w:t>
      </w:r>
      <w:r w:rsidR="003170DA">
        <w:t xml:space="preserve"> PFO </w:t>
      </w:r>
      <w:r w:rsidR="00DF4A00">
        <w:t>may</w:t>
      </w:r>
      <w:r w:rsidR="009F30D1">
        <w:t xml:space="preserve"> reduce</w:t>
      </w:r>
      <w:r w:rsidR="00DF4A00">
        <w:t xml:space="preserve"> the risk of</w:t>
      </w:r>
      <w:r w:rsidR="006920C2" w:rsidRPr="00B651C4">
        <w:t xml:space="preserve"> </w:t>
      </w:r>
      <w:r w:rsidR="00E43CB0">
        <w:t xml:space="preserve">recurrent </w:t>
      </w:r>
      <w:r w:rsidR="006920C2" w:rsidRPr="00B651C4">
        <w:t xml:space="preserve">stroke </w:t>
      </w:r>
      <w:r w:rsidR="009F30D1">
        <w:t>in the intervening period.</w:t>
      </w:r>
    </w:p>
    <w:p w14:paraId="0EC4093B" w14:textId="2CB55047" w:rsidR="006D5431" w:rsidRDefault="00E43CB0" w:rsidP="006D5431">
      <w:r>
        <w:t>In accordance with the classification matrix (</w:t>
      </w:r>
      <w:r>
        <w:fldChar w:fldCharType="begin"/>
      </w:r>
      <w:r>
        <w:instrText xml:space="preserve"> REF _Ref54260209 \h </w:instrText>
      </w:r>
      <w:r>
        <w:fldChar w:fldCharType="separate"/>
      </w:r>
      <w:r w:rsidR="00897555">
        <w:t>Table </w:t>
      </w:r>
      <w:r w:rsidR="00897555">
        <w:rPr>
          <w:noProof/>
        </w:rPr>
        <w:t>5</w:t>
      </w:r>
      <w:r>
        <w:fldChar w:fldCharType="end"/>
      </w:r>
      <w:r>
        <w:t xml:space="preserve">), a </w:t>
      </w:r>
      <w:r w:rsidR="005C51E7">
        <w:t xml:space="preserve">claim </w:t>
      </w:r>
      <w:r>
        <w:t>of superior effectiveness and non</w:t>
      </w:r>
      <w:r w:rsidR="0040450B">
        <w:t>inferior safety would typically support</w:t>
      </w:r>
      <w:r w:rsidR="00011F96">
        <w:t xml:space="preserve"> a</w:t>
      </w:r>
      <w:r>
        <w:t xml:space="preserve"> </w:t>
      </w:r>
      <w:r w:rsidR="006D5431">
        <w:t>cos</w:t>
      </w:r>
      <w:r w:rsidR="00FF324E">
        <w:t>t-</w:t>
      </w:r>
      <w:r w:rsidR="006D5431">
        <w:t>effectiveness analysis (CEA) or cos</w:t>
      </w:r>
      <w:r w:rsidR="00FF324E">
        <w:t>t-</w:t>
      </w:r>
      <w:r w:rsidR="006D5431">
        <w:t>utility analysis (CUA)</w:t>
      </w:r>
      <w:r w:rsidR="00011F96">
        <w:t xml:space="preserve">. </w:t>
      </w:r>
    </w:p>
    <w:p w14:paraId="6DAB2DBD" w14:textId="17A2F6C2" w:rsidR="000939E0" w:rsidRPr="00490FBB" w:rsidRDefault="009C55DB" w:rsidP="00C40CC4">
      <w:pPr>
        <w:pStyle w:val="Caption"/>
      </w:pPr>
      <w:bookmarkStart w:id="12" w:name="_Ref54260209"/>
      <w:bookmarkStart w:id="13" w:name="_Toc423450289"/>
      <w:r>
        <w:t>Table</w:t>
      </w:r>
      <w:r w:rsidR="00DE762F">
        <w:t> </w:t>
      </w:r>
      <w:r>
        <w:fldChar w:fldCharType="begin"/>
      </w:r>
      <w:r>
        <w:instrText xml:space="preserve"> SEQ Table \* ARABIC </w:instrText>
      </w:r>
      <w:r>
        <w:fldChar w:fldCharType="separate"/>
      </w:r>
      <w:r w:rsidR="00897555">
        <w:rPr>
          <w:noProof/>
        </w:rPr>
        <w:t>5</w:t>
      </w:r>
      <w:r>
        <w:fldChar w:fldCharType="end"/>
      </w:r>
      <w:bookmarkEnd w:id="12"/>
      <w:r w:rsidR="001A5D2F">
        <w:tab/>
        <w:t>Classification of</w:t>
      </w:r>
      <w:r w:rsidR="000939E0" w:rsidRPr="00490FBB">
        <w:t xml:space="preserve"> comparative effectiveness and safety of the proposed </w:t>
      </w:r>
      <w:r w:rsidR="000E54AE">
        <w:t>investigative medical service</w:t>
      </w:r>
      <w:r w:rsidR="001A5D2F">
        <w:t>,</w:t>
      </w:r>
      <w:r w:rsidR="000939E0" w:rsidRPr="00490FBB">
        <w:t xml:space="preserve"> compared with its main comparator</w:t>
      </w:r>
      <w:r w:rsidR="001A5D2F">
        <w:t>,</w:t>
      </w:r>
      <w:r w:rsidR="000939E0" w:rsidRPr="00490FBB">
        <w:t xml:space="preserve"> and guide to the suitable type of economic evaluation</w:t>
      </w:r>
      <w:bookmarkEnd w:id="13"/>
    </w:p>
    <w:tbl>
      <w:tblPr>
        <w:tblW w:w="5000" w:type="pct"/>
        <w:tblCellMar>
          <w:left w:w="115" w:type="dxa"/>
          <w:right w:w="115" w:type="dxa"/>
        </w:tblCellMar>
        <w:tblLook w:val="01E0" w:firstRow="1" w:lastRow="1" w:firstColumn="1" w:lastColumn="1" w:noHBand="0" w:noVBand="0"/>
        <w:tblCaption w:val="Classification of the comparative effectiveness and safety of the proposed investigative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Given the clinical claim of superior effectiveness and non-inferior safety, a CEA/CUA is shaded as the most appropriate type of economic evaluation."/>
      </w:tblPr>
      <w:tblGrid>
        <w:gridCol w:w="2065"/>
        <w:gridCol w:w="1954"/>
        <w:gridCol w:w="2286"/>
        <w:gridCol w:w="1794"/>
        <w:gridCol w:w="1472"/>
      </w:tblGrid>
      <w:tr w:rsidR="00686EED" w:rsidRPr="00490FBB" w14:paraId="5238F44C" w14:textId="77777777" w:rsidTr="000E54AE">
        <w:trPr>
          <w:tblHeader/>
        </w:trPr>
        <w:tc>
          <w:tcPr>
            <w:tcW w:w="1079" w:type="pct"/>
            <w:vMerge w:val="restart"/>
            <w:tcBorders>
              <w:top w:val="single" w:sz="4" w:space="0" w:color="auto"/>
              <w:left w:val="single" w:sz="4" w:space="0" w:color="auto"/>
              <w:right w:val="single" w:sz="4" w:space="0" w:color="auto"/>
            </w:tcBorders>
          </w:tcPr>
          <w:p w14:paraId="5B06A6EA" w14:textId="2690703D" w:rsidR="00686EED" w:rsidRPr="00490FBB" w:rsidRDefault="00686EED" w:rsidP="00C40CC4">
            <w:pPr>
              <w:pStyle w:val="TableHeading"/>
            </w:pPr>
            <w:bookmarkStart w:id="14" w:name="Title_Table2" w:colFirst="0" w:colLast="0"/>
            <w:r w:rsidRPr="00490FBB">
              <w:t>Comparative safety</w:t>
            </w:r>
          </w:p>
        </w:tc>
        <w:tc>
          <w:tcPr>
            <w:tcW w:w="1021" w:type="pct"/>
            <w:tcBorders>
              <w:top w:val="single" w:sz="4" w:space="0" w:color="auto"/>
              <w:left w:val="single" w:sz="4" w:space="0" w:color="auto"/>
              <w:bottom w:val="single" w:sz="4" w:space="0" w:color="auto"/>
              <w:right w:val="nil"/>
            </w:tcBorders>
          </w:tcPr>
          <w:p w14:paraId="293E5792" w14:textId="77777777" w:rsidR="00686EED" w:rsidRPr="00490FBB" w:rsidRDefault="00686EED" w:rsidP="00C40CC4">
            <w:pPr>
              <w:pStyle w:val="TableHeading"/>
              <w:jc w:val="center"/>
            </w:pPr>
          </w:p>
        </w:tc>
        <w:tc>
          <w:tcPr>
            <w:tcW w:w="1194" w:type="pct"/>
            <w:tcBorders>
              <w:top w:val="single" w:sz="4" w:space="0" w:color="auto"/>
              <w:left w:val="nil"/>
              <w:bottom w:val="single" w:sz="4" w:space="0" w:color="auto"/>
            </w:tcBorders>
          </w:tcPr>
          <w:p w14:paraId="57B2397B" w14:textId="77777777" w:rsidR="00686EED" w:rsidRPr="00490FBB" w:rsidRDefault="00686EED" w:rsidP="00C40CC4">
            <w:pPr>
              <w:pStyle w:val="TableHeading"/>
              <w:ind w:left="-75" w:right="-127"/>
              <w:jc w:val="center"/>
            </w:pPr>
            <w:r w:rsidRPr="00490FBB">
              <w:t>Comparative effectiveness</w:t>
            </w:r>
          </w:p>
        </w:tc>
        <w:tc>
          <w:tcPr>
            <w:tcW w:w="937" w:type="pct"/>
            <w:tcBorders>
              <w:top w:val="single" w:sz="4" w:space="0" w:color="auto"/>
              <w:left w:val="nil"/>
              <w:bottom w:val="single" w:sz="4" w:space="0" w:color="auto"/>
            </w:tcBorders>
          </w:tcPr>
          <w:p w14:paraId="6B53FB6C" w14:textId="77777777" w:rsidR="00686EED" w:rsidRPr="00490FBB" w:rsidRDefault="00686EED" w:rsidP="00C40CC4">
            <w:pPr>
              <w:pStyle w:val="TableHeading"/>
              <w:jc w:val="center"/>
            </w:pPr>
          </w:p>
        </w:tc>
        <w:tc>
          <w:tcPr>
            <w:tcW w:w="769" w:type="pct"/>
            <w:tcBorders>
              <w:top w:val="single" w:sz="4" w:space="0" w:color="auto"/>
              <w:left w:val="nil"/>
              <w:bottom w:val="single" w:sz="4" w:space="0" w:color="auto"/>
              <w:right w:val="single" w:sz="4" w:space="0" w:color="auto"/>
            </w:tcBorders>
          </w:tcPr>
          <w:p w14:paraId="0FE152FA" w14:textId="77777777" w:rsidR="00686EED" w:rsidRPr="00490FBB" w:rsidRDefault="00686EED" w:rsidP="00C40CC4">
            <w:pPr>
              <w:pStyle w:val="TableHeading"/>
              <w:jc w:val="center"/>
            </w:pPr>
          </w:p>
        </w:tc>
      </w:tr>
      <w:bookmarkEnd w:id="14"/>
      <w:tr w:rsidR="00686EED" w:rsidRPr="00490FBB" w14:paraId="78A8F3F1" w14:textId="77777777" w:rsidTr="000E54AE">
        <w:trPr>
          <w:tblHeader/>
        </w:trPr>
        <w:tc>
          <w:tcPr>
            <w:tcW w:w="1079" w:type="pct"/>
            <w:vMerge/>
            <w:tcBorders>
              <w:left w:val="single" w:sz="4" w:space="0" w:color="auto"/>
              <w:bottom w:val="single" w:sz="4" w:space="0" w:color="auto"/>
              <w:right w:val="single" w:sz="4" w:space="0" w:color="auto"/>
            </w:tcBorders>
          </w:tcPr>
          <w:p w14:paraId="6E00D947" w14:textId="57BEC7DE" w:rsidR="00686EED" w:rsidRPr="00490FBB" w:rsidRDefault="00686EED" w:rsidP="00C40CC4">
            <w:pPr>
              <w:pStyle w:val="TableHeading"/>
            </w:pPr>
          </w:p>
        </w:tc>
        <w:tc>
          <w:tcPr>
            <w:tcW w:w="1021" w:type="pct"/>
            <w:tcBorders>
              <w:left w:val="single" w:sz="4" w:space="0" w:color="auto"/>
              <w:bottom w:val="single" w:sz="4" w:space="0" w:color="auto"/>
              <w:right w:val="single" w:sz="4" w:space="0" w:color="auto"/>
            </w:tcBorders>
          </w:tcPr>
          <w:p w14:paraId="319C788C" w14:textId="77777777" w:rsidR="00686EED" w:rsidRPr="00490FBB" w:rsidRDefault="00686EED" w:rsidP="00C40CC4">
            <w:pPr>
              <w:pStyle w:val="TableHeading"/>
              <w:jc w:val="center"/>
            </w:pPr>
            <w:r w:rsidRPr="00490FBB">
              <w:t>Inferior</w:t>
            </w:r>
          </w:p>
        </w:tc>
        <w:tc>
          <w:tcPr>
            <w:tcW w:w="1194" w:type="pct"/>
            <w:tcBorders>
              <w:top w:val="single" w:sz="4" w:space="0" w:color="auto"/>
              <w:left w:val="single" w:sz="4" w:space="0" w:color="auto"/>
              <w:bottom w:val="single" w:sz="4" w:space="0" w:color="auto"/>
              <w:right w:val="single" w:sz="4" w:space="0" w:color="auto"/>
            </w:tcBorders>
          </w:tcPr>
          <w:p w14:paraId="5AC96128" w14:textId="77777777" w:rsidR="00686EED" w:rsidRPr="00490FBB" w:rsidRDefault="00686EED" w:rsidP="00C40CC4">
            <w:pPr>
              <w:pStyle w:val="TableHeading"/>
              <w:jc w:val="center"/>
            </w:pPr>
            <w:proofErr w:type="spellStart"/>
            <w:r w:rsidRPr="00490FBB">
              <w:t>Uncertain</w:t>
            </w:r>
            <w:r w:rsidRPr="00490FBB">
              <w:rPr>
                <w:vertAlign w:val="superscript"/>
              </w:rPr>
              <w:t>a</w:t>
            </w:r>
            <w:proofErr w:type="spellEnd"/>
          </w:p>
        </w:tc>
        <w:tc>
          <w:tcPr>
            <w:tcW w:w="937" w:type="pct"/>
            <w:tcBorders>
              <w:top w:val="single" w:sz="4" w:space="0" w:color="auto"/>
              <w:left w:val="single" w:sz="4" w:space="0" w:color="auto"/>
              <w:bottom w:val="single" w:sz="4" w:space="0" w:color="auto"/>
              <w:right w:val="single" w:sz="4" w:space="0" w:color="auto"/>
            </w:tcBorders>
          </w:tcPr>
          <w:p w14:paraId="7AA1349D" w14:textId="4BA1ADFE" w:rsidR="00686EED" w:rsidRPr="00490FBB" w:rsidRDefault="00686EED" w:rsidP="00C40CC4">
            <w:pPr>
              <w:pStyle w:val="TableHeading"/>
              <w:jc w:val="center"/>
            </w:pPr>
            <w:proofErr w:type="spellStart"/>
            <w:r w:rsidRPr="00490FBB">
              <w:t>Noninferior</w:t>
            </w:r>
            <w:r w:rsidRPr="00490FBB">
              <w:rPr>
                <w:vertAlign w:val="superscript"/>
              </w:rPr>
              <w:t>b</w:t>
            </w:r>
            <w:proofErr w:type="spellEnd"/>
          </w:p>
        </w:tc>
        <w:tc>
          <w:tcPr>
            <w:tcW w:w="769" w:type="pct"/>
            <w:tcBorders>
              <w:top w:val="single" w:sz="4" w:space="0" w:color="auto"/>
              <w:left w:val="single" w:sz="4" w:space="0" w:color="auto"/>
              <w:bottom w:val="single" w:sz="4" w:space="0" w:color="auto"/>
              <w:right w:val="single" w:sz="4" w:space="0" w:color="auto"/>
            </w:tcBorders>
          </w:tcPr>
          <w:p w14:paraId="156C5942" w14:textId="77777777" w:rsidR="00686EED" w:rsidRPr="00490FBB" w:rsidRDefault="00686EED" w:rsidP="00C40CC4">
            <w:pPr>
              <w:pStyle w:val="TableHeading"/>
              <w:jc w:val="center"/>
            </w:pPr>
            <w:r w:rsidRPr="00490FBB">
              <w:t>Superior</w:t>
            </w:r>
          </w:p>
        </w:tc>
      </w:tr>
      <w:tr w:rsidR="000939E0" w:rsidRPr="00490FBB" w14:paraId="1E111DC3" w14:textId="77777777" w:rsidTr="000E54AE">
        <w:tc>
          <w:tcPr>
            <w:tcW w:w="1079" w:type="pct"/>
            <w:tcBorders>
              <w:top w:val="single" w:sz="4" w:space="0" w:color="auto"/>
              <w:left w:val="single" w:sz="4" w:space="0" w:color="auto"/>
              <w:bottom w:val="single" w:sz="4" w:space="0" w:color="auto"/>
              <w:right w:val="single" w:sz="4" w:space="0" w:color="auto"/>
            </w:tcBorders>
            <w:vAlign w:val="center"/>
          </w:tcPr>
          <w:p w14:paraId="04A362E2" w14:textId="77777777" w:rsidR="000939E0" w:rsidRPr="00490FBB" w:rsidRDefault="000939E0" w:rsidP="00C40CC4">
            <w:pPr>
              <w:pStyle w:val="Tabletext"/>
              <w:keepNext/>
            </w:pPr>
            <w:r w:rsidRPr="00490FBB">
              <w:t>Inferior</w:t>
            </w:r>
          </w:p>
        </w:tc>
        <w:tc>
          <w:tcPr>
            <w:tcW w:w="1021" w:type="pct"/>
            <w:tcBorders>
              <w:top w:val="single" w:sz="4" w:space="0" w:color="auto"/>
              <w:left w:val="single" w:sz="4" w:space="0" w:color="auto"/>
              <w:bottom w:val="single" w:sz="4" w:space="0" w:color="auto"/>
              <w:right w:val="single" w:sz="4" w:space="0" w:color="auto"/>
            </w:tcBorders>
            <w:vAlign w:val="center"/>
          </w:tcPr>
          <w:p w14:paraId="0B15352C" w14:textId="77777777" w:rsidR="000939E0" w:rsidRPr="00490FBB" w:rsidRDefault="000939E0" w:rsidP="00C40CC4">
            <w:pPr>
              <w:pStyle w:val="Tabletext"/>
              <w:keepNext/>
            </w:pPr>
            <w:r w:rsidRPr="00490FBB">
              <w:t>Health forgone: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47A58DE2" w14:textId="77777777" w:rsidR="000939E0" w:rsidRPr="00490FBB" w:rsidRDefault="000939E0" w:rsidP="00C40CC4">
            <w:pPr>
              <w:pStyle w:val="Tabletext"/>
              <w:keepNext/>
            </w:pPr>
            <w:r w:rsidRPr="00490FBB">
              <w:t>Health forgone possible: need other supportive factors</w:t>
            </w:r>
          </w:p>
        </w:tc>
        <w:tc>
          <w:tcPr>
            <w:tcW w:w="937" w:type="pct"/>
            <w:tcBorders>
              <w:top w:val="single" w:sz="4" w:space="0" w:color="auto"/>
              <w:left w:val="single" w:sz="4" w:space="0" w:color="auto"/>
              <w:bottom w:val="single" w:sz="4" w:space="0" w:color="auto"/>
              <w:right w:val="single" w:sz="4" w:space="0" w:color="auto"/>
            </w:tcBorders>
            <w:vAlign w:val="center"/>
          </w:tcPr>
          <w:p w14:paraId="3540FA15" w14:textId="77777777" w:rsidR="000939E0" w:rsidRPr="00490FBB" w:rsidRDefault="000939E0" w:rsidP="00C40CC4">
            <w:pPr>
              <w:pStyle w:val="Tabletext"/>
              <w:keepNext/>
            </w:pPr>
            <w:r w:rsidRPr="00490FBB">
              <w:t>Health forgone: need other supportive factors</w:t>
            </w:r>
          </w:p>
        </w:tc>
        <w:tc>
          <w:tcPr>
            <w:tcW w:w="769" w:type="pct"/>
            <w:tcBorders>
              <w:top w:val="single" w:sz="4" w:space="0" w:color="auto"/>
              <w:left w:val="single" w:sz="4" w:space="0" w:color="auto"/>
              <w:bottom w:val="single" w:sz="4" w:space="0" w:color="auto"/>
              <w:right w:val="single" w:sz="4" w:space="0" w:color="auto"/>
            </w:tcBorders>
            <w:vAlign w:val="center"/>
          </w:tcPr>
          <w:p w14:paraId="18C6CF73" w14:textId="77777777" w:rsidR="000939E0" w:rsidRPr="00490FBB" w:rsidRDefault="000939E0" w:rsidP="00C40CC4">
            <w:pPr>
              <w:pStyle w:val="Tabletext"/>
              <w:keepNext/>
            </w:pPr>
            <w:r w:rsidRPr="00490FBB">
              <w:t>? Likely CUA</w:t>
            </w:r>
          </w:p>
        </w:tc>
      </w:tr>
      <w:tr w:rsidR="000939E0" w:rsidRPr="00490FBB" w14:paraId="463C2753" w14:textId="77777777" w:rsidTr="000E54AE">
        <w:tc>
          <w:tcPr>
            <w:tcW w:w="1079" w:type="pct"/>
            <w:tcBorders>
              <w:top w:val="single" w:sz="4" w:space="0" w:color="auto"/>
              <w:left w:val="single" w:sz="4" w:space="0" w:color="auto"/>
              <w:bottom w:val="single" w:sz="4" w:space="0" w:color="auto"/>
              <w:right w:val="single" w:sz="4" w:space="0" w:color="auto"/>
            </w:tcBorders>
            <w:vAlign w:val="center"/>
          </w:tcPr>
          <w:p w14:paraId="11AF710C" w14:textId="77777777" w:rsidR="000939E0" w:rsidRPr="00490FBB" w:rsidRDefault="000939E0" w:rsidP="00C40CC4">
            <w:pPr>
              <w:pStyle w:val="Tabletext"/>
              <w:keepNext/>
            </w:pPr>
            <w:proofErr w:type="spellStart"/>
            <w:r w:rsidRPr="00490FBB">
              <w:t>Uncertain</w:t>
            </w:r>
            <w:r w:rsidRPr="00490FBB">
              <w:rPr>
                <w:vertAlign w:val="superscript"/>
              </w:rPr>
              <w:t>a</w:t>
            </w:r>
            <w:proofErr w:type="spellEnd"/>
          </w:p>
        </w:tc>
        <w:tc>
          <w:tcPr>
            <w:tcW w:w="1021" w:type="pct"/>
            <w:tcBorders>
              <w:top w:val="single" w:sz="4" w:space="0" w:color="auto"/>
              <w:left w:val="single" w:sz="4" w:space="0" w:color="auto"/>
              <w:bottom w:val="single" w:sz="4" w:space="0" w:color="auto"/>
              <w:right w:val="single" w:sz="4" w:space="0" w:color="auto"/>
            </w:tcBorders>
            <w:vAlign w:val="center"/>
          </w:tcPr>
          <w:p w14:paraId="12909D79" w14:textId="77777777" w:rsidR="000939E0" w:rsidRPr="00490FBB" w:rsidRDefault="000939E0" w:rsidP="00C40CC4">
            <w:pPr>
              <w:pStyle w:val="Tabletext"/>
              <w:keepNext/>
            </w:pPr>
            <w:r w:rsidRPr="00490FBB">
              <w:t>Health forgone possible: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50F5E2B4" w14:textId="77777777" w:rsidR="000939E0" w:rsidRPr="00490FBB" w:rsidRDefault="000939E0" w:rsidP="00C40CC4">
            <w:pPr>
              <w:pStyle w:val="Tabletext"/>
              <w:keepNext/>
            </w:pPr>
            <w:r w:rsidRPr="00490FBB">
              <w:t>?</w:t>
            </w:r>
          </w:p>
        </w:tc>
        <w:tc>
          <w:tcPr>
            <w:tcW w:w="937" w:type="pct"/>
            <w:tcBorders>
              <w:top w:val="single" w:sz="4" w:space="0" w:color="auto"/>
              <w:left w:val="single" w:sz="4" w:space="0" w:color="auto"/>
              <w:bottom w:val="single" w:sz="4" w:space="0" w:color="auto"/>
              <w:right w:val="single" w:sz="4" w:space="0" w:color="auto"/>
            </w:tcBorders>
            <w:vAlign w:val="center"/>
          </w:tcPr>
          <w:p w14:paraId="0406F2A1" w14:textId="77777777" w:rsidR="000939E0" w:rsidRPr="00490FBB" w:rsidRDefault="000939E0" w:rsidP="00C40CC4">
            <w:pPr>
              <w:pStyle w:val="Tabletext"/>
              <w:keepNext/>
            </w:pPr>
            <w:r w:rsidRPr="00490FBB">
              <w:t>?</w:t>
            </w:r>
          </w:p>
        </w:tc>
        <w:tc>
          <w:tcPr>
            <w:tcW w:w="769" w:type="pct"/>
            <w:tcBorders>
              <w:top w:val="single" w:sz="4" w:space="0" w:color="auto"/>
              <w:left w:val="single" w:sz="4" w:space="0" w:color="auto"/>
              <w:bottom w:val="single" w:sz="4" w:space="0" w:color="auto"/>
              <w:right w:val="single" w:sz="4" w:space="0" w:color="auto"/>
            </w:tcBorders>
            <w:vAlign w:val="center"/>
          </w:tcPr>
          <w:p w14:paraId="1996B8CC" w14:textId="77777777" w:rsidR="000939E0" w:rsidRPr="00490FBB" w:rsidRDefault="000939E0" w:rsidP="00C40CC4">
            <w:pPr>
              <w:pStyle w:val="Tabletext"/>
              <w:keepNext/>
            </w:pPr>
            <w:r w:rsidRPr="00490FBB">
              <w:t>? Likely CEA/CUA</w:t>
            </w:r>
          </w:p>
        </w:tc>
      </w:tr>
      <w:tr w:rsidR="000939E0" w:rsidRPr="00490FBB" w14:paraId="47335FF9" w14:textId="77777777" w:rsidTr="000E54AE">
        <w:tc>
          <w:tcPr>
            <w:tcW w:w="1079" w:type="pct"/>
            <w:tcBorders>
              <w:top w:val="single" w:sz="4" w:space="0" w:color="auto"/>
              <w:left w:val="single" w:sz="4" w:space="0" w:color="auto"/>
              <w:bottom w:val="single" w:sz="4" w:space="0" w:color="auto"/>
              <w:right w:val="single" w:sz="4" w:space="0" w:color="auto"/>
            </w:tcBorders>
            <w:vAlign w:val="center"/>
          </w:tcPr>
          <w:p w14:paraId="0CBD845B" w14:textId="149CC18B" w:rsidR="000939E0" w:rsidRPr="00490FBB" w:rsidRDefault="000939E0" w:rsidP="00C40CC4">
            <w:pPr>
              <w:pStyle w:val="Tabletext"/>
              <w:keepNext/>
            </w:pPr>
            <w:proofErr w:type="spellStart"/>
            <w:r w:rsidRPr="00490FBB">
              <w:t>Noninferior</w:t>
            </w:r>
            <w:r w:rsidRPr="00490FBB">
              <w:rPr>
                <w:vertAlign w:val="superscript"/>
              </w:rPr>
              <w:t>b</w:t>
            </w:r>
            <w:proofErr w:type="spellEnd"/>
          </w:p>
        </w:tc>
        <w:tc>
          <w:tcPr>
            <w:tcW w:w="1021" w:type="pct"/>
            <w:tcBorders>
              <w:top w:val="single" w:sz="4" w:space="0" w:color="auto"/>
              <w:left w:val="single" w:sz="4" w:space="0" w:color="auto"/>
              <w:bottom w:val="single" w:sz="4" w:space="0" w:color="auto"/>
              <w:right w:val="single" w:sz="4" w:space="0" w:color="auto"/>
            </w:tcBorders>
            <w:vAlign w:val="center"/>
          </w:tcPr>
          <w:p w14:paraId="5D8B4B6F" w14:textId="77777777" w:rsidR="000939E0" w:rsidRPr="00490FBB" w:rsidRDefault="000939E0" w:rsidP="00C40CC4">
            <w:pPr>
              <w:pStyle w:val="Tabletext"/>
              <w:keepNext/>
            </w:pPr>
            <w:r w:rsidRPr="00490FBB">
              <w:t>Health forgone: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43D9B9E4" w14:textId="77777777" w:rsidR="000939E0" w:rsidRPr="00490FBB" w:rsidRDefault="000939E0" w:rsidP="00C40CC4">
            <w:pPr>
              <w:pStyle w:val="Tabletext"/>
              <w:keepNext/>
            </w:pPr>
            <w:r w:rsidRPr="00490FBB">
              <w:t>?</w:t>
            </w:r>
          </w:p>
        </w:tc>
        <w:tc>
          <w:tcPr>
            <w:tcW w:w="937" w:type="pct"/>
            <w:tcBorders>
              <w:top w:val="single" w:sz="4" w:space="0" w:color="auto"/>
              <w:left w:val="single" w:sz="4" w:space="0" w:color="auto"/>
              <w:bottom w:val="single" w:sz="4" w:space="0" w:color="auto"/>
              <w:right w:val="single" w:sz="4" w:space="0" w:color="auto"/>
            </w:tcBorders>
            <w:vAlign w:val="center"/>
          </w:tcPr>
          <w:p w14:paraId="12BD2E22" w14:textId="77777777" w:rsidR="000939E0" w:rsidRPr="00490FBB" w:rsidRDefault="000939E0" w:rsidP="00C40CC4">
            <w:pPr>
              <w:pStyle w:val="Tabletext"/>
              <w:keepNext/>
            </w:pPr>
            <w:r w:rsidRPr="00490FBB">
              <w:t>CMA</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9F7AB5" w14:textId="77777777" w:rsidR="000939E0" w:rsidRPr="00E35D9E" w:rsidRDefault="000939E0" w:rsidP="00C40CC4">
            <w:pPr>
              <w:pStyle w:val="Tabletext"/>
              <w:keepNext/>
              <w:rPr>
                <w:b/>
                <w:bCs/>
              </w:rPr>
            </w:pPr>
            <w:r w:rsidRPr="00E35D9E">
              <w:rPr>
                <w:b/>
                <w:bCs/>
              </w:rPr>
              <w:t>CEA/CUA</w:t>
            </w:r>
          </w:p>
        </w:tc>
      </w:tr>
      <w:tr w:rsidR="000939E0" w:rsidRPr="00490FBB" w14:paraId="41AB5715" w14:textId="77777777" w:rsidTr="000E54AE">
        <w:tc>
          <w:tcPr>
            <w:tcW w:w="1079" w:type="pct"/>
            <w:tcBorders>
              <w:top w:val="single" w:sz="4" w:space="0" w:color="auto"/>
              <w:left w:val="single" w:sz="4" w:space="0" w:color="auto"/>
              <w:bottom w:val="single" w:sz="4" w:space="0" w:color="auto"/>
              <w:right w:val="single" w:sz="4" w:space="0" w:color="auto"/>
            </w:tcBorders>
            <w:vAlign w:val="center"/>
          </w:tcPr>
          <w:p w14:paraId="18F5B4CB" w14:textId="77777777" w:rsidR="000939E0" w:rsidRPr="00490FBB" w:rsidRDefault="000939E0" w:rsidP="00C40CC4">
            <w:pPr>
              <w:pStyle w:val="Tabletext"/>
              <w:keepNext/>
            </w:pPr>
            <w:r w:rsidRPr="00490FBB">
              <w:t>Superior</w:t>
            </w:r>
          </w:p>
        </w:tc>
        <w:tc>
          <w:tcPr>
            <w:tcW w:w="1021" w:type="pct"/>
            <w:tcBorders>
              <w:top w:val="single" w:sz="4" w:space="0" w:color="auto"/>
              <w:left w:val="single" w:sz="4" w:space="0" w:color="auto"/>
              <w:bottom w:val="single" w:sz="4" w:space="0" w:color="auto"/>
              <w:right w:val="single" w:sz="4" w:space="0" w:color="auto"/>
            </w:tcBorders>
            <w:vAlign w:val="center"/>
          </w:tcPr>
          <w:p w14:paraId="2525815A" w14:textId="77777777" w:rsidR="000939E0" w:rsidRPr="00490FBB" w:rsidRDefault="000939E0" w:rsidP="00C40CC4">
            <w:pPr>
              <w:pStyle w:val="Tabletext"/>
              <w:keepNext/>
            </w:pPr>
            <w:r w:rsidRPr="00490FBB">
              <w:t>? Likely CUA</w:t>
            </w:r>
          </w:p>
        </w:tc>
        <w:tc>
          <w:tcPr>
            <w:tcW w:w="1194" w:type="pct"/>
            <w:tcBorders>
              <w:top w:val="single" w:sz="4" w:space="0" w:color="auto"/>
              <w:left w:val="single" w:sz="4" w:space="0" w:color="auto"/>
              <w:bottom w:val="single" w:sz="4" w:space="0" w:color="auto"/>
              <w:right w:val="single" w:sz="4" w:space="0" w:color="auto"/>
            </w:tcBorders>
            <w:vAlign w:val="center"/>
          </w:tcPr>
          <w:p w14:paraId="2AE0169D" w14:textId="77777777" w:rsidR="000939E0" w:rsidRPr="00490FBB" w:rsidRDefault="000939E0" w:rsidP="00C40CC4">
            <w:pPr>
              <w:pStyle w:val="Tabletext"/>
              <w:keepNext/>
            </w:pPr>
            <w:r w:rsidRPr="00490FBB">
              <w:t>? Likely CEA/CUA</w:t>
            </w:r>
          </w:p>
        </w:tc>
        <w:tc>
          <w:tcPr>
            <w:tcW w:w="937" w:type="pct"/>
            <w:tcBorders>
              <w:top w:val="single" w:sz="4" w:space="0" w:color="auto"/>
              <w:left w:val="single" w:sz="4" w:space="0" w:color="auto"/>
              <w:bottom w:val="single" w:sz="4" w:space="0" w:color="auto"/>
              <w:right w:val="single" w:sz="4" w:space="0" w:color="auto"/>
            </w:tcBorders>
            <w:vAlign w:val="center"/>
          </w:tcPr>
          <w:p w14:paraId="71D0525C" w14:textId="77777777" w:rsidR="000939E0" w:rsidRPr="00490FBB" w:rsidRDefault="000939E0" w:rsidP="00C40CC4">
            <w:pPr>
              <w:pStyle w:val="Tabletext"/>
              <w:keepNext/>
            </w:pPr>
            <w:r w:rsidRPr="00490FBB">
              <w:t>CEA/CUA</w:t>
            </w:r>
          </w:p>
        </w:tc>
        <w:tc>
          <w:tcPr>
            <w:tcW w:w="769" w:type="pct"/>
            <w:tcBorders>
              <w:top w:val="single" w:sz="4" w:space="0" w:color="auto"/>
              <w:left w:val="single" w:sz="4" w:space="0" w:color="auto"/>
              <w:bottom w:val="single" w:sz="4" w:space="0" w:color="auto"/>
              <w:right w:val="single" w:sz="4" w:space="0" w:color="auto"/>
            </w:tcBorders>
            <w:vAlign w:val="center"/>
          </w:tcPr>
          <w:p w14:paraId="5FF47EA5" w14:textId="77777777" w:rsidR="000939E0" w:rsidRPr="00490FBB" w:rsidRDefault="000939E0" w:rsidP="00C40CC4">
            <w:pPr>
              <w:pStyle w:val="Tabletext"/>
              <w:keepNext/>
            </w:pPr>
            <w:r w:rsidRPr="00490FBB">
              <w:t>CEA/CUA</w:t>
            </w:r>
          </w:p>
        </w:tc>
      </w:tr>
    </w:tbl>
    <w:p w14:paraId="6538A3FB" w14:textId="07B3CE35" w:rsidR="000939E0" w:rsidRPr="00937027" w:rsidRDefault="000939E0" w:rsidP="00937027">
      <w:pPr>
        <w:pStyle w:val="Tablenotes"/>
        <w:contextualSpacing/>
      </w:pPr>
      <w:r w:rsidRPr="00937027">
        <w:t>CEA</w:t>
      </w:r>
      <w:r w:rsidR="00937027">
        <w:t xml:space="preserve"> </w:t>
      </w:r>
      <w:r w:rsidRPr="00937027">
        <w:t>=</w:t>
      </w:r>
      <w:r w:rsidR="00937027">
        <w:t xml:space="preserve"> </w:t>
      </w:r>
      <w:r w:rsidRPr="00937027">
        <w:t>cost-effectiveness analysis; CMA</w:t>
      </w:r>
      <w:r w:rsidR="00937027">
        <w:t xml:space="preserve"> </w:t>
      </w:r>
      <w:r w:rsidRPr="00937027">
        <w:t>=</w:t>
      </w:r>
      <w:r w:rsidR="00937027">
        <w:t xml:space="preserve"> c</w:t>
      </w:r>
      <w:r w:rsidRPr="00937027">
        <w:t>ost-minimisation analysis; CUA</w:t>
      </w:r>
      <w:r w:rsidR="00937027">
        <w:t xml:space="preserve"> </w:t>
      </w:r>
      <w:r w:rsidRPr="00937027">
        <w:t>=</w:t>
      </w:r>
      <w:r w:rsidR="00937027">
        <w:t xml:space="preserve"> </w:t>
      </w:r>
      <w:r w:rsidRPr="00937027">
        <w:t>cost-utility analysis</w:t>
      </w:r>
      <w:r w:rsidR="00937027">
        <w:t>.</w:t>
      </w:r>
    </w:p>
    <w:p w14:paraId="48F7CED7" w14:textId="1F6E2BB4" w:rsidR="000939E0" w:rsidRPr="00937027" w:rsidRDefault="000939E0" w:rsidP="00937027">
      <w:pPr>
        <w:pStyle w:val="Tablenotes"/>
        <w:contextualSpacing/>
      </w:pPr>
      <w:r w:rsidRPr="00937027">
        <w:t>? = reflect uncertainties and any identified health trade-offs in the economic evaluation, as a minimum in a cost-consequences analysis</w:t>
      </w:r>
      <w:r w:rsidR="00F20478">
        <w:t>.</w:t>
      </w:r>
      <w:r w:rsidRPr="00937027">
        <w:t xml:space="preserve"> </w:t>
      </w:r>
    </w:p>
    <w:p w14:paraId="65C6F534" w14:textId="608F6C15" w:rsidR="000939E0" w:rsidRPr="00937027" w:rsidRDefault="000939E0" w:rsidP="00937027">
      <w:pPr>
        <w:pStyle w:val="Tablenotes"/>
        <w:contextualSpacing/>
      </w:pPr>
      <w:r w:rsidRPr="00937027">
        <w:t>a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the comparative safety considerations</w:t>
      </w:r>
      <w:r w:rsidR="00F20478">
        <w:t>.</w:t>
      </w:r>
    </w:p>
    <w:p w14:paraId="1CB9C9B3" w14:textId="79325DB5" w:rsidR="000939E0" w:rsidRDefault="000939E0" w:rsidP="00955D8E">
      <w:pPr>
        <w:pStyle w:val="Tablenotes"/>
        <w:spacing w:after="360"/>
        <w:contextualSpacing/>
      </w:pPr>
      <w:r w:rsidRPr="00937027">
        <w:t>b An adequate assessment of ‘noninferiority’ is the preferred basis for demonstrating equivalence</w:t>
      </w:r>
      <w:r w:rsidR="00F20478">
        <w:t>.</w:t>
      </w:r>
    </w:p>
    <w:p w14:paraId="05F567F9" w14:textId="6304D04C" w:rsidR="00E76BA4" w:rsidRDefault="00E76BA4" w:rsidP="00E76BA4">
      <w:r>
        <w:t xml:space="preserve">The economic evaluation should adopt a linked evidence approach, </w:t>
      </w:r>
      <w:r w:rsidR="00B57FE1">
        <w:t>whereby d</w:t>
      </w:r>
      <w:r>
        <w:t xml:space="preserve">ifferences in test performance between TCD and TTE </w:t>
      </w:r>
      <w:r w:rsidR="00E219FE">
        <w:t>are</w:t>
      </w:r>
      <w:r>
        <w:t xml:space="preserve"> modelled </w:t>
      </w:r>
      <w:r w:rsidR="00E219FE">
        <w:t>in terms of their impact on</w:t>
      </w:r>
      <w:r>
        <w:t xml:space="preserve"> downstream clinical </w:t>
      </w:r>
      <w:r w:rsidR="00FB18A1">
        <w:t xml:space="preserve">management </w:t>
      </w:r>
      <w:r>
        <w:t>(</w:t>
      </w:r>
      <w:r w:rsidR="005234DA">
        <w:t>such as</w:t>
      </w:r>
      <w:r>
        <w:t xml:space="preserve"> referral for </w:t>
      </w:r>
      <w:r w:rsidR="00B57FE1">
        <w:t xml:space="preserve">confirmatory </w:t>
      </w:r>
      <w:r>
        <w:t>TOE</w:t>
      </w:r>
      <w:r w:rsidR="00BD6CE0">
        <w:t xml:space="preserve">, </w:t>
      </w:r>
      <w:r w:rsidR="00645DE1">
        <w:t>PFO closure</w:t>
      </w:r>
      <w:r w:rsidR="00FB18A1">
        <w:t>,</w:t>
      </w:r>
      <w:r w:rsidR="00645DE1">
        <w:t xml:space="preserve"> or medical manag</w:t>
      </w:r>
      <w:r w:rsidR="00FA6E09">
        <w:t>e</w:t>
      </w:r>
      <w:r w:rsidR="00645DE1">
        <w:t>ment</w:t>
      </w:r>
      <w:r w:rsidR="003428AA">
        <w:t>)</w:t>
      </w:r>
      <w:r w:rsidR="00F12EB4">
        <w:t xml:space="preserve">, which in turn </w:t>
      </w:r>
      <w:r w:rsidR="00FB18A1">
        <w:t>influence</w:t>
      </w:r>
      <w:r w:rsidR="0038090F">
        <w:t xml:space="preserve"> health outcomes</w:t>
      </w:r>
      <w:r w:rsidR="006F5D9A">
        <w:t>, including</w:t>
      </w:r>
      <w:r w:rsidR="0038090F">
        <w:t xml:space="preserve"> stroke recurrence and quality of life</w:t>
      </w:r>
      <w:r>
        <w:t>.</w:t>
      </w:r>
    </w:p>
    <w:p w14:paraId="32A27A40" w14:textId="0B7586C9" w:rsidR="00E76BA4" w:rsidRDefault="00E76BA4" w:rsidP="00E76BA4">
      <w:r>
        <w:t xml:space="preserve">Key </w:t>
      </w:r>
      <w:r w:rsidR="006C2455">
        <w:t>considerations expected to influence</w:t>
      </w:r>
      <w:r w:rsidR="000D163F">
        <w:t xml:space="preserve"> the </w:t>
      </w:r>
      <w:r>
        <w:t xml:space="preserve">economic </w:t>
      </w:r>
      <w:r w:rsidR="000D163F">
        <w:t>evaluation</w:t>
      </w:r>
      <w:r>
        <w:t xml:space="preserve"> include:</w:t>
      </w:r>
    </w:p>
    <w:p w14:paraId="1E38A4F8" w14:textId="1FC31B2F" w:rsidR="00E76BA4" w:rsidRDefault="00E76BA4" w:rsidP="00E76BA4">
      <w:pPr>
        <w:pStyle w:val="ListParagraph"/>
        <w:numPr>
          <w:ilvl w:val="0"/>
          <w:numId w:val="23"/>
        </w:numPr>
      </w:pPr>
      <w:r>
        <w:t xml:space="preserve">differences in diagnostic accuracy, particularly the </w:t>
      </w:r>
      <w:r w:rsidR="000D163F">
        <w:t>consequences</w:t>
      </w:r>
      <w:r>
        <w:t xml:space="preserve"> of false negatives (missed PFOs) and false positives (</w:t>
      </w:r>
      <w:r w:rsidR="0008326B">
        <w:t>potentially avoidable</w:t>
      </w:r>
      <w:r w:rsidR="00CD0121">
        <w:t xml:space="preserve"> </w:t>
      </w:r>
      <w:r>
        <w:t>TOE</w:t>
      </w:r>
      <w:r w:rsidR="0008326B">
        <w:t xml:space="preserve"> procedures</w:t>
      </w:r>
      <w:r>
        <w:t>)</w:t>
      </w:r>
    </w:p>
    <w:p w14:paraId="4F046CE3" w14:textId="01471BCA" w:rsidR="00E76BA4" w:rsidRDefault="002A1084" w:rsidP="00E76BA4">
      <w:pPr>
        <w:pStyle w:val="ListParagraph"/>
        <w:numPr>
          <w:ilvl w:val="0"/>
          <w:numId w:val="23"/>
        </w:numPr>
      </w:pPr>
      <w:r>
        <w:t xml:space="preserve">the </w:t>
      </w:r>
      <w:r w:rsidR="00E76BA4">
        <w:t xml:space="preserve">cost of TCD bubble testing, including </w:t>
      </w:r>
      <w:r w:rsidR="00354B64">
        <w:t>capital</w:t>
      </w:r>
      <w:r w:rsidR="00E938B8">
        <w:t xml:space="preserve"> equipment</w:t>
      </w:r>
      <w:r w:rsidR="00E76BA4">
        <w:t xml:space="preserve">, </w:t>
      </w:r>
      <w:r w:rsidR="00E938B8">
        <w:t xml:space="preserve">workforce requirements </w:t>
      </w:r>
      <w:r w:rsidR="00E76BA4">
        <w:t>and training</w:t>
      </w:r>
    </w:p>
    <w:p w14:paraId="50FA8302" w14:textId="0EEE0553" w:rsidR="00E76BA4" w:rsidRDefault="007C4CD8" w:rsidP="00E76BA4">
      <w:pPr>
        <w:pStyle w:val="ListParagraph"/>
        <w:numPr>
          <w:ilvl w:val="0"/>
          <w:numId w:val="23"/>
        </w:numPr>
      </w:pPr>
      <w:r>
        <w:t xml:space="preserve">the potential for </w:t>
      </w:r>
      <w:r w:rsidR="00E76BA4">
        <w:t>stroke recurrence</w:t>
      </w:r>
      <w:r w:rsidR="00572D06">
        <w:t xml:space="preserve"> </w:t>
      </w:r>
      <w:r w:rsidR="00E938B8">
        <w:t>associated with</w:t>
      </w:r>
      <w:r w:rsidR="00572D06">
        <w:t xml:space="preserve"> delays in diagnosis</w:t>
      </w:r>
      <w:r w:rsidR="00E938B8">
        <w:t xml:space="preserve"> and treatment</w:t>
      </w:r>
      <w:r w:rsidR="0092182B">
        <w:t xml:space="preserve"> of a </w:t>
      </w:r>
      <w:r w:rsidR="00CC432E">
        <w:t>causally related</w:t>
      </w:r>
      <w:r w:rsidR="0092182B">
        <w:t xml:space="preserve"> PFO</w:t>
      </w:r>
    </w:p>
    <w:p w14:paraId="668F5144" w14:textId="4D258753" w:rsidR="00DC5E07" w:rsidRDefault="00DC5E07" w:rsidP="00E76BA4">
      <w:pPr>
        <w:pStyle w:val="ListParagraph"/>
        <w:numPr>
          <w:ilvl w:val="0"/>
          <w:numId w:val="23"/>
        </w:numPr>
      </w:pPr>
      <w:r>
        <w:t xml:space="preserve">downstream </w:t>
      </w:r>
      <w:r w:rsidR="00623AF7">
        <w:t xml:space="preserve">treatment effects, including eligibility for </w:t>
      </w:r>
      <w:r w:rsidR="006341BC">
        <w:t>and uptake of PFO closure</w:t>
      </w:r>
      <w:r w:rsidR="00455DB4">
        <w:t xml:space="preserve"> versus medical management</w:t>
      </w:r>
    </w:p>
    <w:p w14:paraId="27EBFA2D" w14:textId="3A0627F5" w:rsidR="008235FC" w:rsidRDefault="00030856" w:rsidP="007A33FC">
      <w:pPr>
        <w:pStyle w:val="ListParagraph"/>
        <w:numPr>
          <w:ilvl w:val="0"/>
          <w:numId w:val="23"/>
        </w:numPr>
        <w:spacing w:after="240"/>
        <w:ind w:left="714" w:hanging="357"/>
      </w:pPr>
      <w:r w:rsidRPr="00030856">
        <w:t>adverse events</w:t>
      </w:r>
      <w:r w:rsidR="00490572">
        <w:t>, including</w:t>
      </w:r>
      <w:r w:rsidRPr="00030856">
        <w:t xml:space="preserve"> </w:t>
      </w:r>
      <w:r w:rsidR="00490572">
        <w:t>procedure-related</w:t>
      </w:r>
      <w:r w:rsidR="00DF6EA2">
        <w:t xml:space="preserve"> complications</w:t>
      </w:r>
      <w:r w:rsidRPr="00030856">
        <w:t xml:space="preserve"> (e.g. TOE</w:t>
      </w:r>
      <w:r w:rsidR="00DF6EA2">
        <w:t>, PFO closure</w:t>
      </w:r>
      <w:r w:rsidR="00F91313">
        <w:t>)</w:t>
      </w:r>
    </w:p>
    <w:p w14:paraId="7F289F45" w14:textId="7B69919E" w:rsidR="004444B4" w:rsidRDefault="008235FC" w:rsidP="007A33FC">
      <w:pPr>
        <w:pStyle w:val="ListParagraph"/>
        <w:numPr>
          <w:ilvl w:val="0"/>
          <w:numId w:val="23"/>
        </w:numPr>
        <w:spacing w:after="240"/>
        <w:ind w:left="714" w:hanging="357"/>
      </w:pPr>
      <w:r>
        <w:lastRenderedPageBreak/>
        <w:t>the effect of test availability and service configuration on diagnostic pathways and time to treatment</w:t>
      </w:r>
      <w:r w:rsidR="00030856" w:rsidRPr="00030856">
        <w:t>.</w:t>
      </w:r>
    </w:p>
    <w:p w14:paraId="462C79FC" w14:textId="292379F6" w:rsidR="00E152B4" w:rsidRDefault="00E152B4" w:rsidP="00E152B4">
      <w:r w:rsidRPr="000B60CE">
        <w:rPr>
          <w:rFonts w:asciiTheme="minorHAnsi" w:hAnsiTheme="minorHAnsi" w:cstheme="minorHAnsi"/>
          <w:i/>
          <w:iCs/>
        </w:rPr>
        <w:t>PASC considered that a CUA</w:t>
      </w:r>
      <w:r>
        <w:rPr>
          <w:rFonts w:asciiTheme="minorHAnsi" w:hAnsiTheme="minorHAnsi" w:cstheme="minorHAnsi"/>
          <w:i/>
          <w:iCs/>
        </w:rPr>
        <w:t xml:space="preserve"> </w:t>
      </w:r>
      <w:r w:rsidRPr="000B60CE">
        <w:rPr>
          <w:rFonts w:asciiTheme="minorHAnsi" w:hAnsiTheme="minorHAnsi" w:cstheme="minorHAnsi"/>
          <w:i/>
          <w:iCs/>
        </w:rPr>
        <w:t>was appropriate given the claim that TCD bubble testing has superior diagnostic performance compared with TTE with bubble contrast and the potential for this to translate into improved patient health outcomes. PASC noted that improved identification of patients with a PFO at risk of recurrent stroke may influence downstream management, including access to PFO closure where indicated, with consequent impacts on health outcomes, quality of life and healthcare resource use.</w:t>
      </w:r>
    </w:p>
    <w:p w14:paraId="047E4738" w14:textId="1D501EE9" w:rsidR="00D73332" w:rsidRDefault="00D73332" w:rsidP="00984989">
      <w:pPr>
        <w:pStyle w:val="Heading2"/>
      </w:pPr>
      <w:r w:rsidRPr="00DE762F">
        <w:t>Propos</w:t>
      </w:r>
      <w:r w:rsidR="000D1FCF" w:rsidRPr="00DE762F">
        <w:t>al for public funding</w:t>
      </w:r>
    </w:p>
    <w:p w14:paraId="3A6C01CF" w14:textId="793300DB" w:rsidR="007D5FDC" w:rsidRDefault="007D5FDC" w:rsidP="007D5FDC">
      <w:r>
        <w:t>The application propose</w:t>
      </w:r>
      <w:r w:rsidR="009A0068">
        <w:t>d</w:t>
      </w:r>
      <w:r>
        <w:t xml:space="preserve"> the creation of a new MBS item </w:t>
      </w:r>
      <w:r w:rsidR="004F241C" w:rsidRPr="004F241C">
        <w:t xml:space="preserve">to support </w:t>
      </w:r>
      <w:r w:rsidR="00D45CD5">
        <w:t>the</w:t>
      </w:r>
      <w:r w:rsidR="004F241C" w:rsidRPr="004F241C">
        <w:t xml:space="preserve"> use </w:t>
      </w:r>
      <w:r w:rsidR="00D45CD5">
        <w:t>of TCD bubble test</w:t>
      </w:r>
      <w:r w:rsidR="00FF143E">
        <w:t>ing</w:t>
      </w:r>
      <w:r w:rsidR="00D45CD5">
        <w:t xml:space="preserve"> </w:t>
      </w:r>
      <w:r w:rsidR="00185052">
        <w:t>as a firs</w:t>
      </w:r>
      <w:r w:rsidR="00FF324E">
        <w:t>t-</w:t>
      </w:r>
      <w:r w:rsidR="00185052">
        <w:t xml:space="preserve">line triage investigation in patients with </w:t>
      </w:r>
      <w:r w:rsidR="00944127">
        <w:t>pr</w:t>
      </w:r>
      <w:r w:rsidR="0037388A">
        <w:t xml:space="preserve">ior </w:t>
      </w:r>
      <w:r w:rsidR="00662A96">
        <w:t>ischaemic</w:t>
      </w:r>
      <w:r w:rsidR="0037388A">
        <w:t xml:space="preserve"> stroke</w:t>
      </w:r>
      <w:r w:rsidR="00A6346D">
        <w:t xml:space="preserve"> </w:t>
      </w:r>
      <w:r w:rsidR="00D45CD5">
        <w:t>(</w:t>
      </w:r>
      <w:r w:rsidR="00D45CD5">
        <w:fldChar w:fldCharType="begin"/>
      </w:r>
      <w:r w:rsidR="00D45CD5">
        <w:instrText xml:space="preserve"> REF _Ref231287347 \h </w:instrText>
      </w:r>
      <w:r w:rsidR="00D45CD5">
        <w:fldChar w:fldCharType="separate"/>
      </w:r>
      <w:r w:rsidR="000D54C3">
        <w:t xml:space="preserve">Box </w:t>
      </w:r>
      <w:r w:rsidR="000D54C3">
        <w:rPr>
          <w:noProof/>
        </w:rPr>
        <w:t>4</w:t>
      </w:r>
      <w:r w:rsidR="00D45CD5">
        <w:fldChar w:fldCharType="end"/>
      </w:r>
      <w:r w:rsidR="00D45CD5">
        <w:t>)</w:t>
      </w:r>
      <w:r w:rsidR="004F241C" w:rsidRPr="004F241C">
        <w:t>.</w:t>
      </w:r>
    </w:p>
    <w:p w14:paraId="219A625B" w14:textId="364E762B" w:rsidR="0062745C" w:rsidRDefault="0062745C" w:rsidP="0062745C">
      <w:pPr>
        <w:pStyle w:val="Caption"/>
      </w:pPr>
      <w:bookmarkStart w:id="15" w:name="_Ref231287347"/>
      <w:r>
        <w:t xml:space="preserve">Box </w:t>
      </w:r>
      <w:r>
        <w:fldChar w:fldCharType="begin"/>
      </w:r>
      <w:r>
        <w:instrText xml:space="preserve"> SEQ Box \* ARABIC </w:instrText>
      </w:r>
      <w:r>
        <w:fldChar w:fldCharType="separate"/>
      </w:r>
      <w:r>
        <w:rPr>
          <w:noProof/>
        </w:rPr>
        <w:t>4</w:t>
      </w:r>
      <w:r>
        <w:fldChar w:fldCharType="end"/>
      </w:r>
      <w:bookmarkEnd w:id="15"/>
      <w:r>
        <w:tab/>
      </w:r>
      <w:r w:rsidR="00794DDA">
        <w:t>N</w:t>
      </w:r>
      <w:r>
        <w:t>ew MBS item</w:t>
      </w:r>
      <w:r w:rsidR="00794DDA">
        <w:t xml:space="preserve"> proposed in the application</w:t>
      </w:r>
    </w:p>
    <w:tbl>
      <w:tblPr>
        <w:tblStyle w:val="TableGrid"/>
        <w:tblW w:w="5000" w:type="pct"/>
        <w:tblInd w:w="0" w:type="dxa"/>
        <w:tblLook w:val="04A0" w:firstRow="1" w:lastRow="0" w:firstColumn="1" w:lastColumn="0" w:noHBand="0" w:noVBand="1"/>
        <w:tblCaption w:val="New MBS item proposed in the application"/>
        <w:tblDescription w:val="The box shows the proposed descriptor and fee.&#10;1. proposed category: 2 - Diagnostic procedures and investigations;&#10;2. proposed item descriptor: Bubble study for detection of patent foramen ovale in patient with previous ischaemic stroke. Must be performed by an accredited sonographer, in an accredited practice, using a registered TCD or TCCD device, with an attending medical practitioner or accredited health professional.&#10;3. proposed schedule fee: $250."/>
      </w:tblPr>
      <w:tblGrid>
        <w:gridCol w:w="9571"/>
      </w:tblGrid>
      <w:tr w:rsidR="0062745C" w:rsidRPr="00D2670B" w14:paraId="58B995E9" w14:textId="77777777" w:rsidTr="009A612D">
        <w:trPr>
          <w:cantSplit/>
          <w:tblHeader/>
        </w:trPr>
        <w:tc>
          <w:tcPr>
            <w:tcW w:w="5000" w:type="pct"/>
            <w:tcBorders>
              <w:top w:val="single" w:sz="4" w:space="0" w:color="auto"/>
              <w:left w:val="single" w:sz="4" w:space="0" w:color="auto"/>
              <w:bottom w:val="single" w:sz="4" w:space="0" w:color="auto"/>
              <w:right w:val="single" w:sz="4" w:space="0" w:color="auto"/>
            </w:tcBorders>
            <w:hideMark/>
          </w:tcPr>
          <w:p w14:paraId="3ABBFBD9" w14:textId="6E3C62D6" w:rsidR="0062745C" w:rsidRPr="002B298F" w:rsidRDefault="0062745C" w:rsidP="009A612D">
            <w:pPr>
              <w:spacing w:before="40" w:after="40" w:line="240" w:lineRule="auto"/>
            </w:pPr>
            <w:r w:rsidRPr="00DE762F">
              <w:rPr>
                <w:rFonts w:ascii="Arial Narrow" w:hAnsi="Arial Narrow"/>
                <w:sz w:val="20"/>
                <w:szCs w:val="20"/>
              </w:rPr>
              <w:t xml:space="preserve">Category </w:t>
            </w:r>
            <w:r>
              <w:rPr>
                <w:szCs w:val="20"/>
              </w:rPr>
              <w:t>2</w:t>
            </w:r>
            <w:r w:rsidRPr="00D2670B">
              <w:t xml:space="preserve"> – </w:t>
            </w:r>
            <w:r w:rsidR="006D1F68" w:rsidRPr="006D1F68">
              <w:t>DIAGNOSTIC PROCEDURES AND INVESTIGATIONS</w:t>
            </w:r>
          </w:p>
        </w:tc>
      </w:tr>
      <w:tr w:rsidR="0062745C" w:rsidRPr="005771DC" w14:paraId="4809D643" w14:textId="77777777" w:rsidTr="009A612D">
        <w:trPr>
          <w:cantSplit/>
          <w:tblHeader/>
        </w:trPr>
        <w:tc>
          <w:tcPr>
            <w:tcW w:w="5000" w:type="pct"/>
            <w:tcBorders>
              <w:top w:val="single" w:sz="4" w:space="0" w:color="auto"/>
              <w:left w:val="single" w:sz="4" w:space="0" w:color="auto"/>
              <w:bottom w:val="single" w:sz="4" w:space="0" w:color="auto"/>
              <w:right w:val="single" w:sz="4" w:space="0" w:color="auto"/>
            </w:tcBorders>
          </w:tcPr>
          <w:p w14:paraId="62B902EE" w14:textId="77777777" w:rsidR="0062745C" w:rsidRPr="00DE762F" w:rsidRDefault="0062745C" w:rsidP="009A612D">
            <w:pPr>
              <w:spacing w:before="120" w:after="120" w:line="240" w:lineRule="auto"/>
              <w:rPr>
                <w:rFonts w:ascii="Arial Narrow" w:hAnsi="Arial Narrow"/>
                <w:sz w:val="20"/>
                <w:szCs w:val="20"/>
              </w:rPr>
            </w:pPr>
            <w:r w:rsidRPr="00DE762F">
              <w:rPr>
                <w:rFonts w:ascii="Arial Narrow" w:hAnsi="Arial Narrow"/>
                <w:sz w:val="20"/>
                <w:szCs w:val="20"/>
              </w:rPr>
              <w:t xml:space="preserve">MBS item </w:t>
            </w:r>
            <w:r>
              <w:rPr>
                <w:rFonts w:ascii="Arial Narrow" w:hAnsi="Arial Narrow"/>
                <w:sz w:val="20"/>
                <w:szCs w:val="20"/>
              </w:rPr>
              <w:t>X</w:t>
            </w:r>
            <w:r w:rsidRPr="00DE762F">
              <w:rPr>
                <w:rFonts w:ascii="Arial Narrow" w:hAnsi="Arial Narrow"/>
                <w:sz w:val="20"/>
                <w:szCs w:val="20"/>
              </w:rPr>
              <w:t>XXXX</w:t>
            </w:r>
          </w:p>
          <w:p w14:paraId="6EB244E4" w14:textId="77777777" w:rsidR="0062745C" w:rsidRPr="00DE762F" w:rsidRDefault="0062745C" w:rsidP="009A612D">
            <w:pPr>
              <w:spacing w:before="120" w:after="120" w:line="240" w:lineRule="auto"/>
              <w:rPr>
                <w:rFonts w:ascii="Arial Narrow" w:hAnsi="Arial Narrow"/>
                <w:sz w:val="20"/>
                <w:szCs w:val="20"/>
              </w:rPr>
            </w:pPr>
            <w:r w:rsidRPr="00563AD1">
              <w:rPr>
                <w:rFonts w:ascii="Arial Narrow" w:hAnsi="Arial Narrow"/>
                <w:sz w:val="20"/>
                <w:szCs w:val="20"/>
              </w:rPr>
              <w:t xml:space="preserve">Bubble study for detection of patent foramen </w:t>
            </w:r>
            <w:proofErr w:type="spellStart"/>
            <w:r w:rsidRPr="00563AD1">
              <w:rPr>
                <w:rFonts w:ascii="Arial Narrow" w:hAnsi="Arial Narrow"/>
                <w:sz w:val="20"/>
                <w:szCs w:val="20"/>
              </w:rPr>
              <w:t>ovale</w:t>
            </w:r>
            <w:proofErr w:type="spellEnd"/>
            <w:r w:rsidRPr="00563AD1">
              <w:rPr>
                <w:rFonts w:ascii="Arial Narrow" w:hAnsi="Arial Narrow"/>
                <w:sz w:val="20"/>
                <w:szCs w:val="20"/>
              </w:rPr>
              <w:t xml:space="preserve"> in patient with previous ischaemic stroke. Must be performed by an accredited sonographer, in an accredited practice, using a registered TCD or TCCD device, with an attending medical practitioner or accredited health professional.</w:t>
            </w:r>
          </w:p>
        </w:tc>
      </w:tr>
      <w:tr w:rsidR="0062745C" w:rsidRPr="005771DC" w14:paraId="580CECB0" w14:textId="77777777" w:rsidTr="009A612D">
        <w:trPr>
          <w:cantSplit/>
          <w:tblHeader/>
        </w:trPr>
        <w:tc>
          <w:tcPr>
            <w:tcW w:w="5000" w:type="pct"/>
            <w:tcBorders>
              <w:top w:val="single" w:sz="4" w:space="0" w:color="auto"/>
              <w:left w:val="single" w:sz="4" w:space="0" w:color="auto"/>
              <w:bottom w:val="single" w:sz="4" w:space="0" w:color="auto"/>
              <w:right w:val="single" w:sz="4" w:space="0" w:color="auto"/>
            </w:tcBorders>
            <w:vAlign w:val="center"/>
          </w:tcPr>
          <w:p w14:paraId="3C6DB6DC" w14:textId="77777777" w:rsidR="0062745C" w:rsidRPr="00DE762F" w:rsidRDefault="0062745C" w:rsidP="009A612D">
            <w:pPr>
              <w:spacing w:before="40" w:after="40" w:line="240" w:lineRule="auto"/>
              <w:rPr>
                <w:rFonts w:ascii="Arial Narrow" w:hAnsi="Arial Narrow"/>
                <w:sz w:val="20"/>
                <w:szCs w:val="20"/>
              </w:rPr>
            </w:pPr>
            <w:r w:rsidRPr="00FA591B">
              <w:rPr>
                <w:rFonts w:ascii="Arial Narrow" w:hAnsi="Arial Narrow"/>
                <w:b/>
                <w:bCs/>
                <w:sz w:val="20"/>
                <w:szCs w:val="20"/>
              </w:rPr>
              <w:t>Fee:</w:t>
            </w:r>
            <w:r w:rsidRPr="00DE762F">
              <w:rPr>
                <w:rFonts w:ascii="Arial Narrow" w:hAnsi="Arial Narrow"/>
                <w:sz w:val="20"/>
                <w:szCs w:val="20"/>
              </w:rPr>
              <w:t xml:space="preserve"> </w:t>
            </w:r>
            <w:r>
              <w:rPr>
                <w:rFonts w:ascii="Arial Narrow" w:hAnsi="Arial Narrow"/>
                <w:sz w:val="20"/>
                <w:szCs w:val="20"/>
              </w:rPr>
              <w:t xml:space="preserve">$250.00 </w:t>
            </w:r>
            <w:r w:rsidRPr="00FA591B">
              <w:rPr>
                <w:rFonts w:ascii="Arial Narrow" w:hAnsi="Arial Narrow"/>
                <w:b/>
                <w:bCs/>
                <w:sz w:val="20"/>
                <w:szCs w:val="20"/>
              </w:rPr>
              <w:t>Benefit:</w:t>
            </w:r>
            <w:r>
              <w:rPr>
                <w:rFonts w:ascii="Arial Narrow" w:hAnsi="Arial Narrow"/>
                <w:sz w:val="20"/>
                <w:szCs w:val="20"/>
              </w:rPr>
              <w:t xml:space="preserve"> 75% = $187.50 85% = $212.50</w:t>
            </w:r>
          </w:p>
        </w:tc>
      </w:tr>
    </w:tbl>
    <w:p w14:paraId="02E102D1" w14:textId="77777777" w:rsidR="0062745C" w:rsidRDefault="0062745C" w:rsidP="0062745C">
      <w:pPr>
        <w:pStyle w:val="Tablenotes"/>
      </w:pPr>
    </w:p>
    <w:p w14:paraId="51FB38DA" w14:textId="77777777" w:rsidR="007217CC" w:rsidRDefault="007217CC" w:rsidP="007217CC">
      <w:pPr>
        <w:pStyle w:val="Heading3"/>
      </w:pPr>
      <w:r>
        <w:t>Proposed fee</w:t>
      </w:r>
    </w:p>
    <w:p w14:paraId="2DC0DF5C" w14:textId="77777777" w:rsidR="007217CC" w:rsidRDefault="007217CC" w:rsidP="007217CC">
      <w:r>
        <w:t>The applicant has proposed a schedule fee of $250 for the new item. This fee is intended to bundle the TCD monitoring components (including acquisition, interpretation, and reporting) with the additional procedural elements required for the bubble study, such as IV cannulation, preparation and administration of agitated saline contrast, Valsalva manoeuvre coaching, and repeat injections where necessary.</w:t>
      </w:r>
    </w:p>
    <w:p w14:paraId="33940035" w14:textId="3F4F4864" w:rsidR="00BB283A" w:rsidRDefault="00BB283A" w:rsidP="00BB283A">
      <w:r>
        <w:t>At present, there is no MBS item specifically covering the bubble study component when performed with TCD, TTE or TOE for the detection and grading of a PFO. For TTE and TOE, the bubble study component is incorporated</w:t>
      </w:r>
      <w:r w:rsidRPr="000613E1">
        <w:t xml:space="preserve"> within </w:t>
      </w:r>
      <w:r>
        <w:t>existing</w:t>
      </w:r>
      <w:r w:rsidRPr="000613E1">
        <w:t xml:space="preserve"> echocardiography service</w:t>
      </w:r>
      <w:r>
        <w:t xml:space="preserve"> items.</w:t>
      </w:r>
    </w:p>
    <w:p w14:paraId="0FB94791" w14:textId="25B09A9F" w:rsidR="007217CC" w:rsidRDefault="007217CC" w:rsidP="005E1EA6">
      <w:r>
        <w:t>The proposed fee is higher than current MBS items used in practice to deliver TCD bubble testing (item 11614: $</w:t>
      </w:r>
      <w:r w:rsidR="065D91D8">
        <w:t>90.55</w:t>
      </w:r>
      <w:r>
        <w:t>; item 55280: $19</w:t>
      </w:r>
      <w:r w:rsidR="1556A6F2">
        <w:t>9</w:t>
      </w:r>
      <w:r>
        <w:t>.</w:t>
      </w:r>
      <w:r w:rsidR="52128F2D">
        <w:t>70</w:t>
      </w:r>
      <w:r>
        <w:t>) but i</w:t>
      </w:r>
      <w:r w:rsidR="00B03B99">
        <w:t>s</w:t>
      </w:r>
      <w:r>
        <w:t xml:space="preserve"> broadly comparable to TTE services (items 55126 and 55129), which are used with or without bubble contrast and have a schedule fee of $</w:t>
      </w:r>
      <w:r w:rsidR="10A9903C">
        <w:t>271.80</w:t>
      </w:r>
      <w:r>
        <w:t>. While the resource requirements for the bubbl</w:t>
      </w:r>
      <w:r w:rsidR="007E2F59">
        <w:t>e</w:t>
      </w:r>
      <w:r>
        <w:t xml:space="preserve"> study component of TCD and TTE are similar, the overall duration of TTE with bubble contrast (typically 30–45 minutes) may be somewhat longer than for TCD bubble testing (approximately 20–30 minutes).</w:t>
      </w:r>
    </w:p>
    <w:p w14:paraId="4BFC98B0" w14:textId="72413FAA" w:rsidR="0008235E" w:rsidRDefault="00FC022A" w:rsidP="005E1EA6">
      <w:r w:rsidRPr="00FC022A">
        <w:t xml:space="preserve">The </w:t>
      </w:r>
      <w:r>
        <w:t>d</w:t>
      </w:r>
      <w:r w:rsidRPr="00FC022A">
        <w:t>epartment suggested that a schedule fee of $</w:t>
      </w:r>
      <w:r w:rsidR="3B237A69">
        <w:t>202.</w:t>
      </w:r>
      <w:r w:rsidR="003E52C7">
        <w:t>0</w:t>
      </w:r>
      <w:r w:rsidR="3B237A69">
        <w:t>5</w:t>
      </w:r>
      <w:r w:rsidRPr="00FC022A">
        <w:t xml:space="preserve"> may be appropriate, benchmarked against MBS item 11724</w:t>
      </w:r>
      <w:r w:rsidR="00EA46A7">
        <w:t xml:space="preserve"> </w:t>
      </w:r>
      <w:r w:rsidR="173E94B9">
        <w:t>($202.</w:t>
      </w:r>
      <w:r w:rsidR="00F269C7">
        <w:t>0</w:t>
      </w:r>
      <w:r w:rsidR="173E94B9">
        <w:t xml:space="preserve">5) </w:t>
      </w:r>
      <w:r w:rsidR="00EA46A7">
        <w:t>for up-right tilt table testing</w:t>
      </w:r>
      <w:r w:rsidR="00734FC0">
        <w:t xml:space="preserve"> for the investigation of syncope of suspected cardiothoracic </w:t>
      </w:r>
      <w:r w:rsidR="00F221FE">
        <w:t>origin</w:t>
      </w:r>
      <w:r w:rsidRPr="00FC022A">
        <w:t xml:space="preserve">. Both services involve intravenous administration of a substance; however, while item 11724 generally requires a longer duration (approximately twice that of TCD bubble testing), the TCD procedure necessitates specialised sonographic acquisition and interpretation. This is typically more </w:t>
      </w:r>
      <w:r w:rsidRPr="00FC022A">
        <w:lastRenderedPageBreak/>
        <w:t xml:space="preserve">technically complex than the </w:t>
      </w:r>
      <w:r w:rsidR="008F3C5D">
        <w:t xml:space="preserve">blood pressure and </w:t>
      </w:r>
      <w:r w:rsidRPr="00FC022A">
        <w:t xml:space="preserve">electrocardiographic </w:t>
      </w:r>
      <w:r w:rsidR="008F3C5D">
        <w:t xml:space="preserve">(ECG) </w:t>
      </w:r>
      <w:r w:rsidRPr="00FC022A">
        <w:t xml:space="preserve">monitoring and interpretation required for </w:t>
      </w:r>
      <w:r w:rsidR="00561B3E">
        <w:t xml:space="preserve">MBS </w:t>
      </w:r>
      <w:r w:rsidRPr="00FC022A">
        <w:t>item 11724 and may justify a relatively higher weighting of procedural complexity despite the shorter duration.</w:t>
      </w:r>
    </w:p>
    <w:p w14:paraId="3A8A2301" w14:textId="121C781A" w:rsidR="0062745C" w:rsidRDefault="0062745C" w:rsidP="0062745C">
      <w:pPr>
        <w:pStyle w:val="Heading3"/>
      </w:pPr>
      <w:r>
        <w:t>Proposed descriptor</w:t>
      </w:r>
    </w:p>
    <w:p w14:paraId="21AE8AF1" w14:textId="3E360C7E" w:rsidR="00A6346D" w:rsidRDefault="00A6346D" w:rsidP="00A6346D">
      <w:r>
        <w:t xml:space="preserve">The proposed descriptor specifies that the service be performed by an accredited sonographer, within an accredited practice, using a registered TCD or TCCD system, with the presence of an attending medical practitioner or appropriately trained health professional. This </w:t>
      </w:r>
      <w:r w:rsidR="00F33795">
        <w:t>specification is consistent</w:t>
      </w:r>
      <w:r>
        <w:t xml:space="preserve"> with governance </w:t>
      </w:r>
      <w:r w:rsidR="00F33795">
        <w:t xml:space="preserve">and quality </w:t>
      </w:r>
      <w:r>
        <w:t>standards applied to diagnostic imaging services.</w:t>
      </w:r>
    </w:p>
    <w:p w14:paraId="5C7B0725" w14:textId="68DAD972" w:rsidR="00A6346D" w:rsidRDefault="00F33795" w:rsidP="00A6346D">
      <w:r>
        <w:t>However, t</w:t>
      </w:r>
      <w:r w:rsidR="00A82CC1">
        <w:t>he</w:t>
      </w:r>
      <w:r w:rsidR="00A6346D">
        <w:t xml:space="preserve"> </w:t>
      </w:r>
      <w:r w:rsidR="0000568F">
        <w:t>proposed descriptor</w:t>
      </w:r>
      <w:r w:rsidR="00A6346D">
        <w:t xml:space="preserve"> wording</w:t>
      </w:r>
      <w:r w:rsidR="0000568F">
        <w:t xml:space="preserve"> – </w:t>
      </w:r>
      <w:r w:rsidR="00A6346D">
        <w:t xml:space="preserve">“bubble study for detection of patent foramen </w:t>
      </w:r>
      <w:proofErr w:type="spellStart"/>
      <w:r w:rsidR="00A6346D">
        <w:t>ovale</w:t>
      </w:r>
      <w:proofErr w:type="spellEnd"/>
      <w:r w:rsidR="00A6346D">
        <w:t xml:space="preserve"> in a patient with previous ischaemic stroke”</w:t>
      </w:r>
      <w:r w:rsidR="0000568F">
        <w:t xml:space="preserve"> – </w:t>
      </w:r>
      <w:r w:rsidR="00A6346D">
        <w:t xml:space="preserve">is relatively broad and may allow use beyond the intended role </w:t>
      </w:r>
      <w:r w:rsidR="000A2853">
        <w:t xml:space="preserve">of the test </w:t>
      </w:r>
      <w:r w:rsidR="00A6346D">
        <w:t xml:space="preserve">in initial diagnostic evaluation. In particular, it </w:t>
      </w:r>
      <w:r w:rsidR="000A2853">
        <w:t>could</w:t>
      </w:r>
      <w:r w:rsidR="00A6346D">
        <w:t xml:space="preserve"> permit use </w:t>
      </w:r>
      <w:r w:rsidR="000A2853">
        <w:t>in the</w:t>
      </w:r>
      <w:r w:rsidR="00A6346D">
        <w:t xml:space="preserve"> assessment of residual shunt following PFO closure, which is not the </w:t>
      </w:r>
      <w:r w:rsidR="00A3081D">
        <w:t>intended purpose</w:t>
      </w:r>
      <w:r w:rsidR="00A6346D">
        <w:t xml:space="preserve"> of the application.</w:t>
      </w:r>
    </w:p>
    <w:p w14:paraId="76CDF2E6" w14:textId="4C343EFD" w:rsidR="00A6346D" w:rsidRDefault="006C6FE4" w:rsidP="00A6346D">
      <w:r>
        <w:t>Further</w:t>
      </w:r>
      <w:r w:rsidR="00A6346D">
        <w:t xml:space="preserve">, the descriptor does not explicitly </w:t>
      </w:r>
      <w:r>
        <w:t>limit</w:t>
      </w:r>
      <w:r w:rsidR="00A6346D">
        <w:t xml:space="preserve"> use to patients with cryptogenic stroke </w:t>
      </w:r>
      <w:r>
        <w:t xml:space="preserve">who are </w:t>
      </w:r>
      <w:r w:rsidR="00A6346D">
        <w:t xml:space="preserve">undergoing evaluation for suspected PFO. </w:t>
      </w:r>
      <w:r w:rsidR="003A66A2">
        <w:t>Closer alignment of</w:t>
      </w:r>
      <w:r w:rsidR="00A6346D">
        <w:t xml:space="preserve"> the descriptor with this </w:t>
      </w:r>
      <w:r w:rsidR="00B4775C">
        <w:t xml:space="preserve">target </w:t>
      </w:r>
      <w:r w:rsidR="00A6346D">
        <w:t>population may improve clarity</w:t>
      </w:r>
      <w:r w:rsidR="00B4775C">
        <w:t>, ensure</w:t>
      </w:r>
      <w:r w:rsidR="00A6346D">
        <w:t xml:space="preserve"> consistency with the </w:t>
      </w:r>
      <w:r w:rsidR="00C23469">
        <w:t xml:space="preserve">relevant </w:t>
      </w:r>
      <w:r w:rsidR="00B4775C">
        <w:t xml:space="preserve">clinical </w:t>
      </w:r>
      <w:r w:rsidR="00A6346D">
        <w:t>evidence, and reduce the risk of use outside the intended clinical context.</w:t>
      </w:r>
    </w:p>
    <w:p w14:paraId="4F8AC905" w14:textId="305211A5" w:rsidR="00753545" w:rsidRPr="008C179C" w:rsidRDefault="00E87B65" w:rsidP="00A6346D">
      <w:r w:rsidRPr="008C179C">
        <w:t>An alternative</w:t>
      </w:r>
      <w:r w:rsidR="0030275C" w:rsidRPr="008C179C">
        <w:t xml:space="preserve"> version of the </w:t>
      </w:r>
      <w:r w:rsidR="00D475BC" w:rsidRPr="008C179C">
        <w:t xml:space="preserve">item </w:t>
      </w:r>
      <w:r w:rsidR="00FB6299" w:rsidRPr="008C179C">
        <w:t>descriptor</w:t>
      </w:r>
      <w:r w:rsidR="00D475BC" w:rsidRPr="008C179C">
        <w:t xml:space="preserve"> and fee</w:t>
      </w:r>
      <w:r w:rsidR="00FB6299" w:rsidRPr="008C179C">
        <w:t xml:space="preserve">, </w:t>
      </w:r>
      <w:r w:rsidR="003F1E2C" w:rsidRPr="008C179C">
        <w:t>incorporating advi</w:t>
      </w:r>
      <w:r w:rsidR="00275F29" w:rsidRPr="008C179C">
        <w:t>c</w:t>
      </w:r>
      <w:r w:rsidR="003F1E2C" w:rsidRPr="008C179C">
        <w:t>e from the</w:t>
      </w:r>
      <w:r w:rsidR="00FB6299" w:rsidRPr="008C179C">
        <w:t xml:space="preserve"> department</w:t>
      </w:r>
      <w:r w:rsidR="003F1E2C" w:rsidRPr="008C179C">
        <w:t>,</w:t>
      </w:r>
      <w:r w:rsidR="00FB6299" w:rsidRPr="008C179C">
        <w:t xml:space="preserve"> is shown in </w:t>
      </w:r>
      <w:r w:rsidR="00FB6299" w:rsidRPr="008C179C">
        <w:fldChar w:fldCharType="begin"/>
      </w:r>
      <w:r w:rsidR="00FB6299" w:rsidRPr="008C179C">
        <w:instrText xml:space="preserve"> REF _Ref232525245 \h </w:instrText>
      </w:r>
      <w:r w:rsidR="00D25B95" w:rsidRPr="008C179C">
        <w:instrText xml:space="preserve"> \* MERGEFORMAT </w:instrText>
      </w:r>
      <w:r w:rsidR="00FB6299" w:rsidRPr="008C179C">
        <w:fldChar w:fldCharType="separate"/>
      </w:r>
      <w:r w:rsidR="00FB6299" w:rsidRPr="008C179C">
        <w:t xml:space="preserve">Box </w:t>
      </w:r>
      <w:r w:rsidR="00FB6299" w:rsidRPr="008C179C">
        <w:rPr>
          <w:noProof/>
        </w:rPr>
        <w:t>5</w:t>
      </w:r>
      <w:r w:rsidR="00FB6299" w:rsidRPr="008C179C">
        <w:fldChar w:fldCharType="end"/>
      </w:r>
      <w:r w:rsidRPr="008C179C">
        <w:t>.</w:t>
      </w:r>
      <w:r w:rsidR="00786129" w:rsidRPr="008C179C">
        <w:t xml:space="preserve"> </w:t>
      </w:r>
      <w:r w:rsidR="00F56128" w:rsidRPr="008C179C">
        <w:t>Notably, th</w:t>
      </w:r>
      <w:r w:rsidR="003D54C1" w:rsidRPr="008C179C">
        <w:t xml:space="preserve">e proposed wording </w:t>
      </w:r>
      <w:r w:rsidR="00F56128" w:rsidRPr="008C179C">
        <w:t>is intentionally non-restrictive, allowing use at any appropriate point within</w:t>
      </w:r>
      <w:r w:rsidR="00EC453B" w:rsidRPr="008C179C">
        <w:t xml:space="preserve"> the diagnostic pathway.</w:t>
      </w:r>
    </w:p>
    <w:p w14:paraId="034E84F9" w14:textId="2E5986CD" w:rsidR="0030275C" w:rsidRPr="008C179C" w:rsidRDefault="0030275C" w:rsidP="0030275C">
      <w:pPr>
        <w:pStyle w:val="Caption"/>
      </w:pPr>
      <w:bookmarkStart w:id="16" w:name="_Ref232525245"/>
      <w:r w:rsidRPr="008C179C">
        <w:t xml:space="preserve">Box </w:t>
      </w:r>
      <w:r w:rsidRPr="008C179C">
        <w:fldChar w:fldCharType="begin"/>
      </w:r>
      <w:r w:rsidRPr="008C179C">
        <w:instrText xml:space="preserve"> SEQ Box \* ARABIC </w:instrText>
      </w:r>
      <w:r w:rsidRPr="008C179C">
        <w:fldChar w:fldCharType="separate"/>
      </w:r>
      <w:r w:rsidRPr="008C179C">
        <w:rPr>
          <w:noProof/>
        </w:rPr>
        <w:t>5</w:t>
      </w:r>
      <w:r w:rsidRPr="008C179C">
        <w:fldChar w:fldCharType="end"/>
      </w:r>
      <w:bookmarkEnd w:id="16"/>
      <w:r w:rsidRPr="008C179C">
        <w:tab/>
      </w:r>
      <w:r w:rsidR="002C6D75" w:rsidRPr="008C179C">
        <w:t>Alternative descriptor and fee for the n</w:t>
      </w:r>
      <w:r w:rsidRPr="008C179C">
        <w:t>ew MBS item</w:t>
      </w:r>
      <w:r w:rsidR="002C6D75" w:rsidRPr="008C179C">
        <w:t>,</w:t>
      </w:r>
      <w:r w:rsidR="00794DDA" w:rsidRPr="008C179C">
        <w:t xml:space="preserve"> proposed by the </w:t>
      </w:r>
      <w:r w:rsidR="00D475BC" w:rsidRPr="008C179C">
        <w:t>department</w:t>
      </w:r>
      <w:r w:rsidR="003351B4">
        <w:t xml:space="preserve"> and supported</w:t>
      </w:r>
      <w:r w:rsidR="000A398A">
        <w:t xml:space="preserve"> by PASC</w:t>
      </w:r>
    </w:p>
    <w:tbl>
      <w:tblPr>
        <w:tblStyle w:val="TableGrid"/>
        <w:tblW w:w="5000" w:type="pct"/>
        <w:tblInd w:w="0" w:type="dxa"/>
        <w:tblLook w:val="04A0" w:firstRow="1" w:lastRow="0" w:firstColumn="1" w:lastColumn="0" w:noHBand="0" w:noVBand="1"/>
        <w:tblCaption w:val="Alternative category, descriptor and fee for the new MBS item, proposed by the assessment group and department"/>
        <w:tblDescription w:val="Box presents an amended descriptor and fee."/>
      </w:tblPr>
      <w:tblGrid>
        <w:gridCol w:w="9571"/>
      </w:tblGrid>
      <w:tr w:rsidR="0030275C" w:rsidRPr="00FB16B1" w14:paraId="768DEA7C" w14:textId="77777777" w:rsidTr="009A612D">
        <w:trPr>
          <w:cantSplit/>
          <w:tblHeader/>
        </w:trPr>
        <w:tc>
          <w:tcPr>
            <w:tcW w:w="5000" w:type="pct"/>
            <w:tcBorders>
              <w:top w:val="single" w:sz="4" w:space="0" w:color="auto"/>
              <w:left w:val="single" w:sz="4" w:space="0" w:color="auto"/>
              <w:bottom w:val="single" w:sz="4" w:space="0" w:color="auto"/>
              <w:right w:val="single" w:sz="4" w:space="0" w:color="auto"/>
            </w:tcBorders>
            <w:hideMark/>
          </w:tcPr>
          <w:p w14:paraId="765002F2" w14:textId="39C9AB40" w:rsidR="0030275C" w:rsidRPr="008C179C" w:rsidRDefault="0030275C" w:rsidP="009A612D">
            <w:pPr>
              <w:spacing w:before="40" w:after="40" w:line="240" w:lineRule="auto"/>
            </w:pPr>
            <w:r w:rsidRPr="008C179C">
              <w:rPr>
                <w:rFonts w:ascii="Arial Narrow" w:hAnsi="Arial Narrow"/>
                <w:sz w:val="20"/>
                <w:szCs w:val="20"/>
              </w:rPr>
              <w:t xml:space="preserve">Category </w:t>
            </w:r>
            <w:r w:rsidR="00CE0B35" w:rsidRPr="008C179C">
              <w:rPr>
                <w:szCs w:val="20"/>
              </w:rPr>
              <w:t>2</w:t>
            </w:r>
            <w:r w:rsidR="00CE0B35" w:rsidRPr="008C179C">
              <w:t xml:space="preserve"> </w:t>
            </w:r>
            <w:r w:rsidRPr="008C179C">
              <w:t xml:space="preserve">– DIAGNOSTIC </w:t>
            </w:r>
            <w:r w:rsidR="004155CE">
              <w:t>PROCEDURES AND INVESTIGATIONS</w:t>
            </w:r>
          </w:p>
        </w:tc>
      </w:tr>
      <w:tr w:rsidR="0030275C" w:rsidRPr="00FB16B1" w14:paraId="4E8E695D" w14:textId="77777777" w:rsidTr="009A612D">
        <w:trPr>
          <w:cantSplit/>
          <w:tblHeader/>
        </w:trPr>
        <w:tc>
          <w:tcPr>
            <w:tcW w:w="5000" w:type="pct"/>
            <w:tcBorders>
              <w:top w:val="single" w:sz="4" w:space="0" w:color="auto"/>
              <w:left w:val="single" w:sz="4" w:space="0" w:color="auto"/>
              <w:bottom w:val="single" w:sz="4" w:space="0" w:color="auto"/>
              <w:right w:val="single" w:sz="4" w:space="0" w:color="auto"/>
            </w:tcBorders>
          </w:tcPr>
          <w:p w14:paraId="3D698F75" w14:textId="77777777" w:rsidR="0030275C" w:rsidRPr="008C179C" w:rsidRDefault="0030275C" w:rsidP="009A612D">
            <w:pPr>
              <w:spacing w:before="120" w:after="120" w:line="240" w:lineRule="auto"/>
              <w:rPr>
                <w:rFonts w:ascii="Arial Narrow" w:hAnsi="Arial Narrow"/>
                <w:sz w:val="20"/>
                <w:szCs w:val="20"/>
              </w:rPr>
            </w:pPr>
            <w:r w:rsidRPr="008C179C">
              <w:rPr>
                <w:rFonts w:ascii="Arial Narrow" w:hAnsi="Arial Narrow"/>
                <w:sz w:val="20"/>
                <w:szCs w:val="20"/>
              </w:rPr>
              <w:t>MBS item XXXXX</w:t>
            </w:r>
          </w:p>
          <w:p w14:paraId="15B15173" w14:textId="5E4E56E3" w:rsidR="0030275C" w:rsidRPr="008C179C" w:rsidRDefault="00844679" w:rsidP="00ED72D2">
            <w:pPr>
              <w:spacing w:before="120" w:after="120" w:line="240" w:lineRule="auto"/>
              <w:rPr>
                <w:rFonts w:ascii="Arial Narrow" w:hAnsi="Arial Narrow"/>
                <w:sz w:val="20"/>
                <w:szCs w:val="20"/>
              </w:rPr>
            </w:pPr>
            <w:r w:rsidRPr="008C179C">
              <w:rPr>
                <w:rFonts w:ascii="Arial Narrow" w:hAnsi="Arial Narrow"/>
                <w:sz w:val="20"/>
                <w:szCs w:val="20"/>
              </w:rPr>
              <w:t>Transcranial Doppler or transcranial colou</w:t>
            </w:r>
            <w:r w:rsidR="007D7B0A" w:rsidRPr="008C179C">
              <w:rPr>
                <w:rFonts w:ascii="Arial Narrow" w:hAnsi="Arial Narrow"/>
                <w:sz w:val="20"/>
                <w:szCs w:val="20"/>
              </w:rPr>
              <w:t>r-</w:t>
            </w:r>
            <w:r w:rsidRPr="008C179C">
              <w:rPr>
                <w:rFonts w:ascii="Arial Narrow" w:hAnsi="Arial Narrow"/>
                <w:sz w:val="20"/>
                <w:szCs w:val="20"/>
              </w:rPr>
              <w:t xml:space="preserve">coded duplex study of the intracranial circulation, including agitated saline contrast </w:t>
            </w:r>
            <w:r w:rsidR="00E077F1" w:rsidRPr="008C179C">
              <w:rPr>
                <w:rFonts w:ascii="Arial Narrow" w:hAnsi="Arial Narrow"/>
                <w:sz w:val="20"/>
                <w:szCs w:val="20"/>
              </w:rPr>
              <w:t>and</w:t>
            </w:r>
            <w:r w:rsidR="00442AE7" w:rsidRPr="008C179C">
              <w:rPr>
                <w:rFonts w:ascii="Arial Narrow" w:hAnsi="Arial Narrow"/>
                <w:sz w:val="20"/>
                <w:szCs w:val="20"/>
              </w:rPr>
              <w:t xml:space="preserve"> </w:t>
            </w:r>
            <w:r w:rsidRPr="008C179C">
              <w:rPr>
                <w:rFonts w:ascii="Arial Narrow" w:hAnsi="Arial Narrow"/>
                <w:sz w:val="20"/>
                <w:szCs w:val="20"/>
              </w:rPr>
              <w:t>provocative manoeuvres, for detection of righ</w:t>
            </w:r>
            <w:r w:rsidR="007D7B0A" w:rsidRPr="008C179C">
              <w:rPr>
                <w:rFonts w:ascii="Arial Narrow" w:hAnsi="Arial Narrow"/>
                <w:sz w:val="20"/>
                <w:szCs w:val="20"/>
              </w:rPr>
              <w:t>t-</w:t>
            </w:r>
            <w:r w:rsidRPr="008C179C">
              <w:rPr>
                <w:rFonts w:ascii="Arial Narrow" w:hAnsi="Arial Narrow"/>
                <w:sz w:val="20"/>
                <w:szCs w:val="20"/>
              </w:rPr>
              <w:t>t</w:t>
            </w:r>
            <w:r w:rsidR="007D7B0A" w:rsidRPr="008C179C">
              <w:rPr>
                <w:rFonts w:ascii="Arial Narrow" w:hAnsi="Arial Narrow"/>
                <w:sz w:val="20"/>
                <w:szCs w:val="20"/>
              </w:rPr>
              <w:t>o-</w:t>
            </w:r>
            <w:r w:rsidRPr="008C179C">
              <w:rPr>
                <w:rFonts w:ascii="Arial Narrow" w:hAnsi="Arial Narrow"/>
                <w:sz w:val="20"/>
                <w:szCs w:val="20"/>
              </w:rPr>
              <w:t>left shunt</w:t>
            </w:r>
            <w:r w:rsidR="00EA5F0C">
              <w:rPr>
                <w:rFonts w:ascii="Arial Narrow" w:hAnsi="Arial Narrow"/>
                <w:sz w:val="20"/>
                <w:szCs w:val="20"/>
              </w:rPr>
              <w:t xml:space="preserve"> consistent with patent foramen </w:t>
            </w:r>
            <w:proofErr w:type="spellStart"/>
            <w:r w:rsidR="00EA5F0C">
              <w:rPr>
                <w:rFonts w:ascii="Arial Narrow" w:hAnsi="Arial Narrow"/>
                <w:sz w:val="20"/>
                <w:szCs w:val="20"/>
              </w:rPr>
              <w:t>ovale</w:t>
            </w:r>
            <w:proofErr w:type="spellEnd"/>
            <w:r w:rsidRPr="008C179C">
              <w:rPr>
                <w:rFonts w:ascii="Arial Narrow" w:hAnsi="Arial Narrow"/>
                <w:sz w:val="20"/>
                <w:szCs w:val="20"/>
              </w:rPr>
              <w:t xml:space="preserve"> </w:t>
            </w:r>
            <w:r w:rsidR="00B17045" w:rsidRPr="008C179C">
              <w:rPr>
                <w:rFonts w:ascii="Arial Narrow" w:hAnsi="Arial Narrow"/>
                <w:sz w:val="20"/>
                <w:szCs w:val="20"/>
              </w:rPr>
              <w:t>in</w:t>
            </w:r>
            <w:r w:rsidR="00086B10" w:rsidRPr="008C179C">
              <w:rPr>
                <w:rFonts w:ascii="Arial Narrow" w:hAnsi="Arial Narrow"/>
                <w:sz w:val="20"/>
                <w:szCs w:val="20"/>
              </w:rPr>
              <w:t xml:space="preserve"> a </w:t>
            </w:r>
            <w:r w:rsidRPr="008C179C">
              <w:rPr>
                <w:rFonts w:ascii="Arial Narrow" w:hAnsi="Arial Narrow"/>
                <w:sz w:val="20"/>
                <w:szCs w:val="20"/>
              </w:rPr>
              <w:t>patient with prior cryptogenic ischaemic stroke or embolic stroke of undetermined source, performed by, or on behalf of, a medical practitioner.</w:t>
            </w:r>
          </w:p>
        </w:tc>
      </w:tr>
      <w:tr w:rsidR="0030275C" w:rsidRPr="00FB16B1" w14:paraId="19585BC7" w14:textId="77777777" w:rsidTr="009A612D">
        <w:trPr>
          <w:cantSplit/>
          <w:tblHeader/>
        </w:trPr>
        <w:tc>
          <w:tcPr>
            <w:tcW w:w="5000" w:type="pct"/>
            <w:tcBorders>
              <w:top w:val="single" w:sz="4" w:space="0" w:color="auto"/>
              <w:left w:val="single" w:sz="4" w:space="0" w:color="auto"/>
              <w:bottom w:val="single" w:sz="4" w:space="0" w:color="auto"/>
              <w:right w:val="single" w:sz="4" w:space="0" w:color="auto"/>
            </w:tcBorders>
            <w:vAlign w:val="center"/>
          </w:tcPr>
          <w:p w14:paraId="486D04A7" w14:textId="32BF9889" w:rsidR="0030275C" w:rsidRPr="00FB16B1" w:rsidRDefault="0030275C" w:rsidP="009A612D">
            <w:pPr>
              <w:spacing w:before="40" w:after="40" w:line="240" w:lineRule="auto"/>
              <w:rPr>
                <w:rFonts w:ascii="Arial Narrow" w:hAnsi="Arial Narrow"/>
                <w:sz w:val="20"/>
                <w:szCs w:val="20"/>
              </w:rPr>
            </w:pPr>
            <w:r w:rsidRPr="008C179C">
              <w:rPr>
                <w:rFonts w:ascii="Arial Narrow" w:hAnsi="Arial Narrow"/>
                <w:b/>
                <w:bCs/>
                <w:sz w:val="20"/>
                <w:szCs w:val="20"/>
              </w:rPr>
              <w:t>Fee:</w:t>
            </w:r>
            <w:r w:rsidRPr="008C179C">
              <w:rPr>
                <w:rFonts w:ascii="Arial Narrow" w:hAnsi="Arial Narrow"/>
                <w:sz w:val="20"/>
                <w:szCs w:val="20"/>
              </w:rPr>
              <w:t xml:space="preserve"> $</w:t>
            </w:r>
            <w:r w:rsidR="0004070B">
              <w:rPr>
                <w:rFonts w:ascii="Arial Narrow" w:hAnsi="Arial Narrow"/>
                <w:sz w:val="20"/>
                <w:szCs w:val="20"/>
              </w:rPr>
              <w:t>202.05</w:t>
            </w:r>
            <w:r w:rsidRPr="008C179C">
              <w:rPr>
                <w:rFonts w:ascii="Arial Narrow" w:hAnsi="Arial Narrow"/>
                <w:sz w:val="20"/>
                <w:szCs w:val="20"/>
              </w:rPr>
              <w:t xml:space="preserve"> </w:t>
            </w:r>
            <w:r w:rsidRPr="008C179C">
              <w:rPr>
                <w:rFonts w:ascii="Arial Narrow" w:hAnsi="Arial Narrow"/>
                <w:b/>
                <w:bCs/>
                <w:sz w:val="20"/>
                <w:szCs w:val="20"/>
              </w:rPr>
              <w:t>Benefit:</w:t>
            </w:r>
            <w:r w:rsidRPr="008C179C">
              <w:rPr>
                <w:rFonts w:ascii="Arial Narrow" w:hAnsi="Arial Narrow"/>
                <w:sz w:val="20"/>
                <w:szCs w:val="20"/>
              </w:rPr>
              <w:t xml:space="preserve"> 75% = $</w:t>
            </w:r>
            <w:r w:rsidR="0004070B">
              <w:rPr>
                <w:rFonts w:ascii="Arial Narrow" w:hAnsi="Arial Narrow"/>
                <w:sz w:val="20"/>
                <w:szCs w:val="20"/>
              </w:rPr>
              <w:t>151.55</w:t>
            </w:r>
            <w:r w:rsidRPr="008C179C">
              <w:rPr>
                <w:rFonts w:ascii="Arial Narrow" w:hAnsi="Arial Narrow"/>
                <w:sz w:val="20"/>
                <w:szCs w:val="20"/>
              </w:rPr>
              <w:t xml:space="preserve"> 85% = $</w:t>
            </w:r>
            <w:r w:rsidR="0004070B">
              <w:rPr>
                <w:rFonts w:ascii="Arial Narrow" w:hAnsi="Arial Narrow"/>
                <w:sz w:val="20"/>
                <w:szCs w:val="20"/>
              </w:rPr>
              <w:t>171.75</w:t>
            </w:r>
          </w:p>
        </w:tc>
      </w:tr>
    </w:tbl>
    <w:p w14:paraId="3C863290" w14:textId="549E74A7" w:rsidR="0030275C" w:rsidRPr="00FB16B1" w:rsidRDefault="00105586" w:rsidP="00105586">
      <w:pPr>
        <w:pStyle w:val="Tablenotes"/>
        <w:spacing w:after="360"/>
      </w:pPr>
      <w:r w:rsidRPr="008C179C">
        <w:t xml:space="preserve">Proposed fee is benchmarked against MBS item 11724 </w:t>
      </w:r>
      <w:r w:rsidR="0075006D">
        <w:t>(</w:t>
      </w:r>
      <w:r w:rsidR="008855AF">
        <w:t xml:space="preserve">fee </w:t>
      </w:r>
      <w:r w:rsidR="00FD14F0">
        <w:t xml:space="preserve">at </w:t>
      </w:r>
      <w:r w:rsidR="0075006D">
        <w:t xml:space="preserve"> 01 July 2026) </w:t>
      </w:r>
      <w:r w:rsidRPr="008C179C">
        <w:t>for up-right tilt table testing for the investigation of syncope of suspected cardiothoracic origin. Both services involve intravenous administration of a substance.</w:t>
      </w:r>
    </w:p>
    <w:p w14:paraId="35943D74" w14:textId="63C20B7F" w:rsidR="00662A96" w:rsidRDefault="00662A96" w:rsidP="00A6346D">
      <w:r w:rsidRPr="008C179C">
        <w:t>From a utilisation perspective, the test is expected to be performed once per diagnostic episode. Consideration could be given to restricting frequency of use (e.g. once per patient, with allowances for repeat testing where clinically indicated), recognising that most patients require only a single test to establish the presence or absence of a right-to-left shunt, while maintaining flexibility for inconclusive studies or selected follow-up scenarios.</w:t>
      </w:r>
    </w:p>
    <w:p w14:paraId="5E30C6DE" w14:textId="77777777" w:rsidR="00F265F9" w:rsidRDefault="00F265F9" w:rsidP="002031E1">
      <w:pPr>
        <w:autoSpaceDE w:val="0"/>
        <w:autoSpaceDN w:val="0"/>
        <w:adjustRightInd w:val="0"/>
        <w:rPr>
          <w:rFonts w:asciiTheme="minorHAnsi" w:hAnsiTheme="minorHAnsi" w:cstheme="minorHAnsi"/>
          <w:i/>
          <w:iCs/>
        </w:rPr>
      </w:pPr>
      <w:r w:rsidRPr="000106D4">
        <w:rPr>
          <w:rFonts w:asciiTheme="minorHAnsi" w:hAnsiTheme="minorHAnsi" w:cstheme="minorHAnsi"/>
          <w:i/>
          <w:iCs/>
        </w:rPr>
        <w:t xml:space="preserve">PASC considered whether separate MBS items would be needed for bubble testing </w:t>
      </w:r>
      <w:r>
        <w:rPr>
          <w:rFonts w:asciiTheme="minorHAnsi" w:hAnsiTheme="minorHAnsi" w:cstheme="minorHAnsi"/>
          <w:i/>
          <w:iCs/>
        </w:rPr>
        <w:t xml:space="preserve">performed using TCD or </w:t>
      </w:r>
      <w:r w:rsidRPr="000106D4">
        <w:rPr>
          <w:rFonts w:asciiTheme="minorHAnsi" w:hAnsiTheme="minorHAnsi" w:cstheme="minorHAnsi"/>
          <w:i/>
          <w:iCs/>
        </w:rPr>
        <w:t xml:space="preserve">TCCD </w:t>
      </w:r>
      <w:r>
        <w:rPr>
          <w:rFonts w:asciiTheme="minorHAnsi" w:hAnsiTheme="minorHAnsi" w:cstheme="minorHAnsi"/>
          <w:i/>
          <w:iCs/>
        </w:rPr>
        <w:t>systems</w:t>
      </w:r>
      <w:r w:rsidRPr="000106D4">
        <w:rPr>
          <w:i/>
          <w:iCs/>
        </w:rPr>
        <w:t xml:space="preserve">. </w:t>
      </w:r>
      <w:r w:rsidRPr="000106D4">
        <w:rPr>
          <w:rFonts w:asciiTheme="minorHAnsi" w:hAnsiTheme="minorHAnsi" w:cstheme="minorHAnsi"/>
          <w:i/>
          <w:iCs/>
        </w:rPr>
        <w:t>PASC noted that the existing MBS items are not indicatio</w:t>
      </w:r>
      <w:r>
        <w:rPr>
          <w:rFonts w:asciiTheme="minorHAnsi" w:hAnsiTheme="minorHAnsi" w:cstheme="minorHAnsi"/>
          <w:i/>
          <w:iCs/>
        </w:rPr>
        <w:t>n-</w:t>
      </w:r>
      <w:r w:rsidRPr="000106D4">
        <w:rPr>
          <w:rFonts w:asciiTheme="minorHAnsi" w:hAnsiTheme="minorHAnsi" w:cstheme="minorHAnsi"/>
          <w:i/>
          <w:iCs/>
        </w:rPr>
        <w:t>specific and do not incorporate the bubble testing component of the service. PASC further noted that MBS item 11614, used for TCD</w:t>
      </w:r>
      <w:r>
        <w:rPr>
          <w:rFonts w:asciiTheme="minorHAnsi" w:hAnsiTheme="minorHAnsi" w:cstheme="minorHAnsi"/>
          <w:i/>
          <w:iCs/>
        </w:rPr>
        <w:t xml:space="preserve"> systems</w:t>
      </w:r>
      <w:r w:rsidRPr="000106D4">
        <w:rPr>
          <w:rFonts w:asciiTheme="minorHAnsi" w:hAnsiTheme="minorHAnsi" w:cstheme="minorHAnsi"/>
          <w:i/>
          <w:iCs/>
        </w:rPr>
        <w:t>, is classified as a diagnostic procedure and investigation under Category 2, whereas MBS item 55280, used for TCCD</w:t>
      </w:r>
      <w:r>
        <w:rPr>
          <w:rFonts w:asciiTheme="minorHAnsi" w:hAnsiTheme="minorHAnsi" w:cstheme="minorHAnsi"/>
          <w:i/>
          <w:iCs/>
        </w:rPr>
        <w:t xml:space="preserve"> systems</w:t>
      </w:r>
      <w:r w:rsidRPr="000106D4">
        <w:rPr>
          <w:rFonts w:asciiTheme="minorHAnsi" w:hAnsiTheme="minorHAnsi" w:cstheme="minorHAnsi"/>
          <w:i/>
          <w:iCs/>
        </w:rPr>
        <w:t xml:space="preserve">, is classified as a diagnostic imaging service and is subject to accreditation, </w:t>
      </w:r>
      <w:r w:rsidRPr="000106D4">
        <w:rPr>
          <w:rFonts w:asciiTheme="minorHAnsi" w:hAnsiTheme="minorHAnsi" w:cstheme="minorHAnsi"/>
          <w:i/>
          <w:iCs/>
        </w:rPr>
        <w:lastRenderedPageBreak/>
        <w:t>workforce and service delivery requirements, including compliance with DIAS, and attracts a higher schedule fee</w:t>
      </w:r>
      <w:r>
        <w:rPr>
          <w:rFonts w:asciiTheme="minorHAnsi" w:hAnsiTheme="minorHAnsi" w:cstheme="minorHAnsi"/>
          <w:i/>
          <w:iCs/>
        </w:rPr>
        <w:t>.</w:t>
      </w:r>
    </w:p>
    <w:p w14:paraId="104A1CFA" w14:textId="77777777" w:rsidR="00F265F9" w:rsidRDefault="00F265F9" w:rsidP="002031E1">
      <w:pPr>
        <w:autoSpaceDE w:val="0"/>
        <w:autoSpaceDN w:val="0"/>
        <w:adjustRightInd w:val="0"/>
        <w:rPr>
          <w:rFonts w:asciiTheme="minorHAnsi" w:hAnsiTheme="minorHAnsi" w:cstheme="minorHAnsi"/>
          <w:i/>
          <w:iCs/>
        </w:rPr>
      </w:pPr>
      <w:r w:rsidRPr="000106D4">
        <w:rPr>
          <w:rFonts w:asciiTheme="minorHAnsi" w:hAnsiTheme="minorHAnsi" w:cstheme="minorHAnsi"/>
          <w:i/>
          <w:iCs/>
        </w:rPr>
        <w:t>PASC noted the applicant</w:t>
      </w:r>
      <w:r>
        <w:rPr>
          <w:rFonts w:asciiTheme="minorHAnsi" w:hAnsiTheme="minorHAnsi" w:cstheme="minorHAnsi"/>
          <w:i/>
          <w:iCs/>
        </w:rPr>
        <w:t>’</w:t>
      </w:r>
      <w:r w:rsidRPr="000106D4">
        <w:rPr>
          <w:rFonts w:asciiTheme="minorHAnsi" w:hAnsiTheme="minorHAnsi" w:cstheme="minorHAnsi"/>
          <w:i/>
          <w:iCs/>
        </w:rPr>
        <w:t>s advice that TCD and TCCD bubble testing have similar diagnostic performance for the detection of righ</w:t>
      </w:r>
      <w:r>
        <w:rPr>
          <w:rFonts w:asciiTheme="minorHAnsi" w:hAnsiTheme="minorHAnsi" w:cstheme="minorHAnsi"/>
          <w:i/>
          <w:iCs/>
        </w:rPr>
        <w:t>t-</w:t>
      </w:r>
      <w:r w:rsidRPr="000106D4">
        <w:rPr>
          <w:rFonts w:asciiTheme="minorHAnsi" w:hAnsiTheme="minorHAnsi" w:cstheme="minorHAnsi"/>
          <w:i/>
          <w:iCs/>
        </w:rPr>
        <w:t>t</w:t>
      </w:r>
      <w:r>
        <w:rPr>
          <w:rFonts w:asciiTheme="minorHAnsi" w:hAnsiTheme="minorHAnsi" w:cstheme="minorHAnsi"/>
          <w:i/>
          <w:iCs/>
        </w:rPr>
        <w:t>o-</w:t>
      </w:r>
      <w:r w:rsidRPr="000106D4">
        <w:rPr>
          <w:rFonts w:asciiTheme="minorHAnsi" w:hAnsiTheme="minorHAnsi" w:cstheme="minorHAnsi"/>
          <w:i/>
          <w:iCs/>
        </w:rPr>
        <w:t>left shunts</w:t>
      </w:r>
      <w:r>
        <w:rPr>
          <w:rFonts w:asciiTheme="minorHAnsi" w:hAnsiTheme="minorHAnsi" w:cstheme="minorHAnsi"/>
          <w:i/>
          <w:iCs/>
        </w:rPr>
        <w:t>, and that use of either modality would be expected to reflect local resource availability and service configurations rather than differences in clinical effectiveness</w:t>
      </w:r>
      <w:r w:rsidRPr="000106D4">
        <w:rPr>
          <w:rFonts w:asciiTheme="minorHAnsi" w:hAnsiTheme="minorHAnsi" w:cstheme="minorHAnsi"/>
          <w:i/>
          <w:iCs/>
        </w:rPr>
        <w:t>. PASC further noted that TCD bubble testing is currently being provided in DIA</w:t>
      </w:r>
      <w:r>
        <w:rPr>
          <w:rFonts w:asciiTheme="minorHAnsi" w:hAnsiTheme="minorHAnsi" w:cstheme="minorHAnsi"/>
          <w:i/>
          <w:iCs/>
        </w:rPr>
        <w:t>S-</w:t>
      </w:r>
      <w:r w:rsidRPr="000106D4">
        <w:rPr>
          <w:rFonts w:asciiTheme="minorHAnsi" w:hAnsiTheme="minorHAnsi" w:cstheme="minorHAnsi"/>
          <w:i/>
          <w:iCs/>
        </w:rPr>
        <w:t xml:space="preserve">accredited centres and considered that a single MBS item may be appropriate, provided that the service specification clearly outlines the required governance, accreditation and workforce requirements, including that the test be performed by a suitably trained and credentialled </w:t>
      </w:r>
      <w:proofErr w:type="spellStart"/>
      <w:r w:rsidRPr="000106D4">
        <w:rPr>
          <w:rFonts w:asciiTheme="minorHAnsi" w:hAnsiTheme="minorHAnsi" w:cstheme="minorHAnsi"/>
          <w:i/>
          <w:iCs/>
        </w:rPr>
        <w:t>ultrasonographer</w:t>
      </w:r>
      <w:proofErr w:type="spellEnd"/>
      <w:r w:rsidRPr="000106D4">
        <w:rPr>
          <w:rFonts w:asciiTheme="minorHAnsi" w:hAnsiTheme="minorHAnsi" w:cstheme="minorHAnsi"/>
          <w:i/>
          <w:iCs/>
        </w:rPr>
        <w:t xml:space="preserve"> or equivalent practitioner.</w:t>
      </w:r>
    </w:p>
    <w:p w14:paraId="2899EB07" w14:textId="35242D76" w:rsidR="004C3C22" w:rsidRDefault="3712AB9D" w:rsidP="00A6346D">
      <w:r w:rsidRPr="0B0E50FA">
        <w:rPr>
          <w:rFonts w:asciiTheme="minorHAnsi" w:hAnsiTheme="minorHAnsi" w:cstheme="minorBidi"/>
          <w:i/>
          <w:iCs/>
        </w:rPr>
        <w:t xml:space="preserve">After the PASC meeting, the department advised that inclusion of both conventional TCD and TCCD within a single Category 5 item may present implementation challenges and would require further consideration of diagnostic imaging accreditation, equipment and credentialling requirements. Given that conventional TCD is a non-imaging modality currently funded under Category 2 and the proposed service model extends beyond the traditional diagnostic imaging workforce, the department </w:t>
      </w:r>
      <w:r w:rsidR="02ADF5E0" w:rsidRPr="0B0E50FA">
        <w:rPr>
          <w:rFonts w:asciiTheme="minorHAnsi" w:hAnsiTheme="minorHAnsi" w:cstheme="minorBidi"/>
          <w:i/>
          <w:iCs/>
        </w:rPr>
        <w:t xml:space="preserve">noted that inclusion of </w:t>
      </w:r>
      <w:r w:rsidR="3E09F8A4" w:rsidRPr="0B0E50FA">
        <w:rPr>
          <w:rFonts w:asciiTheme="minorHAnsi" w:hAnsiTheme="minorHAnsi" w:cstheme="minorBidi"/>
          <w:i/>
          <w:iCs/>
        </w:rPr>
        <w:t xml:space="preserve">both TCD and TCCD within a single </w:t>
      </w:r>
      <w:r w:rsidR="0D2A9C04" w:rsidRPr="0B0E50FA">
        <w:rPr>
          <w:rFonts w:asciiTheme="minorHAnsi" w:hAnsiTheme="minorHAnsi" w:cstheme="minorBidi"/>
          <w:i/>
          <w:iCs/>
        </w:rPr>
        <w:t xml:space="preserve">Category 2 or </w:t>
      </w:r>
      <w:r w:rsidR="2D7186C7" w:rsidRPr="0B0E50FA">
        <w:rPr>
          <w:rFonts w:asciiTheme="minorHAnsi" w:hAnsiTheme="minorHAnsi" w:cstheme="minorBidi"/>
          <w:i/>
          <w:iCs/>
        </w:rPr>
        <w:t xml:space="preserve">Category </w:t>
      </w:r>
      <w:r w:rsidR="6A8DA040" w:rsidRPr="0B0E50FA">
        <w:rPr>
          <w:rFonts w:asciiTheme="minorHAnsi" w:hAnsiTheme="minorHAnsi" w:cstheme="minorBidi"/>
          <w:i/>
          <w:iCs/>
        </w:rPr>
        <w:t>5</w:t>
      </w:r>
      <w:r w:rsidR="12FE69E8" w:rsidRPr="0B0E50FA">
        <w:rPr>
          <w:rFonts w:asciiTheme="minorHAnsi" w:hAnsiTheme="minorHAnsi" w:cstheme="minorBidi"/>
          <w:i/>
          <w:iCs/>
        </w:rPr>
        <w:t xml:space="preserve"> item would require further consideration of accreditation, equipment and workforce requirement</w:t>
      </w:r>
      <w:r w:rsidR="5E9D9590" w:rsidRPr="0B0E50FA">
        <w:rPr>
          <w:rFonts w:asciiTheme="minorHAnsi" w:hAnsiTheme="minorHAnsi" w:cstheme="minorBidi"/>
          <w:i/>
          <w:iCs/>
        </w:rPr>
        <w:t xml:space="preserve">s. </w:t>
      </w:r>
      <w:r w:rsidR="2D63E366" w:rsidRPr="0B0E50FA">
        <w:rPr>
          <w:rFonts w:asciiTheme="minorHAnsi" w:hAnsiTheme="minorHAnsi" w:cstheme="minorBidi"/>
          <w:i/>
          <w:iCs/>
        </w:rPr>
        <w:t xml:space="preserve">If </w:t>
      </w:r>
      <w:r w:rsidR="01EC659A" w:rsidRPr="0B0E50FA">
        <w:rPr>
          <w:rFonts w:asciiTheme="minorHAnsi" w:hAnsiTheme="minorHAnsi" w:cstheme="minorBidi"/>
          <w:i/>
          <w:iCs/>
        </w:rPr>
        <w:t xml:space="preserve">the item was placed in </w:t>
      </w:r>
      <w:r w:rsidR="0013477C">
        <w:rPr>
          <w:rFonts w:asciiTheme="minorHAnsi" w:hAnsiTheme="minorHAnsi" w:cstheme="minorBidi"/>
          <w:i/>
          <w:iCs/>
        </w:rPr>
        <w:t>C</w:t>
      </w:r>
      <w:r w:rsidR="01EC659A" w:rsidRPr="0B0E50FA">
        <w:rPr>
          <w:rFonts w:asciiTheme="minorHAnsi" w:hAnsiTheme="minorHAnsi" w:cstheme="minorBidi"/>
          <w:i/>
          <w:iCs/>
        </w:rPr>
        <w:t xml:space="preserve">ategory 5, </w:t>
      </w:r>
      <w:r w:rsidR="263F219A" w:rsidRPr="0B0E50FA">
        <w:rPr>
          <w:rFonts w:asciiTheme="minorHAnsi" w:hAnsiTheme="minorHAnsi" w:cstheme="minorBidi"/>
          <w:i/>
          <w:iCs/>
        </w:rPr>
        <w:t xml:space="preserve">overarching </w:t>
      </w:r>
      <w:r w:rsidR="01EC659A" w:rsidRPr="0B0E50FA">
        <w:rPr>
          <w:rFonts w:asciiTheme="minorHAnsi" w:hAnsiTheme="minorHAnsi" w:cstheme="minorBidi"/>
          <w:i/>
          <w:iCs/>
        </w:rPr>
        <w:t xml:space="preserve">changes would be required to </w:t>
      </w:r>
      <w:r w:rsidR="253C7C64" w:rsidRPr="0B0E50FA">
        <w:rPr>
          <w:rFonts w:asciiTheme="minorHAnsi" w:hAnsiTheme="minorHAnsi" w:cstheme="minorBidi"/>
          <w:i/>
          <w:iCs/>
        </w:rPr>
        <w:t xml:space="preserve">the </w:t>
      </w:r>
      <w:r w:rsidR="01EC659A" w:rsidRPr="0B0E50FA">
        <w:rPr>
          <w:rFonts w:asciiTheme="minorHAnsi" w:hAnsiTheme="minorHAnsi" w:cstheme="minorBidi"/>
          <w:i/>
          <w:iCs/>
        </w:rPr>
        <w:t>diagnost</w:t>
      </w:r>
      <w:r w:rsidR="76B2EB21" w:rsidRPr="0B0E50FA">
        <w:rPr>
          <w:rFonts w:asciiTheme="minorHAnsi" w:hAnsiTheme="minorHAnsi" w:cstheme="minorBidi"/>
          <w:i/>
          <w:iCs/>
        </w:rPr>
        <w:t>ic im</w:t>
      </w:r>
      <w:r w:rsidR="2BA92A7A" w:rsidRPr="0B0E50FA">
        <w:rPr>
          <w:rFonts w:asciiTheme="minorHAnsi" w:hAnsiTheme="minorHAnsi" w:cstheme="minorBidi"/>
          <w:i/>
          <w:iCs/>
        </w:rPr>
        <w:t>a</w:t>
      </w:r>
      <w:r w:rsidR="76B2EB21" w:rsidRPr="0B0E50FA">
        <w:rPr>
          <w:rFonts w:asciiTheme="minorHAnsi" w:hAnsiTheme="minorHAnsi" w:cstheme="minorBidi"/>
          <w:i/>
          <w:iCs/>
        </w:rPr>
        <w:t>ging</w:t>
      </w:r>
      <w:r w:rsidR="38F88094" w:rsidRPr="0B0E50FA">
        <w:rPr>
          <w:rFonts w:asciiTheme="minorHAnsi" w:hAnsiTheme="minorHAnsi" w:cstheme="minorBidi"/>
          <w:i/>
          <w:iCs/>
        </w:rPr>
        <w:t xml:space="preserve"> services table to accommodate TCD and non-diagnostic radiology</w:t>
      </w:r>
      <w:r w:rsidR="58BEDA9E" w:rsidRPr="0B0E50FA">
        <w:rPr>
          <w:rFonts w:asciiTheme="minorHAnsi" w:hAnsiTheme="minorHAnsi" w:cstheme="minorBidi"/>
          <w:i/>
          <w:iCs/>
        </w:rPr>
        <w:t xml:space="preserve"> providers</w:t>
      </w:r>
      <w:r w:rsidR="31BFFB7B" w:rsidRPr="0B0E50FA">
        <w:rPr>
          <w:rFonts w:asciiTheme="minorHAnsi" w:hAnsiTheme="minorHAnsi" w:cstheme="minorBidi"/>
          <w:i/>
          <w:iCs/>
        </w:rPr>
        <w:t>.</w:t>
      </w:r>
      <w:r w:rsidR="48E00FDD" w:rsidRPr="0B0E50FA">
        <w:rPr>
          <w:rFonts w:asciiTheme="minorHAnsi" w:hAnsiTheme="minorHAnsi" w:cstheme="minorBidi"/>
          <w:i/>
          <w:iCs/>
        </w:rPr>
        <w:t xml:space="preserve"> Alternatively, if the item was placed in Category 2</w:t>
      </w:r>
      <w:r w:rsidR="0013477C">
        <w:rPr>
          <w:rFonts w:asciiTheme="minorHAnsi" w:hAnsiTheme="minorHAnsi" w:cstheme="minorBidi"/>
          <w:i/>
          <w:iCs/>
        </w:rPr>
        <w:t>,</w:t>
      </w:r>
      <w:r w:rsidR="58BEDA9E" w:rsidRPr="0B0E50FA">
        <w:rPr>
          <w:rFonts w:asciiTheme="minorHAnsi" w:hAnsiTheme="minorHAnsi" w:cstheme="minorBidi"/>
          <w:i/>
          <w:iCs/>
        </w:rPr>
        <w:t xml:space="preserve"> </w:t>
      </w:r>
      <w:r w:rsidR="3CDB2DC2" w:rsidRPr="0B0E50FA">
        <w:rPr>
          <w:rFonts w:asciiTheme="minorHAnsi" w:hAnsiTheme="minorHAnsi" w:cstheme="minorBidi"/>
          <w:i/>
          <w:iCs/>
        </w:rPr>
        <w:t>clause</w:t>
      </w:r>
      <w:r w:rsidR="26692043" w:rsidRPr="0B0E50FA">
        <w:rPr>
          <w:rFonts w:asciiTheme="minorHAnsi" w:hAnsiTheme="minorHAnsi" w:cstheme="minorBidi"/>
          <w:i/>
          <w:iCs/>
        </w:rPr>
        <w:t>s</w:t>
      </w:r>
      <w:r w:rsidR="3CDB2DC2" w:rsidRPr="0B0E50FA">
        <w:rPr>
          <w:rFonts w:asciiTheme="minorHAnsi" w:hAnsiTheme="minorHAnsi" w:cstheme="minorBidi"/>
          <w:i/>
          <w:iCs/>
        </w:rPr>
        <w:t xml:space="preserve"> would be required in the regulation to ensure at a minimum</w:t>
      </w:r>
      <w:r w:rsidR="70D03B7C" w:rsidRPr="0B0E50FA">
        <w:rPr>
          <w:rFonts w:asciiTheme="minorHAnsi" w:hAnsiTheme="minorHAnsi" w:cstheme="minorBidi"/>
          <w:i/>
          <w:iCs/>
        </w:rPr>
        <w:t>,</w:t>
      </w:r>
      <w:r w:rsidR="3CDB2DC2" w:rsidRPr="0B0E50FA">
        <w:rPr>
          <w:rFonts w:asciiTheme="minorHAnsi" w:hAnsiTheme="minorHAnsi" w:cstheme="minorBidi"/>
          <w:i/>
          <w:iCs/>
        </w:rPr>
        <w:t xml:space="preserve"> that </w:t>
      </w:r>
      <w:r w:rsidR="7ED66C4F" w:rsidRPr="0B0E50FA">
        <w:rPr>
          <w:rFonts w:asciiTheme="minorHAnsi" w:hAnsiTheme="minorHAnsi" w:cstheme="minorBidi"/>
          <w:i/>
          <w:iCs/>
        </w:rPr>
        <w:t xml:space="preserve">those providers undertaking the </w:t>
      </w:r>
      <w:proofErr w:type="spellStart"/>
      <w:r w:rsidR="7ED66C4F" w:rsidRPr="0B0E50FA">
        <w:rPr>
          <w:rFonts w:asciiTheme="minorHAnsi" w:hAnsiTheme="minorHAnsi" w:cstheme="minorBidi"/>
          <w:i/>
          <w:iCs/>
        </w:rPr>
        <w:t>ultrasonograhy</w:t>
      </w:r>
      <w:proofErr w:type="spellEnd"/>
      <w:r w:rsidR="7ED66C4F" w:rsidRPr="0B0E50FA">
        <w:rPr>
          <w:rFonts w:asciiTheme="minorHAnsi" w:hAnsiTheme="minorHAnsi" w:cstheme="minorBidi"/>
          <w:i/>
          <w:iCs/>
        </w:rPr>
        <w:t xml:space="preserve"> component </w:t>
      </w:r>
      <w:r w:rsidR="70744F66" w:rsidRPr="0B0E50FA">
        <w:rPr>
          <w:rFonts w:asciiTheme="minorHAnsi" w:hAnsiTheme="minorHAnsi" w:cstheme="minorBidi"/>
          <w:i/>
          <w:iCs/>
        </w:rPr>
        <w:t>of the service were appropriately credentialled.</w:t>
      </w:r>
      <w:r w:rsidR="7ED66C4F" w:rsidRPr="0B0E50FA">
        <w:rPr>
          <w:rFonts w:asciiTheme="minorHAnsi" w:hAnsiTheme="minorHAnsi" w:cstheme="minorBidi"/>
          <w:i/>
          <w:iCs/>
        </w:rPr>
        <w:t xml:space="preserve"> </w:t>
      </w:r>
      <w:r w:rsidR="01EC659A" w:rsidRPr="0B0E50FA">
        <w:rPr>
          <w:rFonts w:asciiTheme="minorHAnsi" w:hAnsiTheme="minorHAnsi" w:cstheme="minorBidi"/>
          <w:i/>
          <w:iCs/>
        </w:rPr>
        <w:t xml:space="preserve"> </w:t>
      </w:r>
      <w:r w:rsidRPr="0B0E50FA">
        <w:rPr>
          <w:rFonts w:asciiTheme="minorHAnsi" w:hAnsiTheme="minorHAnsi" w:cstheme="minorBidi"/>
          <w:i/>
          <w:iCs/>
        </w:rPr>
        <w:t>.</w:t>
      </w:r>
    </w:p>
    <w:p w14:paraId="62338695" w14:textId="74262F18" w:rsidR="00D37A3F" w:rsidRDefault="003F0A39" w:rsidP="00984989">
      <w:pPr>
        <w:pStyle w:val="Heading2"/>
      </w:pPr>
      <w:r>
        <w:t>Summary of public consultation</w:t>
      </w:r>
      <w:r w:rsidRPr="00D37A3F">
        <w:t xml:space="preserve"> </w:t>
      </w:r>
      <w:r w:rsidR="00E470B0">
        <w:t>input</w:t>
      </w:r>
    </w:p>
    <w:p w14:paraId="487CF763" w14:textId="0362D61C" w:rsidR="00C9739D" w:rsidRPr="000125BC" w:rsidRDefault="00C9739D" w:rsidP="00C9739D">
      <w:pPr>
        <w:spacing w:after="120"/>
      </w:pPr>
      <w:r w:rsidRPr="00E95336">
        <w:rPr>
          <w:i/>
          <w:iCs/>
        </w:rPr>
        <w:t xml:space="preserve">PASC noted and welcomed consultation input </w:t>
      </w:r>
      <w:r w:rsidRPr="00101EF8">
        <w:rPr>
          <w:i/>
          <w:iCs/>
        </w:rPr>
        <w:t>from 4 organisations and no individual input was received. The 4 organisations that submitted input were:</w:t>
      </w:r>
      <w:r w:rsidRPr="000125BC">
        <w:t xml:space="preserve"> </w:t>
      </w:r>
    </w:p>
    <w:p w14:paraId="7D2B5DD6" w14:textId="77777777" w:rsidR="00C9739D" w:rsidRDefault="00C9739D" w:rsidP="00C9739D">
      <w:pPr>
        <w:pStyle w:val="ListParagraph"/>
        <w:numPr>
          <w:ilvl w:val="0"/>
          <w:numId w:val="54"/>
        </w:numPr>
        <w:spacing w:after="120" w:line="259" w:lineRule="auto"/>
      </w:pPr>
      <w:r w:rsidRPr="00CA7AA4">
        <w:t xml:space="preserve">South Australian </w:t>
      </w:r>
      <w:r>
        <w:t xml:space="preserve">(SA) </w:t>
      </w:r>
      <w:r w:rsidRPr="00CA7AA4">
        <w:t>Stroke Clinical Networ</w:t>
      </w:r>
      <w:r>
        <w:t>k</w:t>
      </w:r>
    </w:p>
    <w:p w14:paraId="03BBE8E3" w14:textId="77777777" w:rsidR="00C9739D" w:rsidRPr="00566764" w:rsidRDefault="00C9739D" w:rsidP="00C9739D">
      <w:pPr>
        <w:pStyle w:val="ListParagraph"/>
        <w:numPr>
          <w:ilvl w:val="0"/>
          <w:numId w:val="54"/>
        </w:numPr>
        <w:spacing w:after="120" w:line="259" w:lineRule="auto"/>
      </w:pPr>
      <w:r w:rsidRPr="00CA7AA4">
        <w:t xml:space="preserve">Stroke Foundation </w:t>
      </w:r>
    </w:p>
    <w:p w14:paraId="5AE1EF9B" w14:textId="77777777" w:rsidR="00C9739D" w:rsidRDefault="00C9739D" w:rsidP="00C9739D">
      <w:pPr>
        <w:pStyle w:val="ListParagraph"/>
        <w:numPr>
          <w:ilvl w:val="0"/>
          <w:numId w:val="54"/>
        </w:numPr>
        <w:spacing w:after="120" w:line="259" w:lineRule="auto"/>
      </w:pPr>
      <w:r w:rsidRPr="00566764">
        <w:t>The Royal Australian and New Zealand College of Radiologists (RANZCR)</w:t>
      </w:r>
    </w:p>
    <w:p w14:paraId="28B1EE6B" w14:textId="5B006588" w:rsidR="00C9739D" w:rsidRPr="00A53DD5" w:rsidRDefault="00C9739D" w:rsidP="00C9739D">
      <w:pPr>
        <w:pStyle w:val="ListParagraph"/>
        <w:numPr>
          <w:ilvl w:val="0"/>
          <w:numId w:val="54"/>
        </w:numPr>
        <w:spacing w:after="120" w:line="259" w:lineRule="auto"/>
      </w:pPr>
      <w:r w:rsidRPr="00A53DD5">
        <w:rPr>
          <w:rFonts w:cstheme="minorHAnsi"/>
          <w:color w:val="000000"/>
        </w:rPr>
        <w:t>Aust</w:t>
      </w:r>
      <w:r>
        <w:rPr>
          <w:rFonts w:cstheme="minorHAnsi"/>
          <w:color w:val="000000"/>
        </w:rPr>
        <w:t>ralia</w:t>
      </w:r>
      <w:r w:rsidRPr="00A53DD5">
        <w:rPr>
          <w:rFonts w:cstheme="minorHAnsi"/>
          <w:color w:val="000000"/>
        </w:rPr>
        <w:t xml:space="preserve"> &amp; N</w:t>
      </w:r>
      <w:r>
        <w:rPr>
          <w:rFonts w:cstheme="minorHAnsi"/>
          <w:color w:val="000000"/>
        </w:rPr>
        <w:t xml:space="preserve">ew </w:t>
      </w:r>
      <w:r w:rsidRPr="00A53DD5">
        <w:rPr>
          <w:rFonts w:cstheme="minorHAnsi"/>
          <w:color w:val="000000"/>
        </w:rPr>
        <w:t>Z</w:t>
      </w:r>
      <w:r>
        <w:rPr>
          <w:rFonts w:cstheme="minorHAnsi"/>
          <w:color w:val="000000"/>
        </w:rPr>
        <w:t>ealand</w:t>
      </w:r>
      <w:r w:rsidRPr="00A53DD5">
        <w:rPr>
          <w:rFonts w:cstheme="minorHAnsi"/>
          <w:color w:val="000000"/>
        </w:rPr>
        <w:t xml:space="preserve"> Association of Neurologists </w:t>
      </w:r>
      <w:r>
        <w:rPr>
          <w:rFonts w:cstheme="minorHAnsi"/>
          <w:color w:val="000000"/>
        </w:rPr>
        <w:t>(ANZAN)</w:t>
      </w:r>
      <w:r w:rsidR="00901497">
        <w:rPr>
          <w:rFonts w:cstheme="minorHAnsi"/>
          <w:color w:val="000000"/>
        </w:rPr>
        <w:t>.</w:t>
      </w:r>
    </w:p>
    <w:p w14:paraId="4D1441EE" w14:textId="77777777" w:rsidR="00C9739D" w:rsidRDefault="00C9739D" w:rsidP="00C9739D">
      <w:r w:rsidRPr="003D0376">
        <w:t xml:space="preserve">Consultation input was mostly supportive of public funding for TCD bubble testing for PFO. </w:t>
      </w:r>
      <w:r>
        <w:t>RANZCR raised con</w:t>
      </w:r>
      <w:r w:rsidRPr="003D0376">
        <w:t xml:space="preserve">cerns in relation to the </w:t>
      </w:r>
      <w:r>
        <w:t>service providers for TCD and the proposal that TCD may replace TTE and TOE rather than be an adjunct test.</w:t>
      </w:r>
    </w:p>
    <w:p w14:paraId="1D32371B" w14:textId="77777777" w:rsidR="00C9739D" w:rsidRDefault="00C9739D" w:rsidP="00251FDF">
      <w:pPr>
        <w:keepNext/>
        <w:rPr>
          <w:b/>
          <w:bCs/>
        </w:rPr>
      </w:pPr>
      <w:r w:rsidRPr="005C03C0">
        <w:rPr>
          <w:b/>
          <w:bCs/>
        </w:rPr>
        <w:t>Consumer Experience</w:t>
      </w:r>
    </w:p>
    <w:p w14:paraId="2A78D303" w14:textId="77777777" w:rsidR="00C9739D" w:rsidRDefault="00C9739D" w:rsidP="00C9739D">
      <w:r>
        <w:t>The Stroke Foundation stated that p</w:t>
      </w:r>
      <w:r w:rsidRPr="00DF15D3">
        <w:t>eople who have a cryptogenic ischaemic stroke often experience significant stress and uncertainty</w:t>
      </w:r>
      <w:r>
        <w:t>, as w</w:t>
      </w:r>
      <w:r w:rsidRPr="00DF15D3">
        <w:t>ithout knowing the cause, it can be difficult to determine the best treatment to prevent another stroke</w:t>
      </w:r>
      <w:r>
        <w:t xml:space="preserve">. Many patients experience </w:t>
      </w:r>
      <w:r w:rsidRPr="00DF15D3">
        <w:t xml:space="preserve">difficulties with movement, strength, coordination, speech, swallowing and completing everyday activities. </w:t>
      </w:r>
      <w:r>
        <w:t>Patients may</w:t>
      </w:r>
      <w:r w:rsidRPr="00DF15D3">
        <w:t xml:space="preserve"> also experience less visible challenges such as fatigue, memory problems, difficulty concentrating, and changes in thinking and planning, which can affect independence, employment and quality of life.</w:t>
      </w:r>
    </w:p>
    <w:p w14:paraId="7843E983" w14:textId="77777777" w:rsidR="00C9739D" w:rsidRPr="00DF15D3" w:rsidRDefault="00C9739D" w:rsidP="00C9739D">
      <w:r>
        <w:t>Consultation input from the Stroke Foundation also included that c</w:t>
      </w:r>
      <w:r w:rsidRPr="00DF15D3">
        <w:t xml:space="preserve">arers play an important role in supporting people recovering from stroke, including helping with medical appointments and providing care </w:t>
      </w:r>
      <w:r w:rsidRPr="00DF15D3">
        <w:lastRenderedPageBreak/>
        <w:t>at home. However, caring responsibilities can have a substantial impact on carers’ own lives. Many carers reduce their work commitments, participate less in leisure activities, and experience changes in their relationships and social connections. These pressures can lead to poorer physical and mental health and a reduced quality of life for carers.</w:t>
      </w:r>
    </w:p>
    <w:p w14:paraId="6062351C" w14:textId="77777777" w:rsidR="00C9739D" w:rsidRDefault="00C9739D" w:rsidP="00251FDF">
      <w:pPr>
        <w:keepNext/>
        <w:rPr>
          <w:b/>
          <w:bCs/>
        </w:rPr>
      </w:pPr>
      <w:r>
        <w:rPr>
          <w:b/>
          <w:bCs/>
        </w:rPr>
        <w:t>Benefits and Disadvantages</w:t>
      </w:r>
    </w:p>
    <w:p w14:paraId="329C4A04" w14:textId="5D0B2108" w:rsidR="00C9739D" w:rsidRPr="003D0376" w:rsidRDefault="00C9739D" w:rsidP="00C9739D">
      <w:r w:rsidRPr="003D0376">
        <w:t xml:space="preserve">The main benefits of public funding reported in the consultation input included earlier and more accurate diagnosis of PFO-associated stroke, reduced delays to </w:t>
      </w:r>
      <w:r w:rsidR="00D45106">
        <w:t xml:space="preserve">accessing </w:t>
      </w:r>
      <w:r w:rsidRPr="003D0376">
        <w:t>treatment, reduced risk of recurrent stroke, and improved use of health system resources through reduced reliance on other diagnostic procedures. Consultation input also highlighted the potential to reduce hospital length of stay and improve patient outcomes</w:t>
      </w:r>
      <w:r>
        <w:t>. The Stroke Foundation stated that in comparable high-income countries, TCD bubble test is the standard of care as it has a higher sensitivity for PFO compared to TTE bubble testing.</w:t>
      </w:r>
    </w:p>
    <w:p w14:paraId="30D042F0" w14:textId="77777777" w:rsidR="00C9739D" w:rsidRPr="003D0376" w:rsidRDefault="00C9739D" w:rsidP="00C9739D">
      <w:r w:rsidRPr="003D0376">
        <w:t>The main disadvantages of public funding reported in the consultation input related to implementation challenges, including workforce training requirements, limited availability of specialised equipment and expertise, and the potential for some patients to be unsuitable for testing due to anatomical limitations</w:t>
      </w:r>
      <w:r>
        <w:t xml:space="preserve"> or </w:t>
      </w:r>
      <w:r w:rsidRPr="00723EFE">
        <w:t>challenges in executing the required Valsalva manoeuvre</w:t>
      </w:r>
      <w:r w:rsidRPr="003D0376">
        <w:t>.</w:t>
      </w:r>
      <w:r>
        <w:t xml:space="preserve"> RANZCR stated that whilst TCD could confirm a shunt malfunction had occurred, it could not identify the actual location and is less specific for distinguishing intracardiac from extracardiac shunts.</w:t>
      </w:r>
    </w:p>
    <w:p w14:paraId="40A4AF9A" w14:textId="77777777" w:rsidR="00C9739D" w:rsidRDefault="00C9739D" w:rsidP="00251FDF">
      <w:pPr>
        <w:keepNext/>
        <w:rPr>
          <w:b/>
          <w:bCs/>
        </w:rPr>
      </w:pPr>
      <w:r>
        <w:rPr>
          <w:b/>
          <w:bCs/>
        </w:rPr>
        <w:t>Population, Comparator (current management) and Delivery</w:t>
      </w:r>
    </w:p>
    <w:p w14:paraId="08F18C8D" w14:textId="77777777" w:rsidR="00C9739D" w:rsidRPr="00F42B44" w:rsidRDefault="00C9739D" w:rsidP="00C9739D">
      <w:r w:rsidRPr="00F42B44">
        <w:t xml:space="preserve">The consultation input was largely supportive of the proposed population. The </w:t>
      </w:r>
      <w:r>
        <w:t>SA</w:t>
      </w:r>
      <w:r w:rsidRPr="00F42B44">
        <w:t xml:space="preserve"> Stroke Clinical Network, Stroke Foundation and ANZAN considered the proposed population appropriate and consistent with current clinical practice. </w:t>
      </w:r>
    </w:p>
    <w:p w14:paraId="35A9BC63" w14:textId="77777777" w:rsidR="00C9739D" w:rsidRPr="00F42B44" w:rsidRDefault="00C9739D" w:rsidP="00C9739D">
      <w:r w:rsidRPr="00F42B44">
        <w:t xml:space="preserve">The consultation input was generally supportive of the proposed comparator, noting that TTE with bubble test reflects current Australian clinical practice for investigating suspected PFO-associated stroke. </w:t>
      </w:r>
      <w:r>
        <w:t>RANZCR stated</w:t>
      </w:r>
      <w:r w:rsidRPr="00F42B44">
        <w:t xml:space="preserve"> that TCD bubble testing should be considered as part of the broader diagnostic pathway and not as a complete replacement for other cardiac investigations where clinically required</w:t>
      </w:r>
      <w:r>
        <w:t>.</w:t>
      </w:r>
    </w:p>
    <w:p w14:paraId="4BAD0086" w14:textId="77777777" w:rsidR="00C9739D" w:rsidRPr="00F42B44" w:rsidRDefault="00C9739D" w:rsidP="00C9739D">
      <w:r w:rsidRPr="00F42B44">
        <w:t xml:space="preserve">Other services identified as being needed after the intervention included </w:t>
      </w:r>
      <w:r>
        <w:t>TTE</w:t>
      </w:r>
      <w:r w:rsidRPr="00F42B44">
        <w:t xml:space="preserve"> and</w:t>
      </w:r>
      <w:r>
        <w:t>/or TOE,</w:t>
      </w:r>
      <w:r w:rsidRPr="00F42B44">
        <w:t xml:space="preserve"> to confirm PFO and assess anatomical features.</w:t>
      </w:r>
      <w:r>
        <w:t xml:space="preserve"> The Stroke Foundation stated that TOE is the gold standard for identifying high-risk PFO anatomical features which are associated with recurrent stroke.</w:t>
      </w:r>
    </w:p>
    <w:p w14:paraId="46F9F75C" w14:textId="77777777" w:rsidR="00C9739D" w:rsidRDefault="00C9739D" w:rsidP="00251FDF">
      <w:pPr>
        <w:keepNext/>
        <w:rPr>
          <w:b/>
          <w:bCs/>
        </w:rPr>
      </w:pPr>
      <w:r w:rsidRPr="005A250A">
        <w:rPr>
          <w:b/>
          <w:bCs/>
        </w:rPr>
        <w:t>MBS Item Descriptor and Fee</w:t>
      </w:r>
    </w:p>
    <w:p w14:paraId="7E9366B9" w14:textId="3D47D742" w:rsidR="00C9739D" w:rsidRPr="005A250A" w:rsidRDefault="00C9739D" w:rsidP="00C9739D">
      <w:r w:rsidRPr="005A250A">
        <w:t xml:space="preserve">The consultation input was generally supportive of the proposed service descriptor. </w:t>
      </w:r>
      <w:r>
        <w:t>RANZCR</w:t>
      </w:r>
      <w:r w:rsidRPr="005A250A">
        <w:t xml:space="preserve"> consultation input </w:t>
      </w:r>
      <w:r>
        <w:t>stated that radiologists and interventional neuroradiologists are not included in the application as service providers despite being the princip</w:t>
      </w:r>
      <w:r w:rsidR="00311893">
        <w:t>al</w:t>
      </w:r>
      <w:r>
        <w:t xml:space="preserve"> providers of this service.</w:t>
      </w:r>
    </w:p>
    <w:p w14:paraId="77D8D365" w14:textId="77777777" w:rsidR="00C9739D" w:rsidRPr="005A250A" w:rsidRDefault="00C9739D" w:rsidP="00C9739D">
      <w:r w:rsidRPr="005A250A">
        <w:t xml:space="preserve">The consultation input </w:t>
      </w:r>
      <w:r>
        <w:t>did not comment on</w:t>
      </w:r>
      <w:r w:rsidRPr="005A250A">
        <w:t xml:space="preserve"> the proposed service fee. </w:t>
      </w:r>
    </w:p>
    <w:p w14:paraId="5432C433" w14:textId="77777777" w:rsidR="00C9739D" w:rsidRPr="00CD4BE0" w:rsidRDefault="00C9739D" w:rsidP="00251FDF">
      <w:pPr>
        <w:keepNext/>
      </w:pPr>
      <w:r w:rsidRPr="00C50417">
        <w:rPr>
          <w:b/>
          <w:bCs/>
        </w:rPr>
        <w:t xml:space="preserve">Additional </w:t>
      </w:r>
      <w:r>
        <w:rPr>
          <w:b/>
          <w:bCs/>
        </w:rPr>
        <w:t>C</w:t>
      </w:r>
      <w:r w:rsidRPr="00C50417">
        <w:rPr>
          <w:b/>
          <w:bCs/>
        </w:rPr>
        <w:t xml:space="preserve">omments </w:t>
      </w:r>
    </w:p>
    <w:p w14:paraId="5CA4D14F" w14:textId="3A9DB1C5" w:rsidR="00C9739D" w:rsidRDefault="00C9739D" w:rsidP="00C9739D">
      <w:r>
        <w:t xml:space="preserve">RANZCR consultation input noted that the </w:t>
      </w:r>
      <w:r w:rsidRPr="00AD7111">
        <w:t xml:space="preserve">application does not acknowledge the broader use of TCD for PFO diagnosis across Australia and underrepresents the number and diversity of providers routinely using </w:t>
      </w:r>
      <w:r w:rsidRPr="00AD7111">
        <w:lastRenderedPageBreak/>
        <w:t>this diagnostic approach</w:t>
      </w:r>
      <w:r>
        <w:t xml:space="preserve">. They also stated that </w:t>
      </w:r>
      <w:r w:rsidRPr="00AD7111">
        <w:t>waiting times for TTE/TOE vary across regions</w:t>
      </w:r>
      <w:r>
        <w:t>,</w:t>
      </w:r>
      <w:r w:rsidRPr="00AD7111">
        <w:t xml:space="preserve"> and long waiting times should not be used as a general rationale for replacing these modalities with TCD</w:t>
      </w:r>
      <w:r>
        <w:t>.</w:t>
      </w:r>
    </w:p>
    <w:p w14:paraId="3D947E3D" w14:textId="0C1939AF" w:rsidR="001F24E4" w:rsidRDefault="001F24E4" w:rsidP="001F24E4">
      <w:pPr>
        <w:autoSpaceDE w:val="0"/>
        <w:autoSpaceDN w:val="0"/>
        <w:adjustRightInd w:val="0"/>
        <w:rPr>
          <w:rFonts w:asciiTheme="minorHAnsi" w:hAnsiTheme="minorHAnsi" w:cstheme="minorHAnsi"/>
          <w:i/>
          <w:iCs/>
        </w:rPr>
      </w:pPr>
      <w:r w:rsidRPr="008A2328">
        <w:rPr>
          <w:rFonts w:asciiTheme="minorHAnsi" w:hAnsiTheme="minorHAnsi" w:cstheme="minorHAnsi"/>
          <w:i/>
          <w:iCs/>
        </w:rPr>
        <w:t>PASC noted stakeholder support for the application</w:t>
      </w:r>
      <w:r>
        <w:rPr>
          <w:rFonts w:asciiTheme="minorHAnsi" w:hAnsiTheme="minorHAnsi" w:cstheme="minorHAnsi"/>
          <w:i/>
          <w:iCs/>
        </w:rPr>
        <w:t xml:space="preserve"> </w:t>
      </w:r>
      <w:r w:rsidRPr="008A2328">
        <w:rPr>
          <w:rFonts w:asciiTheme="minorHAnsi" w:hAnsiTheme="minorHAnsi" w:cstheme="minorHAnsi"/>
          <w:i/>
          <w:iCs/>
        </w:rPr>
        <w:t xml:space="preserve">from the Australian Stroke Foundation, the </w:t>
      </w:r>
      <w:r w:rsidR="00FC1B06">
        <w:rPr>
          <w:rFonts w:asciiTheme="minorHAnsi" w:hAnsiTheme="minorHAnsi" w:cstheme="minorHAnsi"/>
          <w:i/>
          <w:iCs/>
        </w:rPr>
        <w:t>SA</w:t>
      </w:r>
      <w:r w:rsidRPr="008A2328">
        <w:rPr>
          <w:rFonts w:asciiTheme="minorHAnsi" w:hAnsiTheme="minorHAnsi" w:cstheme="minorHAnsi"/>
          <w:i/>
          <w:iCs/>
        </w:rPr>
        <w:t xml:space="preserve"> Stroke Clinical Network</w:t>
      </w:r>
      <w:r>
        <w:rPr>
          <w:rFonts w:asciiTheme="minorHAnsi" w:hAnsiTheme="minorHAnsi" w:cstheme="minorHAnsi"/>
          <w:i/>
          <w:iCs/>
        </w:rPr>
        <w:t>,</w:t>
      </w:r>
      <w:r w:rsidRPr="008A2328">
        <w:rPr>
          <w:rFonts w:asciiTheme="minorHAnsi" w:hAnsiTheme="minorHAnsi" w:cstheme="minorHAnsi"/>
          <w:i/>
          <w:iCs/>
        </w:rPr>
        <w:t xml:space="preserve"> and </w:t>
      </w:r>
      <w:r w:rsidR="008A5926">
        <w:rPr>
          <w:rFonts w:asciiTheme="minorHAnsi" w:hAnsiTheme="minorHAnsi" w:cstheme="minorHAnsi"/>
          <w:i/>
          <w:iCs/>
        </w:rPr>
        <w:t>ANZAN</w:t>
      </w:r>
      <w:r w:rsidRPr="008A2328">
        <w:rPr>
          <w:rFonts w:asciiTheme="minorHAnsi" w:hAnsiTheme="minorHAnsi" w:cstheme="minorHAnsi"/>
          <w:i/>
          <w:iCs/>
        </w:rPr>
        <w:t xml:space="preserve">. Stakeholders highlighted the potential for TCD bubble testing to </w:t>
      </w:r>
      <w:r>
        <w:rPr>
          <w:rFonts w:asciiTheme="minorHAnsi" w:hAnsiTheme="minorHAnsi" w:cstheme="minorHAnsi"/>
          <w:i/>
          <w:iCs/>
        </w:rPr>
        <w:t>facilitate earlier diagnosis of PFO-associated stroke and access to treatment.</w:t>
      </w:r>
      <w:r w:rsidRPr="008A2328">
        <w:rPr>
          <w:rFonts w:asciiTheme="minorHAnsi" w:hAnsiTheme="minorHAnsi" w:cstheme="minorHAnsi"/>
          <w:i/>
          <w:iCs/>
        </w:rPr>
        <w:t xml:space="preserve"> </w:t>
      </w:r>
      <w:r>
        <w:rPr>
          <w:rFonts w:asciiTheme="minorHAnsi" w:hAnsiTheme="minorHAnsi" w:cstheme="minorHAnsi"/>
          <w:i/>
          <w:iCs/>
        </w:rPr>
        <w:t xml:space="preserve">However, feedback also </w:t>
      </w:r>
      <w:r w:rsidRPr="008A2328">
        <w:rPr>
          <w:rFonts w:asciiTheme="minorHAnsi" w:hAnsiTheme="minorHAnsi" w:cstheme="minorHAnsi"/>
          <w:i/>
          <w:iCs/>
        </w:rPr>
        <w:t>not</w:t>
      </w:r>
      <w:r>
        <w:rPr>
          <w:rFonts w:asciiTheme="minorHAnsi" w:hAnsiTheme="minorHAnsi" w:cstheme="minorHAnsi"/>
          <w:i/>
          <w:iCs/>
        </w:rPr>
        <w:t>ed</w:t>
      </w:r>
      <w:r w:rsidRPr="008A2328">
        <w:rPr>
          <w:rFonts w:asciiTheme="minorHAnsi" w:hAnsiTheme="minorHAnsi" w:cstheme="minorHAnsi"/>
          <w:i/>
          <w:iCs/>
        </w:rPr>
        <w:t xml:space="preserve"> that </w:t>
      </w:r>
      <w:r>
        <w:rPr>
          <w:rFonts w:asciiTheme="minorHAnsi" w:hAnsiTheme="minorHAnsi" w:cstheme="minorHAnsi"/>
          <w:i/>
          <w:iCs/>
        </w:rPr>
        <w:t xml:space="preserve">current </w:t>
      </w:r>
      <w:r w:rsidRPr="008A2328">
        <w:rPr>
          <w:rFonts w:asciiTheme="minorHAnsi" w:hAnsiTheme="minorHAnsi" w:cstheme="minorHAnsi"/>
          <w:i/>
          <w:iCs/>
        </w:rPr>
        <w:t xml:space="preserve">expertise </w:t>
      </w:r>
      <w:r>
        <w:rPr>
          <w:rFonts w:asciiTheme="minorHAnsi" w:hAnsiTheme="minorHAnsi" w:cstheme="minorHAnsi"/>
          <w:i/>
          <w:iCs/>
        </w:rPr>
        <w:t>is</w:t>
      </w:r>
      <w:r w:rsidRPr="008A2328">
        <w:rPr>
          <w:rFonts w:asciiTheme="minorHAnsi" w:hAnsiTheme="minorHAnsi" w:cstheme="minorHAnsi"/>
          <w:i/>
          <w:iCs/>
        </w:rPr>
        <w:t xml:space="preserve"> concentrated in a limited number of specialist centres and that training may be required to support wider implementation.</w:t>
      </w:r>
    </w:p>
    <w:p w14:paraId="02A951BF" w14:textId="135C2855" w:rsidR="004C3C22" w:rsidRPr="007249AD" w:rsidRDefault="001F24E4" w:rsidP="00F022A8">
      <w:r w:rsidRPr="008A2328">
        <w:rPr>
          <w:rFonts w:asciiTheme="minorHAnsi" w:hAnsiTheme="minorHAnsi" w:cstheme="minorHAnsi"/>
          <w:i/>
          <w:iCs/>
        </w:rPr>
        <w:t xml:space="preserve">PASC also noted feedback </w:t>
      </w:r>
      <w:r>
        <w:rPr>
          <w:rFonts w:asciiTheme="minorHAnsi" w:hAnsiTheme="minorHAnsi" w:cstheme="minorHAnsi"/>
          <w:i/>
          <w:iCs/>
        </w:rPr>
        <w:t xml:space="preserve">from RANZCR </w:t>
      </w:r>
      <w:r w:rsidRPr="008A2328">
        <w:rPr>
          <w:rFonts w:asciiTheme="minorHAnsi" w:hAnsiTheme="minorHAnsi" w:cstheme="minorHAnsi"/>
          <w:i/>
          <w:iCs/>
        </w:rPr>
        <w:t xml:space="preserve">that TCD bubble testing </w:t>
      </w:r>
      <w:r>
        <w:rPr>
          <w:rFonts w:asciiTheme="minorHAnsi" w:hAnsiTheme="minorHAnsi" w:cstheme="minorHAnsi"/>
          <w:i/>
          <w:iCs/>
        </w:rPr>
        <w:t>detects</w:t>
      </w:r>
      <w:r w:rsidRPr="008A2328">
        <w:rPr>
          <w:rFonts w:asciiTheme="minorHAnsi" w:hAnsiTheme="minorHAnsi" w:cstheme="minorHAnsi"/>
          <w:i/>
          <w:iCs/>
        </w:rPr>
        <w:t xml:space="preserve"> the presence of a righ</w:t>
      </w:r>
      <w:r>
        <w:rPr>
          <w:rFonts w:asciiTheme="minorHAnsi" w:hAnsiTheme="minorHAnsi" w:cstheme="minorHAnsi"/>
          <w:i/>
          <w:iCs/>
        </w:rPr>
        <w:t>t-</w:t>
      </w:r>
      <w:r w:rsidRPr="008A2328">
        <w:rPr>
          <w:rFonts w:asciiTheme="minorHAnsi" w:hAnsiTheme="minorHAnsi" w:cstheme="minorHAnsi"/>
          <w:i/>
          <w:iCs/>
        </w:rPr>
        <w:t>t</w:t>
      </w:r>
      <w:r>
        <w:rPr>
          <w:rFonts w:asciiTheme="minorHAnsi" w:hAnsiTheme="minorHAnsi" w:cstheme="minorHAnsi"/>
          <w:i/>
          <w:iCs/>
        </w:rPr>
        <w:t>o-</w:t>
      </w:r>
      <w:r w:rsidRPr="008A2328">
        <w:rPr>
          <w:rFonts w:asciiTheme="minorHAnsi" w:hAnsiTheme="minorHAnsi" w:cstheme="minorHAnsi"/>
          <w:i/>
          <w:iCs/>
        </w:rPr>
        <w:t xml:space="preserve">left shunt rather than </w:t>
      </w:r>
      <w:r>
        <w:rPr>
          <w:rFonts w:asciiTheme="minorHAnsi" w:hAnsiTheme="minorHAnsi" w:cstheme="minorHAnsi"/>
          <w:i/>
          <w:iCs/>
        </w:rPr>
        <w:t xml:space="preserve">directly </w:t>
      </w:r>
      <w:r w:rsidRPr="008A2328">
        <w:rPr>
          <w:rFonts w:asciiTheme="minorHAnsi" w:hAnsiTheme="minorHAnsi" w:cstheme="minorHAnsi"/>
          <w:i/>
          <w:iCs/>
        </w:rPr>
        <w:t xml:space="preserve">diagnosing a PFO, reinforcing the ongoing role of confirmatory TOE. </w:t>
      </w:r>
      <w:r>
        <w:rPr>
          <w:rFonts w:asciiTheme="minorHAnsi" w:hAnsiTheme="minorHAnsi" w:cstheme="minorHAnsi"/>
          <w:i/>
          <w:iCs/>
        </w:rPr>
        <w:t xml:space="preserve">PASC further noted </w:t>
      </w:r>
      <w:r w:rsidRPr="000176C2">
        <w:rPr>
          <w:rFonts w:asciiTheme="minorHAnsi" w:hAnsiTheme="minorHAnsi" w:cstheme="minorHAnsi"/>
          <w:i/>
          <w:iCs/>
        </w:rPr>
        <w:t>RANZCR</w:t>
      </w:r>
      <w:r>
        <w:rPr>
          <w:rFonts w:asciiTheme="minorHAnsi" w:hAnsiTheme="minorHAnsi" w:cstheme="minorHAnsi"/>
          <w:i/>
          <w:iCs/>
        </w:rPr>
        <w:t>’s</w:t>
      </w:r>
      <w:r w:rsidRPr="000176C2">
        <w:rPr>
          <w:rFonts w:asciiTheme="minorHAnsi" w:hAnsiTheme="minorHAnsi" w:cstheme="minorHAnsi"/>
          <w:i/>
          <w:iCs/>
        </w:rPr>
        <w:t xml:space="preserve"> </w:t>
      </w:r>
      <w:r>
        <w:rPr>
          <w:rFonts w:asciiTheme="minorHAnsi" w:hAnsiTheme="minorHAnsi" w:cstheme="minorHAnsi"/>
          <w:i/>
          <w:iCs/>
        </w:rPr>
        <w:t>comments</w:t>
      </w:r>
      <w:r w:rsidRPr="000176C2">
        <w:rPr>
          <w:rFonts w:asciiTheme="minorHAnsi" w:hAnsiTheme="minorHAnsi" w:cstheme="minorHAnsi"/>
          <w:i/>
          <w:iCs/>
        </w:rPr>
        <w:t xml:space="preserve"> </w:t>
      </w:r>
      <w:r>
        <w:rPr>
          <w:rFonts w:asciiTheme="minorHAnsi" w:hAnsiTheme="minorHAnsi" w:cstheme="minorHAnsi"/>
          <w:i/>
          <w:iCs/>
        </w:rPr>
        <w:t xml:space="preserve">that </w:t>
      </w:r>
      <w:r w:rsidRPr="000176C2">
        <w:rPr>
          <w:rFonts w:asciiTheme="minorHAnsi" w:hAnsiTheme="minorHAnsi" w:cstheme="minorHAnsi"/>
          <w:i/>
          <w:iCs/>
        </w:rPr>
        <w:t>access to</w:t>
      </w:r>
      <w:r>
        <w:rPr>
          <w:rFonts w:asciiTheme="minorHAnsi" w:hAnsiTheme="minorHAnsi" w:cstheme="minorHAnsi"/>
          <w:i/>
          <w:iCs/>
        </w:rPr>
        <w:t>,</w:t>
      </w:r>
      <w:r w:rsidRPr="000176C2">
        <w:rPr>
          <w:rFonts w:asciiTheme="minorHAnsi" w:hAnsiTheme="minorHAnsi" w:cstheme="minorHAnsi"/>
          <w:i/>
          <w:iCs/>
        </w:rPr>
        <w:t xml:space="preserve"> and waiting times for</w:t>
      </w:r>
      <w:r>
        <w:rPr>
          <w:rFonts w:asciiTheme="minorHAnsi" w:hAnsiTheme="minorHAnsi" w:cstheme="minorHAnsi"/>
          <w:i/>
          <w:iCs/>
        </w:rPr>
        <w:t>,</w:t>
      </w:r>
      <w:r w:rsidRPr="000176C2">
        <w:rPr>
          <w:rFonts w:asciiTheme="minorHAnsi" w:hAnsiTheme="minorHAnsi" w:cstheme="minorHAnsi"/>
          <w:i/>
          <w:iCs/>
        </w:rPr>
        <w:t xml:space="preserve"> TTE and TOE vary across Australia</w:t>
      </w:r>
      <w:r>
        <w:rPr>
          <w:rFonts w:asciiTheme="minorHAnsi" w:hAnsiTheme="minorHAnsi" w:cstheme="minorHAnsi"/>
          <w:i/>
          <w:iCs/>
        </w:rPr>
        <w:t xml:space="preserve">, and </w:t>
      </w:r>
      <w:r w:rsidRPr="000176C2">
        <w:rPr>
          <w:rFonts w:asciiTheme="minorHAnsi" w:hAnsiTheme="minorHAnsi" w:cstheme="minorHAnsi"/>
          <w:i/>
          <w:iCs/>
        </w:rPr>
        <w:t xml:space="preserve">that </w:t>
      </w:r>
      <w:r>
        <w:rPr>
          <w:rFonts w:asciiTheme="minorHAnsi" w:hAnsiTheme="minorHAnsi" w:cstheme="minorHAnsi"/>
          <w:i/>
          <w:iCs/>
        </w:rPr>
        <w:t xml:space="preserve">radiologists and interventional neuroradiologists also provide </w:t>
      </w:r>
      <w:r w:rsidRPr="000176C2">
        <w:rPr>
          <w:rFonts w:asciiTheme="minorHAnsi" w:hAnsiTheme="minorHAnsi" w:cstheme="minorHAnsi"/>
          <w:i/>
          <w:iCs/>
        </w:rPr>
        <w:t>TCD services.</w:t>
      </w:r>
      <w:r>
        <w:rPr>
          <w:rFonts w:asciiTheme="minorHAnsi" w:hAnsiTheme="minorHAnsi" w:cstheme="minorHAnsi"/>
          <w:i/>
          <w:iCs/>
        </w:rPr>
        <w:t xml:space="preserve"> </w:t>
      </w:r>
      <w:r w:rsidRPr="00B67779">
        <w:rPr>
          <w:rFonts w:asciiTheme="minorHAnsi" w:hAnsiTheme="minorHAnsi" w:cstheme="minorHAnsi"/>
          <w:i/>
          <w:iCs/>
        </w:rPr>
        <w:t>PASC noted the applicant's advice that radiologists and interventional neuroradiologists do not currently routinely provide TCD bubble testing services in Australia</w:t>
      </w:r>
      <w:r>
        <w:rPr>
          <w:rFonts w:asciiTheme="minorHAnsi" w:hAnsiTheme="minorHAnsi" w:cstheme="minorHAnsi"/>
          <w:i/>
          <w:iCs/>
        </w:rPr>
        <w:t xml:space="preserve">n stroke centres, </w:t>
      </w:r>
      <w:r w:rsidRPr="00D247AD">
        <w:rPr>
          <w:rFonts w:asciiTheme="minorHAnsi" w:hAnsiTheme="minorHAnsi" w:cstheme="minorHAnsi"/>
          <w:i/>
          <w:iCs/>
        </w:rPr>
        <w:t>with existing services primarily delivered through neurolog</w:t>
      </w:r>
      <w:r>
        <w:rPr>
          <w:rFonts w:asciiTheme="minorHAnsi" w:hAnsiTheme="minorHAnsi" w:cstheme="minorHAnsi"/>
          <w:i/>
          <w:iCs/>
        </w:rPr>
        <w:t>y-</w:t>
      </w:r>
      <w:r w:rsidRPr="00D247AD">
        <w:rPr>
          <w:rFonts w:asciiTheme="minorHAnsi" w:hAnsiTheme="minorHAnsi" w:cstheme="minorHAnsi"/>
          <w:i/>
          <w:iCs/>
        </w:rPr>
        <w:t>led stroke and neurovascular centres</w:t>
      </w:r>
      <w:r w:rsidRPr="00B67779">
        <w:rPr>
          <w:rFonts w:asciiTheme="minorHAnsi" w:hAnsiTheme="minorHAnsi" w:cstheme="minorHAnsi"/>
          <w:i/>
          <w:iCs/>
        </w:rPr>
        <w:t>.</w:t>
      </w:r>
    </w:p>
    <w:p w14:paraId="4E68667F" w14:textId="77777777" w:rsidR="00D37A3F" w:rsidRPr="00D37A3F" w:rsidRDefault="00D37A3F" w:rsidP="00984989">
      <w:pPr>
        <w:pStyle w:val="Heading2"/>
      </w:pPr>
      <w:r w:rsidRPr="00D37A3F">
        <w:t>Next steps</w:t>
      </w:r>
    </w:p>
    <w:p w14:paraId="76649C63" w14:textId="3E994CC5" w:rsidR="004C3C22" w:rsidRDefault="004B5AAC" w:rsidP="00313B0E">
      <w:pPr>
        <w:rPr>
          <w:rFonts w:asciiTheme="minorHAnsi" w:hAnsiTheme="minorHAnsi" w:cstheme="minorHAnsi"/>
          <w:i/>
          <w:iCs/>
        </w:rPr>
      </w:pPr>
      <w:r w:rsidRPr="002526A6">
        <w:rPr>
          <w:rFonts w:asciiTheme="minorHAnsi" w:hAnsiTheme="minorHAnsi" w:cstheme="minorHAnsi"/>
          <w:i/>
          <w:iCs/>
        </w:rPr>
        <w:t xml:space="preserve">PASC </w:t>
      </w:r>
      <w:r>
        <w:rPr>
          <w:rFonts w:asciiTheme="minorHAnsi" w:hAnsiTheme="minorHAnsi" w:cstheme="minorHAnsi"/>
          <w:i/>
          <w:iCs/>
        </w:rPr>
        <w:t xml:space="preserve">advised </w:t>
      </w:r>
      <w:r w:rsidRPr="002526A6">
        <w:rPr>
          <w:rFonts w:asciiTheme="minorHAnsi" w:hAnsiTheme="minorHAnsi" w:cstheme="minorHAnsi"/>
          <w:i/>
          <w:iCs/>
        </w:rPr>
        <w:t xml:space="preserve">the application </w:t>
      </w:r>
      <w:r>
        <w:rPr>
          <w:rFonts w:asciiTheme="minorHAnsi" w:hAnsiTheme="minorHAnsi" w:cstheme="minorHAnsi"/>
          <w:i/>
          <w:iCs/>
        </w:rPr>
        <w:t>could</w:t>
      </w:r>
      <w:r w:rsidRPr="002526A6">
        <w:rPr>
          <w:rFonts w:asciiTheme="minorHAnsi" w:hAnsiTheme="minorHAnsi" w:cstheme="minorHAnsi"/>
          <w:i/>
          <w:iCs/>
        </w:rPr>
        <w:t xml:space="preserve"> proceed </w:t>
      </w:r>
      <w:r>
        <w:rPr>
          <w:rFonts w:asciiTheme="minorHAnsi" w:hAnsiTheme="minorHAnsi" w:cstheme="minorHAnsi"/>
          <w:i/>
          <w:iCs/>
        </w:rPr>
        <w:t>to the</w:t>
      </w:r>
      <w:r w:rsidRPr="002526A6">
        <w:rPr>
          <w:rFonts w:asciiTheme="minorHAnsi" w:hAnsiTheme="minorHAnsi" w:cstheme="minorHAnsi"/>
          <w:i/>
          <w:iCs/>
        </w:rPr>
        <w:t xml:space="preserve"> assessment</w:t>
      </w:r>
      <w:r>
        <w:rPr>
          <w:rFonts w:asciiTheme="minorHAnsi" w:hAnsiTheme="minorHAnsi" w:cstheme="minorHAnsi"/>
          <w:i/>
          <w:iCs/>
        </w:rPr>
        <w:t xml:space="preserve"> stage</w:t>
      </w:r>
      <w:r w:rsidRPr="002526A6">
        <w:rPr>
          <w:rFonts w:asciiTheme="minorHAnsi" w:hAnsiTheme="minorHAnsi" w:cstheme="minorHAnsi"/>
          <w:i/>
          <w:iCs/>
        </w:rPr>
        <w:t>.</w:t>
      </w:r>
    </w:p>
    <w:p w14:paraId="43B8C978" w14:textId="6C471F4C" w:rsidR="000B145F" w:rsidRDefault="000B145F" w:rsidP="000B145F">
      <w:pPr>
        <w:pStyle w:val="Heading2"/>
      </w:pPr>
      <w:r>
        <w:t>Applicant Comments on Ratified PICO</w:t>
      </w:r>
    </w:p>
    <w:p w14:paraId="3826AEBA" w14:textId="19D420C6" w:rsidR="000B145F" w:rsidRPr="000B145F" w:rsidRDefault="008A1BEC" w:rsidP="000B145F">
      <w:r>
        <w:t>Th</w:t>
      </w:r>
      <w:r w:rsidR="00243F9E">
        <w:t>e applicant had no comment</w:t>
      </w:r>
      <w:r w:rsidR="004848F8">
        <w:t>.</w:t>
      </w:r>
    </w:p>
    <w:p w14:paraId="202843AB" w14:textId="77777777" w:rsidR="000B145F" w:rsidRPr="000B145F" w:rsidRDefault="000B145F" w:rsidP="00313B0E"/>
    <w:p w14:paraId="73A2A9C9" w14:textId="7B804169" w:rsidR="006478E7" w:rsidRDefault="00196F67" w:rsidP="005E7F6C">
      <w:pPr>
        <w:pStyle w:val="Heading2"/>
        <w:spacing w:before="0"/>
      </w:pPr>
      <w:r>
        <w:br w:type="page"/>
      </w:r>
      <w:r w:rsidR="00A33126" w:rsidRPr="00A33126">
        <w:lastRenderedPageBreak/>
        <w:t>References</w:t>
      </w:r>
    </w:p>
    <w:p w14:paraId="79D94005" w14:textId="257EFC07" w:rsidR="00D70F96" w:rsidRDefault="00D70F96" w:rsidP="001E5F52">
      <w:pPr>
        <w:ind w:left="567" w:hanging="567"/>
      </w:pPr>
      <w:proofErr w:type="spellStart"/>
      <w:r w:rsidRPr="00D70F96">
        <w:t>Almuzainy</w:t>
      </w:r>
      <w:proofErr w:type="spellEnd"/>
      <w:r w:rsidRPr="00D70F96">
        <w:t xml:space="preserve"> S, </w:t>
      </w:r>
      <w:proofErr w:type="spellStart"/>
      <w:r w:rsidRPr="00D70F96">
        <w:t>Hamodat</w:t>
      </w:r>
      <w:proofErr w:type="spellEnd"/>
      <w:r w:rsidRPr="00D70F96">
        <w:t xml:space="preserve"> O, Yahya R, </w:t>
      </w:r>
      <w:proofErr w:type="spellStart"/>
      <w:r w:rsidRPr="00D70F96">
        <w:t>Koniali</w:t>
      </w:r>
      <w:proofErr w:type="spellEnd"/>
      <w:r w:rsidRPr="00D70F96">
        <w:t xml:space="preserve"> S</w:t>
      </w:r>
      <w:r>
        <w:t xml:space="preserve"> and </w:t>
      </w:r>
      <w:r w:rsidRPr="00D70F96">
        <w:t>Qaisar R</w:t>
      </w:r>
      <w:r>
        <w:t xml:space="preserve"> (2025)</w:t>
      </w:r>
      <w:r w:rsidRPr="00D70F96">
        <w:t xml:space="preserve"> </w:t>
      </w:r>
      <w:r>
        <w:t>‘</w:t>
      </w:r>
      <w:r w:rsidRPr="00D70F96">
        <w:t xml:space="preserve">An </w:t>
      </w:r>
      <w:r>
        <w:t>u</w:t>
      </w:r>
      <w:r w:rsidRPr="00D70F96">
        <w:t xml:space="preserve">pdated </w:t>
      </w:r>
      <w:r>
        <w:t>m</w:t>
      </w:r>
      <w:r w:rsidRPr="00D70F96">
        <w:t>eta-</w:t>
      </w:r>
      <w:r>
        <w:t>a</w:t>
      </w:r>
      <w:r w:rsidRPr="00D70F96">
        <w:t xml:space="preserve">nalysis of </w:t>
      </w:r>
      <w:r>
        <w:t>p</w:t>
      </w:r>
      <w:r w:rsidRPr="00D70F96">
        <w:t xml:space="preserve">atent </w:t>
      </w:r>
      <w:r>
        <w:t>f</w:t>
      </w:r>
      <w:r w:rsidRPr="00D70F96">
        <w:t xml:space="preserve">oramen </w:t>
      </w:r>
      <w:proofErr w:type="spellStart"/>
      <w:r>
        <w:t>o</w:t>
      </w:r>
      <w:r w:rsidRPr="00D70F96">
        <w:t>vale</w:t>
      </w:r>
      <w:proofErr w:type="spellEnd"/>
      <w:r w:rsidRPr="00D70F96">
        <w:t xml:space="preserve"> </w:t>
      </w:r>
      <w:r>
        <w:t>c</w:t>
      </w:r>
      <w:r w:rsidRPr="00D70F96">
        <w:t xml:space="preserve">losure </w:t>
      </w:r>
      <w:r>
        <w:t>v</w:t>
      </w:r>
      <w:r w:rsidRPr="00D70F96">
        <w:t xml:space="preserve">ersus </w:t>
      </w:r>
      <w:r>
        <w:t>m</w:t>
      </w:r>
      <w:r w:rsidRPr="00D70F96">
        <w:t xml:space="preserve">edical </w:t>
      </w:r>
      <w:r>
        <w:t>t</w:t>
      </w:r>
      <w:r w:rsidRPr="00D70F96">
        <w:t xml:space="preserve">herapy for </w:t>
      </w:r>
      <w:r>
        <w:t>p</w:t>
      </w:r>
      <w:r w:rsidRPr="00D70F96">
        <w:t xml:space="preserve">reventing </w:t>
      </w:r>
      <w:r>
        <w:t>r</w:t>
      </w:r>
      <w:r w:rsidRPr="00D70F96">
        <w:t xml:space="preserve">ecurrent </w:t>
      </w:r>
      <w:r>
        <w:t>c</w:t>
      </w:r>
      <w:r w:rsidRPr="00D70F96">
        <w:t xml:space="preserve">ryptogenic </w:t>
      </w:r>
      <w:r>
        <w:t>s</w:t>
      </w:r>
      <w:r w:rsidRPr="00D70F96">
        <w:t>troke</w:t>
      </w:r>
      <w:r w:rsidR="000B1CCF">
        <w:t>’,</w:t>
      </w:r>
      <w:r w:rsidRPr="00D70F96">
        <w:t xml:space="preserve"> </w:t>
      </w:r>
      <w:proofErr w:type="spellStart"/>
      <w:r w:rsidRPr="000B1CCF">
        <w:rPr>
          <w:i/>
          <w:iCs/>
        </w:rPr>
        <w:t>Cureus</w:t>
      </w:r>
      <w:proofErr w:type="spellEnd"/>
      <w:r w:rsidR="000B1CCF">
        <w:t>,</w:t>
      </w:r>
      <w:r w:rsidRPr="00D70F96">
        <w:t xml:space="preserve"> 17(11):e97504</w:t>
      </w:r>
      <w:r w:rsidR="000B1CCF">
        <w:t>,</w:t>
      </w:r>
      <w:r w:rsidRPr="00D70F96">
        <w:t xml:space="preserve"> doi:10.7759/cureus.97504.</w:t>
      </w:r>
    </w:p>
    <w:p w14:paraId="06CA5A25" w14:textId="4A4E19C9" w:rsidR="007033F7" w:rsidRDefault="002502E6" w:rsidP="001E5F52">
      <w:pPr>
        <w:ind w:left="567" w:hanging="567"/>
      </w:pPr>
      <w:r w:rsidRPr="002502E6">
        <w:t xml:space="preserve">Caso V, </w:t>
      </w:r>
      <w:proofErr w:type="spellStart"/>
      <w:r w:rsidRPr="002502E6">
        <w:t>Turc</w:t>
      </w:r>
      <w:proofErr w:type="spellEnd"/>
      <w:r w:rsidRPr="002502E6">
        <w:t xml:space="preserve"> G, Abdul-Rahim AH, Castro P, Hussain S, Lal A, Mattle H, </w:t>
      </w:r>
      <w:proofErr w:type="spellStart"/>
      <w:r w:rsidRPr="002502E6">
        <w:t>Korompoki</w:t>
      </w:r>
      <w:proofErr w:type="spellEnd"/>
      <w:r w:rsidRPr="002502E6">
        <w:t xml:space="preserve"> E, Søndergaard L, Toni D, Walter S</w:t>
      </w:r>
      <w:r>
        <w:t xml:space="preserve"> and</w:t>
      </w:r>
      <w:r w:rsidRPr="002502E6">
        <w:t xml:space="preserve"> </w:t>
      </w:r>
      <w:proofErr w:type="spellStart"/>
      <w:r w:rsidRPr="002502E6">
        <w:t>Pristipino</w:t>
      </w:r>
      <w:proofErr w:type="spellEnd"/>
      <w:r w:rsidRPr="002502E6">
        <w:t xml:space="preserve"> C</w:t>
      </w:r>
      <w:r>
        <w:t xml:space="preserve"> (2024)</w:t>
      </w:r>
      <w:r w:rsidRPr="002502E6">
        <w:t xml:space="preserve"> </w:t>
      </w:r>
      <w:r>
        <w:t>‘</w:t>
      </w:r>
      <w:r w:rsidRPr="002502E6">
        <w:t xml:space="preserve">European Stroke Organisation (ESO) Guidelines on the diagnosis and management of patent foramen </w:t>
      </w:r>
      <w:proofErr w:type="spellStart"/>
      <w:r w:rsidRPr="002502E6">
        <w:t>ovale</w:t>
      </w:r>
      <w:proofErr w:type="spellEnd"/>
      <w:r w:rsidRPr="002502E6">
        <w:t xml:space="preserve"> (PFO) after stroke</w:t>
      </w:r>
      <w:r>
        <w:t>’,</w:t>
      </w:r>
      <w:r w:rsidRPr="002502E6">
        <w:t xml:space="preserve"> </w:t>
      </w:r>
      <w:proofErr w:type="spellStart"/>
      <w:r w:rsidRPr="002502E6">
        <w:rPr>
          <w:i/>
          <w:iCs/>
        </w:rPr>
        <w:t>Eur</w:t>
      </w:r>
      <w:proofErr w:type="spellEnd"/>
      <w:r w:rsidRPr="002502E6">
        <w:rPr>
          <w:i/>
          <w:iCs/>
        </w:rPr>
        <w:t xml:space="preserve"> Stroke J</w:t>
      </w:r>
      <w:r>
        <w:t>,</w:t>
      </w:r>
      <w:r w:rsidRPr="002502E6">
        <w:t xml:space="preserve"> 9(4):800-834</w:t>
      </w:r>
      <w:r>
        <w:t xml:space="preserve">, </w:t>
      </w:r>
      <w:r w:rsidRPr="002502E6">
        <w:t>doi:10.1177/23969873241247978.</w:t>
      </w:r>
    </w:p>
    <w:p w14:paraId="31FD99C0" w14:textId="70BC10B1" w:rsidR="006805A2" w:rsidRDefault="00EC029F" w:rsidP="001E5F52">
      <w:pPr>
        <w:ind w:left="567" w:hanging="567"/>
      </w:pPr>
      <w:r w:rsidRPr="00EC029F">
        <w:t>Chambers</w:t>
      </w:r>
      <w:r>
        <w:t xml:space="preserve"> BR</w:t>
      </w:r>
      <w:r w:rsidRPr="00EC029F">
        <w:t>, Sanders</w:t>
      </w:r>
      <w:r>
        <w:t xml:space="preserve"> LM</w:t>
      </w:r>
      <w:r w:rsidRPr="00EC029F">
        <w:t>, Gilligan</w:t>
      </w:r>
      <w:r w:rsidR="00EC1F4F">
        <w:t xml:space="preserve"> A</w:t>
      </w:r>
      <w:r w:rsidRPr="00EC029F">
        <w:t xml:space="preserve">, </w:t>
      </w:r>
      <w:r w:rsidR="00373823">
        <w:t xml:space="preserve">Garcia-Esperon C, Ho J, </w:t>
      </w:r>
      <w:r w:rsidR="001601EF">
        <w:t>Fink J, Yudi M, Lee-Archer M, Stanislaus V</w:t>
      </w:r>
      <w:r w:rsidR="00C547FC">
        <w:t xml:space="preserve"> and Wong AA </w:t>
      </w:r>
      <w:r w:rsidR="00EC1F4F">
        <w:t>(2026)</w:t>
      </w:r>
      <w:r w:rsidRPr="00EC029F">
        <w:t xml:space="preserve"> </w:t>
      </w:r>
      <w:r w:rsidR="00EC1F4F">
        <w:t>‘</w:t>
      </w:r>
      <w:r w:rsidRPr="00EC029F">
        <w:t xml:space="preserve">Diagnosis and </w:t>
      </w:r>
      <w:r w:rsidR="00EC1F4F">
        <w:t>m</w:t>
      </w:r>
      <w:r w:rsidRPr="00EC029F">
        <w:t xml:space="preserve">anagement of </w:t>
      </w:r>
      <w:r w:rsidR="00EC1F4F">
        <w:t>p</w:t>
      </w:r>
      <w:r w:rsidRPr="00EC029F">
        <w:t xml:space="preserve">atent </w:t>
      </w:r>
      <w:r w:rsidR="00EC1F4F">
        <w:t>f</w:t>
      </w:r>
      <w:r w:rsidRPr="00EC029F">
        <w:t xml:space="preserve">oramen </w:t>
      </w:r>
      <w:proofErr w:type="spellStart"/>
      <w:r w:rsidR="00EC1F4F">
        <w:t>o</w:t>
      </w:r>
      <w:r w:rsidRPr="00EC029F">
        <w:t>vale</w:t>
      </w:r>
      <w:proofErr w:type="spellEnd"/>
      <w:r w:rsidRPr="00EC029F">
        <w:t xml:space="preserve"> for </w:t>
      </w:r>
      <w:r w:rsidR="00EC1F4F">
        <w:t>s</w:t>
      </w:r>
      <w:r w:rsidRPr="00EC029F">
        <w:t xml:space="preserve">troke </w:t>
      </w:r>
      <w:r w:rsidR="00EC1F4F">
        <w:t>p</w:t>
      </w:r>
      <w:r w:rsidRPr="00EC029F">
        <w:t xml:space="preserve">revention: An Australian and New Zealand Consensus Statement </w:t>
      </w:r>
      <w:r w:rsidR="00EC1F4F">
        <w:t>d</w:t>
      </w:r>
      <w:r w:rsidRPr="00EC029F">
        <w:t xml:space="preserve">eveloped by a </w:t>
      </w:r>
      <w:r w:rsidR="00EC1F4F">
        <w:t>m</w:t>
      </w:r>
      <w:r w:rsidRPr="00EC029F">
        <w:t xml:space="preserve">odified </w:t>
      </w:r>
      <w:r w:rsidR="00EC1F4F">
        <w:t>n</w:t>
      </w:r>
      <w:r w:rsidRPr="00EC029F">
        <w:t xml:space="preserve">ominal </w:t>
      </w:r>
      <w:r w:rsidR="00EC1F4F">
        <w:t>g</w:t>
      </w:r>
      <w:r w:rsidRPr="00EC029F">
        <w:t xml:space="preserve">roup </w:t>
      </w:r>
      <w:r w:rsidR="00EC1F4F">
        <w:t>a</w:t>
      </w:r>
      <w:r w:rsidRPr="00EC029F">
        <w:t>pproach</w:t>
      </w:r>
      <w:r w:rsidR="00EC1F4F">
        <w:t>’</w:t>
      </w:r>
      <w:r w:rsidRPr="00EC029F">
        <w:t xml:space="preserve">, </w:t>
      </w:r>
      <w:r w:rsidRPr="00B55D0C">
        <w:rPr>
          <w:i/>
          <w:iCs/>
        </w:rPr>
        <w:t>Med J Aust</w:t>
      </w:r>
      <w:r w:rsidR="00EC1F4F">
        <w:t xml:space="preserve">, </w:t>
      </w:r>
      <w:r w:rsidRPr="00EC029F">
        <w:t>224</w:t>
      </w:r>
      <w:r w:rsidR="00EC1F4F">
        <w:t xml:space="preserve"> (5)</w:t>
      </w:r>
      <w:r w:rsidRPr="00EC029F">
        <w:t>: e70199, doi</w:t>
      </w:r>
      <w:r w:rsidR="00B55D0C">
        <w:t>:</w:t>
      </w:r>
      <w:r w:rsidRPr="00EC029F">
        <w:t>10.5694/mja2.70199.</w:t>
      </w:r>
    </w:p>
    <w:p w14:paraId="18791857" w14:textId="4FB0CD47" w:rsidR="00A50D06" w:rsidRDefault="00665044" w:rsidP="001E5F52">
      <w:pPr>
        <w:ind w:left="567" w:hanging="567"/>
      </w:pPr>
      <w:r w:rsidRPr="00665044">
        <w:t xml:space="preserve">Di Tullio M, Sacco RL, </w:t>
      </w:r>
      <w:proofErr w:type="spellStart"/>
      <w:r w:rsidRPr="00665044">
        <w:t>Venketasubramanian</w:t>
      </w:r>
      <w:proofErr w:type="spellEnd"/>
      <w:r w:rsidRPr="00665044">
        <w:t xml:space="preserve"> N, Sherman D, Mohr JP</w:t>
      </w:r>
      <w:r>
        <w:t xml:space="preserve"> and</w:t>
      </w:r>
      <w:r w:rsidRPr="00665044">
        <w:t xml:space="preserve"> Homma S</w:t>
      </w:r>
      <w:r>
        <w:t xml:space="preserve"> (1993) ‘</w:t>
      </w:r>
      <w:r w:rsidRPr="00665044">
        <w:t xml:space="preserve">Comparison of diagnostic techniques for the detection of a patent foramen </w:t>
      </w:r>
      <w:proofErr w:type="spellStart"/>
      <w:r w:rsidRPr="00665044">
        <w:t>ovale</w:t>
      </w:r>
      <w:proofErr w:type="spellEnd"/>
      <w:r w:rsidRPr="00665044">
        <w:t xml:space="preserve"> in stroke patients</w:t>
      </w:r>
      <w:r>
        <w:t>’,</w:t>
      </w:r>
      <w:r w:rsidRPr="00665044">
        <w:t xml:space="preserve"> </w:t>
      </w:r>
      <w:r w:rsidRPr="00665044">
        <w:rPr>
          <w:i/>
          <w:iCs/>
        </w:rPr>
        <w:t>Stroke</w:t>
      </w:r>
      <w:r>
        <w:t>,</w:t>
      </w:r>
      <w:r w:rsidRPr="00665044">
        <w:t xml:space="preserve"> 24(7):1020-4</w:t>
      </w:r>
      <w:r>
        <w:t>,</w:t>
      </w:r>
      <w:r w:rsidRPr="00665044">
        <w:t xml:space="preserve"> doi:10.1161/01.str.24.7.1020.</w:t>
      </w:r>
    </w:p>
    <w:p w14:paraId="4025E1CA" w14:textId="0795F8E7" w:rsidR="001E5F52" w:rsidRDefault="001E5F52" w:rsidP="001E5F52">
      <w:pPr>
        <w:ind w:left="567" w:hanging="567"/>
      </w:pPr>
      <w:r w:rsidRPr="00D303AF">
        <w:t xml:space="preserve">Elgendy AY, Saver JL, Amin Z, </w:t>
      </w:r>
      <w:proofErr w:type="spellStart"/>
      <w:r w:rsidRPr="00D303AF">
        <w:t>Boudoulas</w:t>
      </w:r>
      <w:proofErr w:type="spellEnd"/>
      <w:r w:rsidRPr="00D303AF">
        <w:t xml:space="preserve"> KD, Carroll JD, Elgendy IY, Grunwald IQ, Gertz ZM, Hijazi ZM, Horlick EM, Kasner SE, Kent DM, Kumar P, Kavinsky CJ, Liebeskind DS, </w:t>
      </w:r>
      <w:proofErr w:type="spellStart"/>
      <w:r w:rsidRPr="00D303AF">
        <w:t>Lutsep</w:t>
      </w:r>
      <w:proofErr w:type="spellEnd"/>
      <w:r w:rsidRPr="00D303AF">
        <w:t xml:space="preserve"> H, Mojadidi MK, </w:t>
      </w:r>
      <w:proofErr w:type="spellStart"/>
      <w:r w:rsidRPr="00D303AF">
        <w:t>Messé</w:t>
      </w:r>
      <w:proofErr w:type="spellEnd"/>
      <w:r w:rsidRPr="00D303AF">
        <w:t xml:space="preserve"> SR, Mas JL, Mattle HP, Meier B, Mahmoud A, Mahmoud AN, </w:t>
      </w:r>
      <w:proofErr w:type="spellStart"/>
      <w:r w:rsidRPr="00D303AF">
        <w:t>Nietlispach</w:t>
      </w:r>
      <w:proofErr w:type="spellEnd"/>
      <w:r w:rsidRPr="00D303AF">
        <w:t xml:space="preserve"> F, Patel NK, Rhodes JF, Reisman M, Sommer RJ, Sievert H, Søndergaard L, Zaman MO, Thaler D and Tobis JM (2020) ‘Proposal for updated nomenclature and classification of potential causative mechanism in patent foramen </w:t>
      </w:r>
      <w:proofErr w:type="spellStart"/>
      <w:r w:rsidRPr="00D303AF">
        <w:t>ovale</w:t>
      </w:r>
      <w:proofErr w:type="spellEnd"/>
      <w:r w:rsidRPr="00D303AF">
        <w:t xml:space="preserve">-associated stroke’, </w:t>
      </w:r>
      <w:r w:rsidRPr="00D303AF">
        <w:rPr>
          <w:i/>
          <w:iCs/>
        </w:rPr>
        <w:t>JAMA Neurol</w:t>
      </w:r>
      <w:r w:rsidRPr="00D303AF">
        <w:t>, 77(7):878-886, doi:10.1001/jamaneurol.2020.0458.</w:t>
      </w:r>
    </w:p>
    <w:p w14:paraId="338F0AB3" w14:textId="26ED033C" w:rsidR="00807B21" w:rsidRDefault="00807B21" w:rsidP="001E5F52">
      <w:pPr>
        <w:ind w:left="567" w:hanging="567"/>
      </w:pPr>
      <w:r w:rsidRPr="00807B21">
        <w:t>González-</w:t>
      </w:r>
      <w:proofErr w:type="spellStart"/>
      <w:r w:rsidRPr="00807B21">
        <w:t>Alujas</w:t>
      </w:r>
      <w:proofErr w:type="spellEnd"/>
      <w:r w:rsidRPr="00807B21">
        <w:t xml:space="preserve"> T, Evangelista A, Santamarina E, Rubiera M, Gómez-Bosch Z, Rodríguez-Palomares JF, </w:t>
      </w:r>
      <w:proofErr w:type="spellStart"/>
      <w:r w:rsidRPr="00807B21">
        <w:t>Avegliano</w:t>
      </w:r>
      <w:proofErr w:type="spellEnd"/>
      <w:r w:rsidRPr="00807B21">
        <w:t xml:space="preserve"> G, Molina C, Alvarez-</w:t>
      </w:r>
      <w:proofErr w:type="spellStart"/>
      <w:r w:rsidRPr="00807B21">
        <w:t>Sabín</w:t>
      </w:r>
      <w:proofErr w:type="spellEnd"/>
      <w:r w:rsidRPr="00807B21">
        <w:t xml:space="preserve"> J</w:t>
      </w:r>
      <w:r>
        <w:t xml:space="preserve"> and</w:t>
      </w:r>
      <w:r w:rsidRPr="00807B21">
        <w:t xml:space="preserve"> García-Dorado D</w:t>
      </w:r>
      <w:r>
        <w:t xml:space="preserve"> (2011)</w:t>
      </w:r>
      <w:r w:rsidRPr="00807B21">
        <w:t xml:space="preserve"> </w:t>
      </w:r>
      <w:r>
        <w:t>‘</w:t>
      </w:r>
      <w:r w:rsidRPr="00807B21">
        <w:t xml:space="preserve">Diagnosis and quantification of patent foramen </w:t>
      </w:r>
      <w:proofErr w:type="spellStart"/>
      <w:r w:rsidRPr="00807B21">
        <w:t>ovale</w:t>
      </w:r>
      <w:proofErr w:type="spellEnd"/>
      <w:r w:rsidRPr="00807B21">
        <w:t>. Which is the reference technique? Simultaneous study with transcranial Doppler, transthoracic and transesophageal echocardiography</w:t>
      </w:r>
      <w:r>
        <w:t>’,</w:t>
      </w:r>
      <w:r w:rsidRPr="00807B21">
        <w:t xml:space="preserve"> </w:t>
      </w:r>
      <w:r w:rsidRPr="00807B21">
        <w:rPr>
          <w:i/>
          <w:iCs/>
        </w:rPr>
        <w:t xml:space="preserve">Rev Esp </w:t>
      </w:r>
      <w:proofErr w:type="spellStart"/>
      <w:r w:rsidRPr="00807B21">
        <w:rPr>
          <w:i/>
          <w:iCs/>
        </w:rPr>
        <w:t>Cardiol</w:t>
      </w:r>
      <w:proofErr w:type="spellEnd"/>
      <w:r>
        <w:t>,</w:t>
      </w:r>
      <w:r w:rsidRPr="00807B21">
        <w:t xml:space="preserve"> 64(2):133-</w:t>
      </w:r>
      <w:r>
        <w:t>13</w:t>
      </w:r>
      <w:r w:rsidRPr="00807B21">
        <w:t>9</w:t>
      </w:r>
      <w:r>
        <w:t xml:space="preserve">, </w:t>
      </w:r>
      <w:r w:rsidRPr="00807B21">
        <w:t>doi:10.1016/j.recesp.2010.10.009.</w:t>
      </w:r>
    </w:p>
    <w:p w14:paraId="379FC88D" w14:textId="5E9F69F9" w:rsidR="00713C61" w:rsidRDefault="00713C61" w:rsidP="001E5F52">
      <w:pPr>
        <w:ind w:left="567" w:hanging="567"/>
      </w:pPr>
      <w:r w:rsidRPr="00713C61">
        <w:t>Hagen PT, Scholz DG</w:t>
      </w:r>
      <w:r>
        <w:t xml:space="preserve"> and </w:t>
      </w:r>
      <w:r w:rsidRPr="00713C61">
        <w:t>Edwards WD</w:t>
      </w:r>
      <w:r>
        <w:t xml:space="preserve"> (1984)</w:t>
      </w:r>
      <w:r w:rsidRPr="00713C61">
        <w:t xml:space="preserve"> </w:t>
      </w:r>
      <w:r>
        <w:t>‘</w:t>
      </w:r>
      <w:r w:rsidRPr="00713C61">
        <w:t xml:space="preserve">Incidence and size of patent foramen </w:t>
      </w:r>
      <w:proofErr w:type="spellStart"/>
      <w:r w:rsidRPr="00713C61">
        <w:t>ovale</w:t>
      </w:r>
      <w:proofErr w:type="spellEnd"/>
      <w:r w:rsidRPr="00713C61">
        <w:t xml:space="preserve"> during the first 10 decades of life: an autopsy study of 965 normal hearts</w:t>
      </w:r>
      <w:r>
        <w:t>’,</w:t>
      </w:r>
      <w:r w:rsidRPr="00713C61">
        <w:t xml:space="preserve"> </w:t>
      </w:r>
      <w:r w:rsidRPr="00713C61">
        <w:rPr>
          <w:i/>
          <w:iCs/>
        </w:rPr>
        <w:t>Mayo Clin Proc</w:t>
      </w:r>
      <w:r>
        <w:t>,</w:t>
      </w:r>
      <w:r w:rsidRPr="00713C61">
        <w:t xml:space="preserve"> 59(1):17-20</w:t>
      </w:r>
      <w:r>
        <w:t>,</w:t>
      </w:r>
      <w:r w:rsidRPr="00713C61">
        <w:t xml:space="preserve"> doi:10.1016/s0025-6196(12)60336-x.</w:t>
      </w:r>
    </w:p>
    <w:p w14:paraId="7A41E57E" w14:textId="7DE9D030" w:rsidR="003924C4" w:rsidRDefault="003924C4" w:rsidP="00D165EF">
      <w:pPr>
        <w:ind w:left="567" w:hanging="567"/>
      </w:pPr>
      <w:r w:rsidRPr="003924C4">
        <w:t xml:space="preserve">Hammad A, Ahmad A, </w:t>
      </w:r>
      <w:proofErr w:type="spellStart"/>
      <w:r w:rsidRPr="003924C4">
        <w:t>Khraisat</w:t>
      </w:r>
      <w:proofErr w:type="spellEnd"/>
      <w:r w:rsidRPr="003924C4">
        <w:t xml:space="preserve"> O, Kumar V, Munshi H, Khalid N, Al </w:t>
      </w:r>
      <w:proofErr w:type="spellStart"/>
      <w:r w:rsidRPr="003924C4">
        <w:t>Rayess</w:t>
      </w:r>
      <w:proofErr w:type="spellEnd"/>
      <w:r w:rsidRPr="003924C4">
        <w:t xml:space="preserve"> N, Ashkar H, Muhammad H, </w:t>
      </w:r>
      <w:proofErr w:type="spellStart"/>
      <w:r w:rsidRPr="003924C4">
        <w:t>Challita</w:t>
      </w:r>
      <w:proofErr w:type="spellEnd"/>
      <w:r w:rsidRPr="003924C4">
        <w:t xml:space="preserve"> R, </w:t>
      </w:r>
      <w:proofErr w:type="spellStart"/>
      <w:r w:rsidRPr="003924C4">
        <w:t>Bikkina</w:t>
      </w:r>
      <w:proofErr w:type="spellEnd"/>
      <w:r w:rsidRPr="003924C4">
        <w:t xml:space="preserve"> M, Shamoon F, Sommer R</w:t>
      </w:r>
      <w:r>
        <w:t xml:space="preserve"> and</w:t>
      </w:r>
      <w:r w:rsidRPr="003924C4">
        <w:t xml:space="preserve"> Vasudev R</w:t>
      </w:r>
      <w:r>
        <w:t xml:space="preserve"> (2025)</w:t>
      </w:r>
      <w:r w:rsidRPr="003924C4">
        <w:t xml:space="preserve"> </w:t>
      </w:r>
      <w:r>
        <w:t>‘</w:t>
      </w:r>
      <w:r w:rsidRPr="003924C4">
        <w:t xml:space="preserve">Patent foramen </w:t>
      </w:r>
      <w:proofErr w:type="spellStart"/>
      <w:r w:rsidRPr="003924C4">
        <w:t>ovale</w:t>
      </w:r>
      <w:proofErr w:type="spellEnd"/>
      <w:r w:rsidRPr="003924C4">
        <w:t xml:space="preserve"> closure vs medical therapy in secondary prevention of stroke and TIA: A systematic review and meta-analysis</w:t>
      </w:r>
      <w:r>
        <w:t>’,</w:t>
      </w:r>
      <w:r w:rsidRPr="003924C4">
        <w:t xml:space="preserve"> </w:t>
      </w:r>
      <w:r w:rsidRPr="003924C4">
        <w:rPr>
          <w:i/>
          <w:iCs/>
        </w:rPr>
        <w:t>Cardiovasc Revasc Med</w:t>
      </w:r>
      <w:r>
        <w:t>,</w:t>
      </w:r>
      <w:r w:rsidRPr="003924C4">
        <w:t xml:space="preserve"> 85:1-9</w:t>
      </w:r>
      <w:r>
        <w:t>,</w:t>
      </w:r>
      <w:r w:rsidRPr="003924C4">
        <w:t xml:space="preserve"> doi:10.1016/j.carrev.2025.06.037.</w:t>
      </w:r>
    </w:p>
    <w:p w14:paraId="3923ED2A" w14:textId="2D964E2D" w:rsidR="005A0C40" w:rsidRDefault="00C525E9" w:rsidP="00D165EF">
      <w:pPr>
        <w:ind w:left="567" w:hanging="567"/>
      </w:pPr>
      <w:r w:rsidRPr="00C525E9">
        <w:t xml:space="preserve">Katsanos AH, </w:t>
      </w:r>
      <w:proofErr w:type="spellStart"/>
      <w:r w:rsidRPr="00C525E9">
        <w:t>Psaltopoulou</w:t>
      </w:r>
      <w:proofErr w:type="spellEnd"/>
      <w:r w:rsidRPr="00C525E9">
        <w:t xml:space="preserve"> T, </w:t>
      </w:r>
      <w:proofErr w:type="spellStart"/>
      <w:r w:rsidRPr="00C525E9">
        <w:t>Sergentanis</w:t>
      </w:r>
      <w:proofErr w:type="spellEnd"/>
      <w:r w:rsidRPr="00C525E9">
        <w:t xml:space="preserve"> TN, </w:t>
      </w:r>
      <w:proofErr w:type="spellStart"/>
      <w:r w:rsidRPr="00C525E9">
        <w:t>Frogoudaki</w:t>
      </w:r>
      <w:proofErr w:type="spellEnd"/>
      <w:r w:rsidRPr="00C525E9">
        <w:t xml:space="preserve"> A, </w:t>
      </w:r>
      <w:proofErr w:type="spellStart"/>
      <w:r w:rsidRPr="00C525E9">
        <w:t>Vrettou</w:t>
      </w:r>
      <w:proofErr w:type="spellEnd"/>
      <w:r w:rsidRPr="00C525E9">
        <w:t xml:space="preserve"> AR, </w:t>
      </w:r>
      <w:proofErr w:type="spellStart"/>
      <w:r w:rsidRPr="00C525E9">
        <w:t>Ikonomidis</w:t>
      </w:r>
      <w:proofErr w:type="spellEnd"/>
      <w:r w:rsidRPr="00C525E9">
        <w:t xml:space="preserve"> I, </w:t>
      </w:r>
      <w:proofErr w:type="spellStart"/>
      <w:r w:rsidRPr="00C525E9">
        <w:t>Paraskevaidis</w:t>
      </w:r>
      <w:proofErr w:type="spellEnd"/>
      <w:r w:rsidRPr="00C525E9">
        <w:t xml:space="preserve"> I, </w:t>
      </w:r>
      <w:proofErr w:type="spellStart"/>
      <w:r w:rsidRPr="00C525E9">
        <w:t>Parissis</w:t>
      </w:r>
      <w:proofErr w:type="spellEnd"/>
      <w:r w:rsidRPr="00C525E9">
        <w:t xml:space="preserve"> J, </w:t>
      </w:r>
      <w:proofErr w:type="spellStart"/>
      <w:r w:rsidRPr="00C525E9">
        <w:t>Bogiatzi</w:t>
      </w:r>
      <w:proofErr w:type="spellEnd"/>
      <w:r w:rsidRPr="00C525E9">
        <w:t xml:space="preserve"> C, </w:t>
      </w:r>
      <w:proofErr w:type="spellStart"/>
      <w:r w:rsidRPr="00C525E9">
        <w:t>Zompola</w:t>
      </w:r>
      <w:proofErr w:type="spellEnd"/>
      <w:r w:rsidRPr="00C525E9">
        <w:t xml:space="preserve"> C, Ellul J, Triantafyllou N, </w:t>
      </w:r>
      <w:proofErr w:type="spellStart"/>
      <w:r w:rsidRPr="00C525E9">
        <w:t>Voumvourakis</w:t>
      </w:r>
      <w:proofErr w:type="spellEnd"/>
      <w:r w:rsidRPr="00C525E9">
        <w:t xml:space="preserve"> K, Kyritsis AP, Giannopoulos S, Alexandrov AW, Alexandrov AV</w:t>
      </w:r>
      <w:r>
        <w:t xml:space="preserve"> and</w:t>
      </w:r>
      <w:r w:rsidRPr="00C525E9">
        <w:t xml:space="preserve"> </w:t>
      </w:r>
      <w:proofErr w:type="spellStart"/>
      <w:r w:rsidRPr="00C525E9">
        <w:t>Tsivgoulis</w:t>
      </w:r>
      <w:proofErr w:type="spellEnd"/>
      <w:r w:rsidRPr="00C525E9">
        <w:t xml:space="preserve"> G</w:t>
      </w:r>
      <w:r>
        <w:t xml:space="preserve"> (2016)</w:t>
      </w:r>
      <w:r w:rsidRPr="00C525E9">
        <w:t xml:space="preserve"> </w:t>
      </w:r>
      <w:r>
        <w:t>‘</w:t>
      </w:r>
      <w:r w:rsidRPr="00C525E9">
        <w:t xml:space="preserve">Transcranial Doppler versus transthoracic echocardiography for the detection of patent foramen </w:t>
      </w:r>
      <w:proofErr w:type="spellStart"/>
      <w:r w:rsidRPr="00C525E9">
        <w:t>ovale</w:t>
      </w:r>
      <w:proofErr w:type="spellEnd"/>
      <w:r w:rsidRPr="00C525E9">
        <w:t xml:space="preserve"> in patients with cryptogenic cerebral ischemia: A systematic review and diagnostic test accuracy meta-analysis</w:t>
      </w:r>
      <w:r>
        <w:t>’,</w:t>
      </w:r>
      <w:r w:rsidRPr="00C525E9">
        <w:t xml:space="preserve"> </w:t>
      </w:r>
      <w:r w:rsidRPr="00C525E9">
        <w:rPr>
          <w:i/>
          <w:iCs/>
        </w:rPr>
        <w:t>Ann Neurol</w:t>
      </w:r>
      <w:r>
        <w:t>,</w:t>
      </w:r>
      <w:r w:rsidRPr="00C525E9">
        <w:t xml:space="preserve"> 79(4):625-</w:t>
      </w:r>
      <w:r>
        <w:t>6</w:t>
      </w:r>
      <w:r w:rsidRPr="00C525E9">
        <w:t>35</w:t>
      </w:r>
      <w:r>
        <w:t>,</w:t>
      </w:r>
      <w:r w:rsidRPr="00C525E9">
        <w:t xml:space="preserve"> doi:10.1002/ana.24609.</w:t>
      </w:r>
    </w:p>
    <w:p w14:paraId="1280AB13" w14:textId="557D00CF" w:rsidR="009A3E2F" w:rsidRDefault="000B5278" w:rsidP="008A4C85">
      <w:pPr>
        <w:ind w:left="567" w:hanging="567"/>
      </w:pPr>
      <w:r w:rsidRPr="000B5278">
        <w:lastRenderedPageBreak/>
        <w:t xml:space="preserve">Kavinsky CJ, </w:t>
      </w:r>
      <w:proofErr w:type="spellStart"/>
      <w:r w:rsidRPr="000B5278">
        <w:t>Szerlip</w:t>
      </w:r>
      <w:proofErr w:type="spellEnd"/>
      <w:r w:rsidRPr="000B5278">
        <w:t xml:space="preserve"> M, </w:t>
      </w:r>
      <w:proofErr w:type="spellStart"/>
      <w:r w:rsidRPr="000B5278">
        <w:t>Goldsweig</w:t>
      </w:r>
      <w:proofErr w:type="spellEnd"/>
      <w:r w:rsidRPr="000B5278">
        <w:t xml:space="preserve"> AM, Amin Z, </w:t>
      </w:r>
      <w:proofErr w:type="spellStart"/>
      <w:r w:rsidRPr="000B5278">
        <w:t>Boudoulas</w:t>
      </w:r>
      <w:proofErr w:type="spellEnd"/>
      <w:r w:rsidRPr="000B5278">
        <w:t xml:space="preserve"> KD, Carroll JD, </w:t>
      </w:r>
      <w:proofErr w:type="spellStart"/>
      <w:r w:rsidRPr="000B5278">
        <w:t>Coylewright</w:t>
      </w:r>
      <w:proofErr w:type="spellEnd"/>
      <w:r w:rsidRPr="000B5278">
        <w:t xml:space="preserve"> M, </w:t>
      </w:r>
      <w:proofErr w:type="spellStart"/>
      <w:r w:rsidRPr="000B5278">
        <w:t>Elmariah</w:t>
      </w:r>
      <w:proofErr w:type="spellEnd"/>
      <w:r w:rsidRPr="000B5278">
        <w:t xml:space="preserve"> S, MacDonald LA, Shah AP, Spies C, Tobis JM, Messé SR, </w:t>
      </w:r>
      <w:proofErr w:type="spellStart"/>
      <w:r w:rsidRPr="000B5278">
        <w:t>Senerth</w:t>
      </w:r>
      <w:proofErr w:type="spellEnd"/>
      <w:r w:rsidRPr="000B5278">
        <w:t xml:space="preserve"> E, Falck-</w:t>
      </w:r>
      <w:proofErr w:type="spellStart"/>
      <w:r w:rsidRPr="000B5278">
        <w:t>Ytter</w:t>
      </w:r>
      <w:proofErr w:type="spellEnd"/>
      <w:r w:rsidRPr="000B5278">
        <w:t xml:space="preserve"> Y, Babatunde I</w:t>
      </w:r>
      <w:r>
        <w:t xml:space="preserve"> and</w:t>
      </w:r>
      <w:r w:rsidRPr="000B5278">
        <w:t xml:space="preserve"> Morgan RL</w:t>
      </w:r>
      <w:r>
        <w:t xml:space="preserve"> (2022)</w:t>
      </w:r>
      <w:r w:rsidRPr="000B5278">
        <w:t xml:space="preserve"> </w:t>
      </w:r>
      <w:r>
        <w:t>‘</w:t>
      </w:r>
      <w:r w:rsidRPr="000B5278">
        <w:t xml:space="preserve">SCAI </w:t>
      </w:r>
      <w:r>
        <w:t>g</w:t>
      </w:r>
      <w:r w:rsidRPr="000B5278">
        <w:t xml:space="preserve">uidelines for the </w:t>
      </w:r>
      <w:r>
        <w:t>m</w:t>
      </w:r>
      <w:r w:rsidRPr="000B5278">
        <w:t xml:space="preserve">anagement of </w:t>
      </w:r>
      <w:r>
        <w:t>p</w:t>
      </w:r>
      <w:r w:rsidRPr="000B5278">
        <w:t xml:space="preserve">atent </w:t>
      </w:r>
      <w:r>
        <w:t>f</w:t>
      </w:r>
      <w:r w:rsidRPr="000B5278">
        <w:t xml:space="preserve">oramen </w:t>
      </w:r>
      <w:proofErr w:type="spellStart"/>
      <w:r>
        <w:t>o</w:t>
      </w:r>
      <w:r w:rsidRPr="000B5278">
        <w:t>vale</w:t>
      </w:r>
      <w:proofErr w:type="spellEnd"/>
      <w:r>
        <w:t>’,</w:t>
      </w:r>
      <w:r w:rsidRPr="000B5278">
        <w:t xml:space="preserve"> </w:t>
      </w:r>
      <w:r w:rsidRPr="000B5278">
        <w:rPr>
          <w:i/>
          <w:iCs/>
        </w:rPr>
        <w:t xml:space="preserve">J Soc Cardiovasc </w:t>
      </w:r>
      <w:proofErr w:type="spellStart"/>
      <w:r w:rsidRPr="000B5278">
        <w:rPr>
          <w:i/>
          <w:iCs/>
        </w:rPr>
        <w:t>Angiogr</w:t>
      </w:r>
      <w:proofErr w:type="spellEnd"/>
      <w:r w:rsidRPr="000B5278">
        <w:rPr>
          <w:i/>
          <w:iCs/>
        </w:rPr>
        <w:t xml:space="preserve"> </w:t>
      </w:r>
      <w:proofErr w:type="spellStart"/>
      <w:r w:rsidRPr="000B5278">
        <w:rPr>
          <w:i/>
          <w:iCs/>
        </w:rPr>
        <w:t>Interv</w:t>
      </w:r>
      <w:proofErr w:type="spellEnd"/>
      <w:r>
        <w:t>,</w:t>
      </w:r>
      <w:r w:rsidRPr="000B5278">
        <w:t xml:space="preserve"> 1(4):100039</w:t>
      </w:r>
      <w:r>
        <w:t>,</w:t>
      </w:r>
      <w:r w:rsidRPr="000B5278">
        <w:t xml:space="preserve"> doi:10.1016/j.jscai.2022.100039.</w:t>
      </w:r>
    </w:p>
    <w:p w14:paraId="4712CF7C" w14:textId="2761869B" w:rsidR="00116FF3" w:rsidRDefault="00116FF3" w:rsidP="008A4C85">
      <w:pPr>
        <w:ind w:left="567" w:hanging="567"/>
      </w:pPr>
      <w:r w:rsidRPr="00116FF3">
        <w:t xml:space="preserve">Kent DM, Saver JL, Kasner SE, Nelson J, Carroll JD, Chatellier G, </w:t>
      </w:r>
      <w:proofErr w:type="spellStart"/>
      <w:r w:rsidRPr="00116FF3">
        <w:t>Derumeaux</w:t>
      </w:r>
      <w:proofErr w:type="spellEnd"/>
      <w:r w:rsidRPr="00116FF3">
        <w:t xml:space="preserve"> G, Furlan AJ, Herrmann HC, </w:t>
      </w:r>
      <w:proofErr w:type="spellStart"/>
      <w:r w:rsidRPr="00116FF3">
        <w:t>Jüni</w:t>
      </w:r>
      <w:proofErr w:type="spellEnd"/>
      <w:r w:rsidRPr="00116FF3">
        <w:t xml:space="preserve"> P, Kim JS, Koethe B, Lee PH, Lefebvre B, Mattle HP, Meier B, Reisman M, Smalling RW, </w:t>
      </w:r>
      <w:proofErr w:type="spellStart"/>
      <w:r w:rsidRPr="00116FF3">
        <w:t>Soendergaard</w:t>
      </w:r>
      <w:proofErr w:type="spellEnd"/>
      <w:r w:rsidRPr="00116FF3">
        <w:t xml:space="preserve"> L, Song JK, Mas JL</w:t>
      </w:r>
      <w:r>
        <w:t xml:space="preserve"> and</w:t>
      </w:r>
      <w:r w:rsidRPr="00116FF3">
        <w:t xml:space="preserve"> Thaler DE</w:t>
      </w:r>
      <w:r>
        <w:t xml:space="preserve"> (20</w:t>
      </w:r>
      <w:r w:rsidR="00362D19">
        <w:t>21)</w:t>
      </w:r>
      <w:r w:rsidRPr="00116FF3">
        <w:t xml:space="preserve"> </w:t>
      </w:r>
      <w:r w:rsidR="00362D19">
        <w:t>‘</w:t>
      </w:r>
      <w:r w:rsidRPr="00116FF3">
        <w:t xml:space="preserve">Heterogeneity of </w:t>
      </w:r>
      <w:r w:rsidR="00362D19">
        <w:t>t</w:t>
      </w:r>
      <w:r w:rsidRPr="00116FF3">
        <w:t xml:space="preserve">reatment </w:t>
      </w:r>
      <w:r w:rsidR="00362D19">
        <w:t>e</w:t>
      </w:r>
      <w:r w:rsidRPr="00116FF3">
        <w:t xml:space="preserve">ffects in an </w:t>
      </w:r>
      <w:r w:rsidR="00362D19">
        <w:t>a</w:t>
      </w:r>
      <w:r w:rsidRPr="00116FF3">
        <w:t xml:space="preserve">nalysis of </w:t>
      </w:r>
      <w:r w:rsidR="00362D19">
        <w:t>p</w:t>
      </w:r>
      <w:r w:rsidRPr="00116FF3">
        <w:t xml:space="preserve">ooled </w:t>
      </w:r>
      <w:r w:rsidR="00362D19">
        <w:t>i</w:t>
      </w:r>
      <w:r w:rsidRPr="00116FF3">
        <w:t xml:space="preserve">ndividual </w:t>
      </w:r>
      <w:r w:rsidR="00362D19">
        <w:t>p</w:t>
      </w:r>
      <w:r w:rsidRPr="00116FF3">
        <w:t xml:space="preserve">atient </w:t>
      </w:r>
      <w:r w:rsidR="00362D19">
        <w:t>d</w:t>
      </w:r>
      <w:r w:rsidRPr="00116FF3">
        <w:t xml:space="preserve">ata </w:t>
      </w:r>
      <w:r w:rsidR="00362D19">
        <w:t>f</w:t>
      </w:r>
      <w:r w:rsidRPr="00116FF3">
        <w:t xml:space="preserve">rom </w:t>
      </w:r>
      <w:r w:rsidR="00362D19">
        <w:t>r</w:t>
      </w:r>
      <w:r w:rsidRPr="00116FF3">
        <w:t xml:space="preserve">andomized </w:t>
      </w:r>
      <w:r w:rsidR="00362D19">
        <w:t>t</w:t>
      </w:r>
      <w:r w:rsidRPr="00116FF3">
        <w:t xml:space="preserve">rials of </w:t>
      </w:r>
      <w:r w:rsidR="00362D19">
        <w:t>d</w:t>
      </w:r>
      <w:r w:rsidRPr="00116FF3">
        <w:t xml:space="preserve">evice </w:t>
      </w:r>
      <w:r w:rsidR="00362D19">
        <w:t>c</w:t>
      </w:r>
      <w:r w:rsidRPr="00116FF3">
        <w:t xml:space="preserve">losure of </w:t>
      </w:r>
      <w:r w:rsidR="00362D19">
        <w:t>p</w:t>
      </w:r>
      <w:r w:rsidRPr="00116FF3">
        <w:t xml:space="preserve">atent </w:t>
      </w:r>
      <w:r w:rsidR="00362D19">
        <w:t>f</w:t>
      </w:r>
      <w:r w:rsidRPr="00116FF3">
        <w:t xml:space="preserve">oramen </w:t>
      </w:r>
      <w:proofErr w:type="spellStart"/>
      <w:r w:rsidR="00362D19">
        <w:t>o</w:t>
      </w:r>
      <w:r w:rsidRPr="00116FF3">
        <w:t>vale</w:t>
      </w:r>
      <w:proofErr w:type="spellEnd"/>
      <w:r w:rsidRPr="00116FF3">
        <w:t xml:space="preserve"> </w:t>
      </w:r>
      <w:r w:rsidR="00362D19">
        <w:t>a</w:t>
      </w:r>
      <w:r w:rsidRPr="00116FF3">
        <w:t xml:space="preserve">fter </w:t>
      </w:r>
      <w:r w:rsidR="00362D19">
        <w:t>s</w:t>
      </w:r>
      <w:r w:rsidRPr="00116FF3">
        <w:t>troke</w:t>
      </w:r>
      <w:r w:rsidR="00362D19">
        <w:t>’,</w:t>
      </w:r>
      <w:r w:rsidRPr="00116FF3">
        <w:t xml:space="preserve"> </w:t>
      </w:r>
      <w:r w:rsidRPr="00362D19">
        <w:rPr>
          <w:i/>
          <w:iCs/>
        </w:rPr>
        <w:t>JAMA</w:t>
      </w:r>
      <w:r w:rsidR="00362D19">
        <w:t xml:space="preserve">, </w:t>
      </w:r>
      <w:r w:rsidRPr="00116FF3">
        <w:t>326(22):2277-2286</w:t>
      </w:r>
      <w:r w:rsidR="00362D19">
        <w:t>,</w:t>
      </w:r>
      <w:r w:rsidRPr="00116FF3">
        <w:t xml:space="preserve"> doi:10.1001/jama.2021.20956.</w:t>
      </w:r>
    </w:p>
    <w:p w14:paraId="51439C20" w14:textId="44DAA1DE" w:rsidR="008A4C85" w:rsidRDefault="008A4C85" w:rsidP="008A4C85">
      <w:pPr>
        <w:ind w:left="567" w:hanging="567"/>
      </w:pPr>
      <w:r w:rsidRPr="006E3CD9">
        <w:t>Kim J, Neville E, Dalli L, Zomer E, Birhanu M, Purvis T, Olaiya MT, Talic S, Kilkenny MF</w:t>
      </w:r>
      <w:r>
        <w:t>,</w:t>
      </w:r>
      <w:r w:rsidRPr="006E3CD9">
        <w:t xml:space="preserve"> </w:t>
      </w:r>
      <w:proofErr w:type="spellStart"/>
      <w:r w:rsidRPr="006E3CD9">
        <w:t>Cadilhac</w:t>
      </w:r>
      <w:proofErr w:type="spellEnd"/>
      <w:r w:rsidRPr="006E3CD9">
        <w:t xml:space="preserve"> DA on behalf of the Stroke Foundation</w:t>
      </w:r>
      <w:r>
        <w:t xml:space="preserve"> (2024)</w:t>
      </w:r>
      <w:r w:rsidRPr="006E3CD9">
        <w:t xml:space="preserve"> </w:t>
      </w:r>
      <w:r>
        <w:t>‘</w:t>
      </w:r>
      <w:r w:rsidRPr="006E3CD9">
        <w:t xml:space="preserve">Economic </w:t>
      </w:r>
      <w:r w:rsidR="00111FF1">
        <w:t>i</w:t>
      </w:r>
      <w:r w:rsidRPr="006E3CD9">
        <w:t xml:space="preserve">mpact of </w:t>
      </w:r>
      <w:r w:rsidR="00111FF1">
        <w:t>s</w:t>
      </w:r>
      <w:r w:rsidRPr="006E3CD9">
        <w:t>troke 2024</w:t>
      </w:r>
      <w:r>
        <w:t>’,</w:t>
      </w:r>
      <w:r w:rsidRPr="006E3CD9">
        <w:t xml:space="preserve"> Stroke Foundation</w:t>
      </w:r>
      <w:r>
        <w:t>,</w:t>
      </w:r>
      <w:r w:rsidRPr="006E3CD9">
        <w:t xml:space="preserve"> Melbourne Australia</w:t>
      </w:r>
      <w:r>
        <w:t>, p</w:t>
      </w:r>
      <w:r w:rsidRPr="006E3CD9">
        <w:t>ages 1-115</w:t>
      </w:r>
      <w:r>
        <w:t>, doi</w:t>
      </w:r>
      <w:r w:rsidRPr="006E3CD9">
        <w:t>:10.26180/27049219</w:t>
      </w:r>
      <w:r>
        <w:t>.</w:t>
      </w:r>
    </w:p>
    <w:p w14:paraId="2813A5E1" w14:textId="4D95A73F" w:rsidR="00B20234" w:rsidRDefault="00B20234" w:rsidP="008A4C85">
      <w:pPr>
        <w:ind w:left="567" w:hanging="567"/>
      </w:pPr>
      <w:proofErr w:type="spellStart"/>
      <w:r w:rsidRPr="00B20234">
        <w:t>Kleindorfer</w:t>
      </w:r>
      <w:proofErr w:type="spellEnd"/>
      <w:r w:rsidRPr="00B20234">
        <w:t xml:space="preserve"> DO, </w:t>
      </w:r>
      <w:proofErr w:type="spellStart"/>
      <w:r w:rsidRPr="00B20234">
        <w:t>Towfighi</w:t>
      </w:r>
      <w:proofErr w:type="spellEnd"/>
      <w:r w:rsidRPr="00B20234">
        <w:t xml:space="preserve"> A, Chaturvedi S, Cockroft KM, Gutierrez J, Lombardi-Hill D, Kamel H, Kernan WN, Kittner SJ, Leira EC, Lennon O, Meschia JF, Nguyen TN, Pollak PM, Santangeli P, Sharrief AZ, Smith SC Jr, Turan TN</w:t>
      </w:r>
      <w:r>
        <w:t xml:space="preserve"> and</w:t>
      </w:r>
      <w:r w:rsidRPr="00B20234">
        <w:t xml:space="preserve"> Williams LS</w:t>
      </w:r>
      <w:r>
        <w:t xml:space="preserve"> (2021)</w:t>
      </w:r>
      <w:r w:rsidRPr="00B20234">
        <w:t xml:space="preserve"> </w:t>
      </w:r>
      <w:r w:rsidR="00111FF1">
        <w:t>‘</w:t>
      </w:r>
      <w:r w:rsidRPr="00B20234">
        <w:t xml:space="preserve">2021 </w:t>
      </w:r>
      <w:r w:rsidR="00111FF1">
        <w:t>g</w:t>
      </w:r>
      <w:r w:rsidRPr="00B20234">
        <w:t xml:space="preserve">uideline for the </w:t>
      </w:r>
      <w:r w:rsidR="00111FF1">
        <w:t>p</w:t>
      </w:r>
      <w:r w:rsidRPr="00B20234">
        <w:t xml:space="preserve">revention of </w:t>
      </w:r>
      <w:r w:rsidR="00111FF1">
        <w:t>s</w:t>
      </w:r>
      <w:r w:rsidRPr="00B20234">
        <w:t xml:space="preserve">troke in </w:t>
      </w:r>
      <w:r w:rsidR="00111FF1">
        <w:t>p</w:t>
      </w:r>
      <w:r w:rsidRPr="00B20234">
        <w:t xml:space="preserve">atients </w:t>
      </w:r>
      <w:r w:rsidR="00111FF1">
        <w:t>w</w:t>
      </w:r>
      <w:r w:rsidRPr="00B20234">
        <w:t xml:space="preserve">ith </w:t>
      </w:r>
      <w:r w:rsidR="00111FF1">
        <w:t>s</w:t>
      </w:r>
      <w:r w:rsidRPr="00B20234">
        <w:t xml:space="preserve">troke and </w:t>
      </w:r>
      <w:r w:rsidR="00111FF1">
        <w:t>t</w:t>
      </w:r>
      <w:r w:rsidRPr="00B20234">
        <w:t xml:space="preserve">ransient </w:t>
      </w:r>
      <w:r w:rsidR="00111FF1">
        <w:t>i</w:t>
      </w:r>
      <w:r w:rsidRPr="00B20234">
        <w:t xml:space="preserve">schemic </w:t>
      </w:r>
      <w:r w:rsidR="00111FF1">
        <w:t>a</w:t>
      </w:r>
      <w:r w:rsidRPr="00B20234">
        <w:t xml:space="preserve">ttack: A </w:t>
      </w:r>
      <w:r w:rsidR="00111FF1">
        <w:t>g</w:t>
      </w:r>
      <w:r w:rsidRPr="00B20234">
        <w:t xml:space="preserve">uideline </w:t>
      </w:r>
      <w:r w:rsidR="00111FF1">
        <w:t>f</w:t>
      </w:r>
      <w:r w:rsidRPr="00B20234">
        <w:t>rom the American Heart Association/American Stroke Association</w:t>
      </w:r>
      <w:r w:rsidR="00111FF1">
        <w:t>’,</w:t>
      </w:r>
      <w:r w:rsidRPr="00B20234">
        <w:t xml:space="preserve"> </w:t>
      </w:r>
      <w:r w:rsidRPr="00111FF1">
        <w:rPr>
          <w:i/>
          <w:iCs/>
        </w:rPr>
        <w:t>Stroke</w:t>
      </w:r>
      <w:r w:rsidR="00111FF1">
        <w:t>,</w:t>
      </w:r>
      <w:r w:rsidRPr="00B20234">
        <w:t xml:space="preserve"> 52(7):e364-e467</w:t>
      </w:r>
      <w:r w:rsidR="00111FF1">
        <w:t>,</w:t>
      </w:r>
      <w:r w:rsidRPr="00B20234">
        <w:t xml:space="preserve"> doi:10.1161/STR.0000000000000375.</w:t>
      </w:r>
    </w:p>
    <w:p w14:paraId="4842E42A" w14:textId="51706263" w:rsidR="00C57714" w:rsidRDefault="00C57714" w:rsidP="008A4C85">
      <w:pPr>
        <w:ind w:left="567" w:hanging="567"/>
      </w:pPr>
      <w:r w:rsidRPr="00C57714">
        <w:t xml:space="preserve">Meissner I, Whisnant JP, </w:t>
      </w:r>
      <w:proofErr w:type="spellStart"/>
      <w:r w:rsidRPr="00C57714">
        <w:t>Khandheria</w:t>
      </w:r>
      <w:proofErr w:type="spellEnd"/>
      <w:r w:rsidRPr="00C57714">
        <w:t xml:space="preserve"> BK, </w:t>
      </w:r>
      <w:proofErr w:type="spellStart"/>
      <w:r w:rsidRPr="00C57714">
        <w:t>Spittell</w:t>
      </w:r>
      <w:proofErr w:type="spellEnd"/>
      <w:r w:rsidRPr="00C57714">
        <w:t xml:space="preserve"> PC, O'Fallon WM, Pascoe RD, Enriquez-</w:t>
      </w:r>
      <w:proofErr w:type="spellStart"/>
      <w:r w:rsidRPr="00C57714">
        <w:t>Sarano</w:t>
      </w:r>
      <w:proofErr w:type="spellEnd"/>
      <w:r w:rsidRPr="00C57714">
        <w:t xml:space="preserve"> M, Seward JB, Covalt JL, Sicks JD</w:t>
      </w:r>
      <w:r>
        <w:t xml:space="preserve"> and</w:t>
      </w:r>
      <w:r w:rsidRPr="00C57714">
        <w:t xml:space="preserve"> Wiebers DO</w:t>
      </w:r>
      <w:r>
        <w:t xml:space="preserve"> (1999)</w:t>
      </w:r>
      <w:r w:rsidRPr="00C57714">
        <w:t xml:space="preserve"> </w:t>
      </w:r>
      <w:r>
        <w:t>'</w:t>
      </w:r>
      <w:r w:rsidRPr="00C57714">
        <w:t>Prevalence of potential risk factors for stroke assessed by transesophageal echocardiography and carotid ultrasonography: the SPARC study. Stroke Prevention: Assessment of Risk in a Community</w:t>
      </w:r>
      <w:r w:rsidR="0087239C">
        <w:t>’,</w:t>
      </w:r>
      <w:r w:rsidRPr="00C57714">
        <w:t xml:space="preserve"> </w:t>
      </w:r>
      <w:r w:rsidRPr="0087239C">
        <w:rPr>
          <w:i/>
          <w:iCs/>
        </w:rPr>
        <w:t>Mayo Clin Proc</w:t>
      </w:r>
      <w:r w:rsidR="0087239C">
        <w:t>,</w:t>
      </w:r>
      <w:r w:rsidRPr="00C57714">
        <w:t xml:space="preserve"> 74(9):862-</w:t>
      </w:r>
      <w:r w:rsidR="0087239C">
        <w:t>86</w:t>
      </w:r>
      <w:r w:rsidRPr="00C57714">
        <w:t>9</w:t>
      </w:r>
      <w:r w:rsidR="0087239C">
        <w:t>,</w:t>
      </w:r>
      <w:r w:rsidRPr="00C57714">
        <w:t xml:space="preserve"> doi:10.4065/74.9.862.</w:t>
      </w:r>
    </w:p>
    <w:p w14:paraId="7B436A13" w14:textId="08A1F99E" w:rsidR="00EB7C36" w:rsidRDefault="00EB7C36" w:rsidP="008A4C85">
      <w:pPr>
        <w:ind w:left="567" w:hanging="567"/>
        <w:rPr>
          <w:highlight w:val="yellow"/>
        </w:rPr>
      </w:pPr>
      <w:proofErr w:type="spellStart"/>
      <w:r w:rsidRPr="00EB7C36">
        <w:t>Messé</w:t>
      </w:r>
      <w:proofErr w:type="spellEnd"/>
      <w:r w:rsidRPr="00EB7C36">
        <w:t xml:space="preserve"> SR, Gronseth GS, Kent DM, Kizer JR, Homma S, </w:t>
      </w:r>
      <w:proofErr w:type="spellStart"/>
      <w:r w:rsidRPr="00EB7C36">
        <w:t>Rosterman</w:t>
      </w:r>
      <w:proofErr w:type="spellEnd"/>
      <w:r w:rsidRPr="00EB7C36">
        <w:t xml:space="preserve"> L, Carroll JD, Ishida K, Sangha N</w:t>
      </w:r>
      <w:r>
        <w:t xml:space="preserve"> and</w:t>
      </w:r>
      <w:r w:rsidRPr="00EB7C36">
        <w:t xml:space="preserve"> Kasner SE</w:t>
      </w:r>
      <w:r>
        <w:t xml:space="preserve"> (</w:t>
      </w:r>
      <w:r w:rsidR="008702CA">
        <w:t>2020)</w:t>
      </w:r>
      <w:r w:rsidRPr="00EB7C36">
        <w:t xml:space="preserve"> </w:t>
      </w:r>
      <w:r w:rsidR="008702CA">
        <w:t>‘</w:t>
      </w:r>
      <w:r w:rsidRPr="00EB7C36">
        <w:t xml:space="preserve">Practice advisory update summary: Patent foramen </w:t>
      </w:r>
      <w:proofErr w:type="spellStart"/>
      <w:r w:rsidRPr="00EB7C36">
        <w:t>ovale</w:t>
      </w:r>
      <w:proofErr w:type="spellEnd"/>
      <w:r w:rsidRPr="00EB7C36">
        <w:t xml:space="preserve"> and secondary stroke prevention: Report of the Guideline Subcommittee of the American Academy of Neurology</w:t>
      </w:r>
      <w:r w:rsidR="008702CA">
        <w:t>’,</w:t>
      </w:r>
      <w:r w:rsidRPr="00EB7C36">
        <w:t xml:space="preserve"> </w:t>
      </w:r>
      <w:r w:rsidRPr="008702CA">
        <w:rPr>
          <w:i/>
          <w:iCs/>
        </w:rPr>
        <w:t>Neurology</w:t>
      </w:r>
      <w:r w:rsidR="008702CA">
        <w:t>,</w:t>
      </w:r>
      <w:r w:rsidRPr="00EB7C36">
        <w:t xml:space="preserve"> 94(20):876-885</w:t>
      </w:r>
      <w:r w:rsidR="008702CA">
        <w:t>,</w:t>
      </w:r>
      <w:r w:rsidRPr="00EB7C36">
        <w:t xml:space="preserve"> doi:10.1212/WNL.0000000000009443.</w:t>
      </w:r>
    </w:p>
    <w:p w14:paraId="26771D88" w14:textId="0B3ECC98" w:rsidR="00E04824" w:rsidRDefault="00E04824" w:rsidP="00D165EF">
      <w:pPr>
        <w:ind w:left="567" w:hanging="567"/>
      </w:pPr>
      <w:r w:rsidRPr="00E04824">
        <w:t xml:space="preserve">Mojadidi MK, Roberts SC, </w:t>
      </w:r>
      <w:proofErr w:type="spellStart"/>
      <w:r w:rsidRPr="00E04824">
        <w:t>Winoker</w:t>
      </w:r>
      <w:proofErr w:type="spellEnd"/>
      <w:r w:rsidRPr="00E04824">
        <w:t xml:space="preserve"> JS, Romero J, Goodman-Meza D, Gevorgyan R</w:t>
      </w:r>
      <w:r>
        <w:t xml:space="preserve"> and</w:t>
      </w:r>
      <w:r w:rsidRPr="00E04824">
        <w:t xml:space="preserve"> Tobis JM</w:t>
      </w:r>
      <w:r>
        <w:t xml:space="preserve"> (201</w:t>
      </w:r>
      <w:r w:rsidR="009754CE">
        <w:t>4)</w:t>
      </w:r>
      <w:r w:rsidRPr="00E04824">
        <w:t xml:space="preserve"> </w:t>
      </w:r>
      <w:r w:rsidR="009754CE">
        <w:t>‘</w:t>
      </w:r>
      <w:r w:rsidRPr="00E04824">
        <w:t>Accuracy of transcranial Doppler for the diagnosis of intracardiac right-to-left shunt: a bivariate meta-analysis of prospective studies</w:t>
      </w:r>
      <w:r w:rsidR="009754CE">
        <w:t>’,</w:t>
      </w:r>
      <w:r w:rsidRPr="00E04824">
        <w:t xml:space="preserve"> </w:t>
      </w:r>
      <w:r w:rsidRPr="009754CE">
        <w:rPr>
          <w:i/>
          <w:iCs/>
        </w:rPr>
        <w:t>JACC Cardiovasc Imaging</w:t>
      </w:r>
      <w:r w:rsidR="009754CE">
        <w:t>,</w:t>
      </w:r>
      <w:r w:rsidRPr="00E04824">
        <w:t xml:space="preserve"> 7(3):236-</w:t>
      </w:r>
      <w:r w:rsidR="009754CE">
        <w:t>2</w:t>
      </w:r>
      <w:r w:rsidRPr="00E04824">
        <w:t>50</w:t>
      </w:r>
      <w:r w:rsidR="009754CE">
        <w:t>,</w:t>
      </w:r>
      <w:r w:rsidRPr="00E04824">
        <w:t xml:space="preserve"> doi:10.1016/j.jcmg.2013.12.011.</w:t>
      </w:r>
    </w:p>
    <w:p w14:paraId="08E7AA0B" w14:textId="40B6CCEF" w:rsidR="00077F20" w:rsidRDefault="00077F20" w:rsidP="00D165EF">
      <w:pPr>
        <w:ind w:left="567" w:hanging="567"/>
      </w:pPr>
      <w:r w:rsidRPr="00077F20">
        <w:t xml:space="preserve">Oshima K, Mochizuki Y, </w:t>
      </w:r>
      <w:proofErr w:type="spellStart"/>
      <w:r w:rsidRPr="00077F20">
        <w:t>Mizuma</w:t>
      </w:r>
      <w:proofErr w:type="spellEnd"/>
      <w:r w:rsidRPr="00077F20">
        <w:t xml:space="preserve"> K, Nohara T, Miki A, Yamada M, Oda A, Yamamoto Y, </w:t>
      </w:r>
      <w:proofErr w:type="spellStart"/>
      <w:r w:rsidRPr="00077F20">
        <w:t>Gohbara</w:t>
      </w:r>
      <w:proofErr w:type="spellEnd"/>
      <w:r w:rsidRPr="00077F20">
        <w:t xml:space="preserve"> S, Ichikawa-Ogura S, Hachiya R, Toyosaki E, Fukuoka H, Murakami H, Uchida N</w:t>
      </w:r>
      <w:r>
        <w:t xml:space="preserve"> and</w:t>
      </w:r>
      <w:r w:rsidRPr="00077F20">
        <w:t xml:space="preserve"> </w:t>
      </w:r>
      <w:proofErr w:type="spellStart"/>
      <w:r w:rsidRPr="00077F20">
        <w:t>Shinke</w:t>
      </w:r>
      <w:proofErr w:type="spellEnd"/>
      <w:r w:rsidRPr="00077F20">
        <w:t xml:space="preserve"> T (2026) </w:t>
      </w:r>
      <w:r>
        <w:t>‘</w:t>
      </w:r>
      <w:r w:rsidRPr="00077F20">
        <w:t xml:space="preserve">Complementary </w:t>
      </w:r>
      <w:r>
        <w:t>v</w:t>
      </w:r>
      <w:r w:rsidRPr="00077F20">
        <w:t xml:space="preserve">alue of </w:t>
      </w:r>
      <w:r>
        <w:t>t</w:t>
      </w:r>
      <w:r w:rsidRPr="00077F20">
        <w:t xml:space="preserve">ransthoracic </w:t>
      </w:r>
      <w:r>
        <w:t>e</w:t>
      </w:r>
      <w:r w:rsidRPr="00077F20">
        <w:t xml:space="preserve">chocardiography and </w:t>
      </w:r>
      <w:r>
        <w:t>t</w:t>
      </w:r>
      <w:r w:rsidRPr="00077F20">
        <w:t xml:space="preserve">ranscranial Doppler for </w:t>
      </w:r>
      <w:r>
        <w:t>s</w:t>
      </w:r>
      <w:r w:rsidRPr="00077F20">
        <w:t xml:space="preserve">creening in </w:t>
      </w:r>
      <w:r>
        <w:t>c</w:t>
      </w:r>
      <w:r w:rsidRPr="00077F20">
        <w:t xml:space="preserve">ryptogenic </w:t>
      </w:r>
      <w:r>
        <w:t>s</w:t>
      </w:r>
      <w:r w:rsidRPr="00077F20">
        <w:t>troke</w:t>
      </w:r>
      <w:r w:rsidR="00987A45">
        <w:t>’,</w:t>
      </w:r>
      <w:r w:rsidRPr="00077F20">
        <w:t xml:space="preserve"> </w:t>
      </w:r>
      <w:proofErr w:type="spellStart"/>
      <w:r w:rsidRPr="00987A45">
        <w:rPr>
          <w:i/>
          <w:iCs/>
        </w:rPr>
        <w:t>medRxiv</w:t>
      </w:r>
      <w:proofErr w:type="spellEnd"/>
      <w:r w:rsidR="00987A45">
        <w:t>,</w:t>
      </w:r>
      <w:r w:rsidR="00100FE6">
        <w:t xml:space="preserve"> doi:</w:t>
      </w:r>
      <w:r w:rsidR="00100FE6" w:rsidRPr="00100FE6">
        <w:t>10.64898/2026.01.08.26343740</w:t>
      </w:r>
      <w:r w:rsidR="00100FE6">
        <w:t>.</w:t>
      </w:r>
    </w:p>
    <w:p w14:paraId="3390E830" w14:textId="7FD65CB9" w:rsidR="003707C6" w:rsidRDefault="008C16CA" w:rsidP="00D165EF">
      <w:pPr>
        <w:ind w:left="567" w:hanging="567"/>
      </w:pPr>
      <w:r>
        <w:t xml:space="preserve">Palazzo P, </w:t>
      </w:r>
      <w:proofErr w:type="spellStart"/>
      <w:r>
        <w:t>Heldner</w:t>
      </w:r>
      <w:proofErr w:type="spellEnd"/>
      <w:r>
        <w:t xml:space="preserve"> MR, </w:t>
      </w:r>
      <w:r w:rsidR="00D537F1">
        <w:t xml:space="preserve">Nasr N and Alexandrov AV </w:t>
      </w:r>
      <w:r>
        <w:t xml:space="preserve">(2024) </w:t>
      </w:r>
      <w:r w:rsidR="000E368C">
        <w:t>‘</w:t>
      </w:r>
      <w:r w:rsidR="000E368C" w:rsidRPr="000E368C">
        <w:t xml:space="preserve">Transcranial Doppler </w:t>
      </w:r>
      <w:r w:rsidR="000E368C">
        <w:t>w</w:t>
      </w:r>
      <w:r w:rsidR="000E368C" w:rsidRPr="000E368C">
        <w:t xml:space="preserve">ith </w:t>
      </w:r>
      <w:r w:rsidR="000E368C">
        <w:t>m</w:t>
      </w:r>
      <w:r w:rsidR="000E368C" w:rsidRPr="000E368C">
        <w:t xml:space="preserve">icrobubbles: Screening </w:t>
      </w:r>
      <w:r w:rsidR="000E368C">
        <w:t>t</w:t>
      </w:r>
      <w:r w:rsidR="000E368C" w:rsidRPr="000E368C">
        <w:t xml:space="preserve">est to </w:t>
      </w:r>
      <w:r w:rsidR="000E368C">
        <w:t>d</w:t>
      </w:r>
      <w:r w:rsidR="000E368C" w:rsidRPr="000E368C">
        <w:t xml:space="preserve">etect and </w:t>
      </w:r>
      <w:r w:rsidR="000E368C">
        <w:t>g</w:t>
      </w:r>
      <w:r w:rsidR="000E368C" w:rsidRPr="000E368C">
        <w:t xml:space="preserve">rade </w:t>
      </w:r>
      <w:r w:rsidR="000E368C">
        <w:t>r</w:t>
      </w:r>
      <w:r w:rsidR="000E368C" w:rsidRPr="000E368C">
        <w:t>ight-to-</w:t>
      </w:r>
      <w:r w:rsidR="000E368C">
        <w:t>l</w:t>
      </w:r>
      <w:r w:rsidR="000E368C" w:rsidRPr="000E368C">
        <w:t xml:space="preserve">eft </w:t>
      </w:r>
      <w:r w:rsidR="000E368C">
        <w:t>s</w:t>
      </w:r>
      <w:r w:rsidR="000E368C" w:rsidRPr="000E368C">
        <w:t xml:space="preserve">hunt </w:t>
      </w:r>
      <w:r w:rsidR="000E368C">
        <w:t>a</w:t>
      </w:r>
      <w:r w:rsidR="000E368C" w:rsidRPr="000E368C">
        <w:t xml:space="preserve">fter an </w:t>
      </w:r>
      <w:r w:rsidR="000E368C">
        <w:t>i</w:t>
      </w:r>
      <w:r w:rsidR="000E368C" w:rsidRPr="000E368C">
        <w:t xml:space="preserve">schemic </w:t>
      </w:r>
      <w:r w:rsidR="000E368C">
        <w:t>s</w:t>
      </w:r>
      <w:r w:rsidR="000E368C" w:rsidRPr="000E368C">
        <w:t xml:space="preserve">troke: A </w:t>
      </w:r>
      <w:r w:rsidR="000E368C">
        <w:t>l</w:t>
      </w:r>
      <w:r w:rsidR="000E368C" w:rsidRPr="000E368C">
        <w:t xml:space="preserve">iterature </w:t>
      </w:r>
      <w:r w:rsidR="000E368C">
        <w:t>r</w:t>
      </w:r>
      <w:r w:rsidR="000E368C" w:rsidRPr="000E368C">
        <w:t>eview</w:t>
      </w:r>
      <w:r w:rsidR="000E368C">
        <w:t>’,</w:t>
      </w:r>
      <w:r w:rsidR="00BA7C00">
        <w:t xml:space="preserve"> 55(12):</w:t>
      </w:r>
      <w:r w:rsidR="00D40379">
        <w:t>2932-2941</w:t>
      </w:r>
      <w:r w:rsidR="00BA7C00">
        <w:t xml:space="preserve">, </w:t>
      </w:r>
      <w:r w:rsidR="00BA7C00" w:rsidRPr="00BA7C00">
        <w:t>doi</w:t>
      </w:r>
      <w:r w:rsidR="00BA7C00">
        <w:t>:</w:t>
      </w:r>
      <w:r w:rsidR="00BA7C00" w:rsidRPr="00BA7C00">
        <w:t>10.1161/STROKEAHA.124.046907</w:t>
      </w:r>
    </w:p>
    <w:p w14:paraId="73E40489" w14:textId="5342FC24" w:rsidR="00903F2A" w:rsidRDefault="00903F2A" w:rsidP="00D165EF">
      <w:pPr>
        <w:ind w:left="567" w:hanging="567"/>
      </w:pPr>
      <w:proofErr w:type="spellStart"/>
      <w:r w:rsidRPr="00903F2A">
        <w:t>Pristipino</w:t>
      </w:r>
      <w:proofErr w:type="spellEnd"/>
      <w:r w:rsidRPr="00903F2A">
        <w:t xml:space="preserve"> C, Sievert H, D'Ascenzo F, Mas JL, Meier B, </w:t>
      </w:r>
      <w:proofErr w:type="spellStart"/>
      <w:r w:rsidRPr="00903F2A">
        <w:t>Scacciatella</w:t>
      </w:r>
      <w:proofErr w:type="spellEnd"/>
      <w:r w:rsidRPr="00903F2A">
        <w:t xml:space="preserve"> P, </w:t>
      </w:r>
      <w:proofErr w:type="spellStart"/>
      <w:r w:rsidRPr="00903F2A">
        <w:t>Hildick</w:t>
      </w:r>
      <w:proofErr w:type="spellEnd"/>
      <w:r w:rsidRPr="00903F2A">
        <w:t xml:space="preserve">-Smith D, Gaita F, Toni D, </w:t>
      </w:r>
      <w:proofErr w:type="spellStart"/>
      <w:r w:rsidRPr="00903F2A">
        <w:t>Kyrle</w:t>
      </w:r>
      <w:proofErr w:type="spellEnd"/>
      <w:r w:rsidRPr="00903F2A">
        <w:t xml:space="preserve"> P, Thomson J, </w:t>
      </w:r>
      <w:proofErr w:type="spellStart"/>
      <w:r w:rsidRPr="00903F2A">
        <w:t>Derumeaux</w:t>
      </w:r>
      <w:proofErr w:type="spellEnd"/>
      <w:r w:rsidRPr="00903F2A">
        <w:t xml:space="preserve"> G, Onorato E, Sibbing D, </w:t>
      </w:r>
      <w:proofErr w:type="spellStart"/>
      <w:r w:rsidRPr="00903F2A">
        <w:t>Germonpré</w:t>
      </w:r>
      <w:proofErr w:type="spellEnd"/>
      <w:r w:rsidRPr="00903F2A">
        <w:t xml:space="preserve"> P, Berti S, Chessa M, </w:t>
      </w:r>
      <w:proofErr w:type="spellStart"/>
      <w:r w:rsidRPr="00903F2A">
        <w:t>Bedogni</w:t>
      </w:r>
      <w:proofErr w:type="spellEnd"/>
      <w:r w:rsidRPr="00903F2A">
        <w:t xml:space="preserve"> F, Dudek </w:t>
      </w:r>
      <w:r w:rsidRPr="00903F2A">
        <w:lastRenderedPageBreak/>
        <w:t>D, Hornung M, Zamorano J; European Association of Percutaneous Cardiovascular Interventions (EAPCI); European Stroke Organisation (ESO); European Heart Rhythm Association (EHRA); European Association for Cardiovascular Imaging (EACVI); Association for European Paediatric and Congenital Cardiology (AEPC); ESC Working group on GUCH; ESC Working group on Thrombosis; European Haematological Society (EHA)</w:t>
      </w:r>
      <w:r>
        <w:t xml:space="preserve"> (2019)</w:t>
      </w:r>
      <w:r w:rsidRPr="00903F2A">
        <w:t xml:space="preserve"> </w:t>
      </w:r>
      <w:r>
        <w:t>‘</w:t>
      </w:r>
      <w:r w:rsidRPr="00903F2A">
        <w:t xml:space="preserve">European position paper on the management of patients with patent foramen </w:t>
      </w:r>
      <w:proofErr w:type="spellStart"/>
      <w:r w:rsidRPr="00903F2A">
        <w:t>ovale</w:t>
      </w:r>
      <w:proofErr w:type="spellEnd"/>
      <w:r w:rsidRPr="00903F2A">
        <w:t>. General approach and left circulation thromboembolism</w:t>
      </w:r>
      <w:r>
        <w:t>’,</w:t>
      </w:r>
      <w:r w:rsidRPr="00903F2A">
        <w:t xml:space="preserve"> </w:t>
      </w:r>
      <w:proofErr w:type="spellStart"/>
      <w:r w:rsidRPr="00903F2A">
        <w:rPr>
          <w:i/>
          <w:iCs/>
        </w:rPr>
        <w:t>EuroIntervention</w:t>
      </w:r>
      <w:proofErr w:type="spellEnd"/>
      <w:r>
        <w:t xml:space="preserve">, </w:t>
      </w:r>
      <w:r w:rsidRPr="00903F2A">
        <w:t>14(13):1389-1402</w:t>
      </w:r>
      <w:r>
        <w:t>,</w:t>
      </w:r>
      <w:r w:rsidRPr="00903F2A">
        <w:t xml:space="preserve"> doi:10.4244/EIJ-D-18-00622.</w:t>
      </w:r>
    </w:p>
    <w:p w14:paraId="5926A9CD" w14:textId="21D84A13" w:rsidR="00155FBB" w:rsidRDefault="00155FBB" w:rsidP="00D165EF">
      <w:pPr>
        <w:ind w:left="567" w:hanging="567"/>
      </w:pPr>
      <w:r w:rsidRPr="00155FBB">
        <w:t xml:space="preserve">Rubin MN, Alexandrov AV, Douville C, </w:t>
      </w:r>
      <w:proofErr w:type="spellStart"/>
      <w:r w:rsidRPr="00155FBB">
        <w:t>Rinsky</w:t>
      </w:r>
      <w:proofErr w:type="spellEnd"/>
      <w:r w:rsidRPr="00155FBB">
        <w:t xml:space="preserve"> B</w:t>
      </w:r>
      <w:r>
        <w:t xml:space="preserve"> and</w:t>
      </w:r>
      <w:r w:rsidRPr="00155FBB">
        <w:t xml:space="preserve"> </w:t>
      </w:r>
      <w:proofErr w:type="spellStart"/>
      <w:r w:rsidRPr="00155FBB">
        <w:t>Tsivgoulis</w:t>
      </w:r>
      <w:proofErr w:type="spellEnd"/>
      <w:r w:rsidRPr="00155FBB">
        <w:t xml:space="preserve"> G</w:t>
      </w:r>
      <w:r>
        <w:t xml:space="preserve"> (2021)</w:t>
      </w:r>
      <w:r w:rsidRPr="00155FBB">
        <w:t xml:space="preserve"> </w:t>
      </w:r>
      <w:r>
        <w:t>‘</w:t>
      </w:r>
      <w:r w:rsidRPr="00155FBB">
        <w:t>Novel robotic TCD ultrasound with bubbles versus standard care to detect right to left shunt: Study methods</w:t>
      </w:r>
      <w:r>
        <w:t>’,</w:t>
      </w:r>
      <w:r w:rsidRPr="00155FBB">
        <w:t xml:space="preserve"> </w:t>
      </w:r>
      <w:r w:rsidRPr="00155FBB">
        <w:rPr>
          <w:i/>
          <w:iCs/>
        </w:rPr>
        <w:t>J Neuroimaging</w:t>
      </w:r>
      <w:r>
        <w:t>,</w:t>
      </w:r>
      <w:r w:rsidRPr="00155FBB">
        <w:t xml:space="preserve"> 31(5):858-863</w:t>
      </w:r>
      <w:r>
        <w:t>,</w:t>
      </w:r>
      <w:r w:rsidRPr="00155FBB">
        <w:t xml:space="preserve"> doi:10.1111/jon.12890.</w:t>
      </w:r>
    </w:p>
    <w:p w14:paraId="7B524B92" w14:textId="46A4D6D1" w:rsidR="00B97840" w:rsidRDefault="00B97840" w:rsidP="00D165EF">
      <w:pPr>
        <w:ind w:left="567" w:hanging="567"/>
      </w:pPr>
      <w:r w:rsidRPr="00B97840">
        <w:t>Sposato LA, Albin CSW, Elkind MSV, Kamel H</w:t>
      </w:r>
      <w:r>
        <w:t xml:space="preserve"> and</w:t>
      </w:r>
      <w:r w:rsidRPr="00B97840">
        <w:t xml:space="preserve"> Saver JL</w:t>
      </w:r>
      <w:r>
        <w:t xml:space="preserve"> (2024)</w:t>
      </w:r>
      <w:r w:rsidRPr="00B97840">
        <w:t xml:space="preserve"> </w:t>
      </w:r>
      <w:r>
        <w:t>‘</w:t>
      </w:r>
      <w:r w:rsidRPr="00B97840">
        <w:t xml:space="preserve">Patent </w:t>
      </w:r>
      <w:r>
        <w:t>f</w:t>
      </w:r>
      <w:r w:rsidRPr="00B97840">
        <w:t xml:space="preserve">oramen </w:t>
      </w:r>
      <w:proofErr w:type="spellStart"/>
      <w:r>
        <w:t>o</w:t>
      </w:r>
      <w:r w:rsidRPr="00B97840">
        <w:t>vale</w:t>
      </w:r>
      <w:proofErr w:type="spellEnd"/>
      <w:r w:rsidRPr="00B97840">
        <w:t xml:space="preserve"> </w:t>
      </w:r>
      <w:r>
        <w:t>m</w:t>
      </w:r>
      <w:r w:rsidRPr="00B97840">
        <w:t xml:space="preserve">anagement for </w:t>
      </w:r>
      <w:r>
        <w:t>s</w:t>
      </w:r>
      <w:r w:rsidRPr="00B97840">
        <w:t xml:space="preserve">econdary </w:t>
      </w:r>
      <w:r>
        <w:t>s</w:t>
      </w:r>
      <w:r w:rsidRPr="00B97840">
        <w:t xml:space="preserve">troke </w:t>
      </w:r>
      <w:r>
        <w:t>p</w:t>
      </w:r>
      <w:r w:rsidRPr="00B97840">
        <w:t>revention: State-of-the-</w:t>
      </w:r>
      <w:r>
        <w:t>a</w:t>
      </w:r>
      <w:r w:rsidRPr="00B97840">
        <w:t xml:space="preserve">rt </w:t>
      </w:r>
      <w:r>
        <w:t>a</w:t>
      </w:r>
      <w:r w:rsidRPr="00B97840">
        <w:t xml:space="preserve">ppraisal of </w:t>
      </w:r>
      <w:r>
        <w:t>c</w:t>
      </w:r>
      <w:r w:rsidRPr="00B97840">
        <w:t xml:space="preserve">urrent </w:t>
      </w:r>
      <w:r>
        <w:t>e</w:t>
      </w:r>
      <w:r w:rsidRPr="00B97840">
        <w:t>vidence</w:t>
      </w:r>
      <w:r>
        <w:t>’,</w:t>
      </w:r>
      <w:r w:rsidRPr="00B97840">
        <w:t xml:space="preserve"> </w:t>
      </w:r>
      <w:r w:rsidRPr="00B97840">
        <w:rPr>
          <w:i/>
          <w:iCs/>
        </w:rPr>
        <w:t>Stroke</w:t>
      </w:r>
      <w:r>
        <w:t>,</w:t>
      </w:r>
      <w:r w:rsidRPr="00B97840">
        <w:t xml:space="preserve"> 55(1):236-247</w:t>
      </w:r>
      <w:r>
        <w:t>,</w:t>
      </w:r>
      <w:r w:rsidRPr="00B97840">
        <w:t xml:space="preserve"> doi:10.1161/STROKEAHA.123.040546.</w:t>
      </w:r>
    </w:p>
    <w:p w14:paraId="4E6B01B8" w14:textId="5E89672D" w:rsidR="00876060" w:rsidRDefault="00876060" w:rsidP="00D165EF">
      <w:pPr>
        <w:ind w:left="567" w:hanging="567"/>
      </w:pPr>
      <w:r w:rsidRPr="00876060">
        <w:t xml:space="preserve">Stroke Foundation. </w:t>
      </w:r>
      <w:r>
        <w:t>‘</w:t>
      </w:r>
      <w:r w:rsidRPr="00876060">
        <w:t xml:space="preserve">Australian and New Zealand </w:t>
      </w:r>
      <w:r>
        <w:t>l</w:t>
      </w:r>
      <w:r w:rsidRPr="00876060">
        <w:t xml:space="preserve">iving </w:t>
      </w:r>
      <w:r>
        <w:t>c</w:t>
      </w:r>
      <w:r w:rsidRPr="00876060">
        <w:t xml:space="preserve">linical </w:t>
      </w:r>
      <w:r>
        <w:t>g</w:t>
      </w:r>
      <w:r w:rsidRPr="00876060">
        <w:t xml:space="preserve">uidelines for </w:t>
      </w:r>
      <w:r>
        <w:t>s</w:t>
      </w:r>
      <w:r w:rsidRPr="00876060">
        <w:t xml:space="preserve">troke </w:t>
      </w:r>
      <w:r>
        <w:t>m</w:t>
      </w:r>
      <w:r w:rsidRPr="00876060">
        <w:t>anagement</w:t>
      </w:r>
      <w:r w:rsidR="005116EE">
        <w:t>’,</w:t>
      </w:r>
      <w:r w:rsidRPr="00876060">
        <w:t xml:space="preserve"> </w:t>
      </w:r>
      <w:r w:rsidR="005116EE">
        <w:t>a</w:t>
      </w:r>
      <w:r w:rsidRPr="00876060">
        <w:t xml:space="preserve">vailable at </w:t>
      </w:r>
      <w:r w:rsidR="005116EE" w:rsidRPr="00111536">
        <w:t>https://informme.org.au/en/Guidelines/Clinical-Guidelines-for-Stroke-Management. Accessed 18 June 2026</w:t>
      </w:r>
      <w:r w:rsidR="005116EE">
        <w:t xml:space="preserve">. </w:t>
      </w:r>
    </w:p>
    <w:p w14:paraId="1EDA6AC8" w14:textId="7C972B74" w:rsidR="004D4C12" w:rsidRDefault="004D4C12" w:rsidP="00D165EF">
      <w:pPr>
        <w:ind w:left="567" w:hanging="567"/>
      </w:pPr>
      <w:r w:rsidRPr="004D4C12">
        <w:t>Tan</w:t>
      </w:r>
      <w:r w:rsidR="00176AC8">
        <w:t xml:space="preserve"> Z,</w:t>
      </w:r>
      <w:r w:rsidRPr="004D4C12">
        <w:t xml:space="preserve"> Lee</w:t>
      </w:r>
      <w:r w:rsidR="00176AC8">
        <w:t xml:space="preserve"> PT,</w:t>
      </w:r>
      <w:r w:rsidRPr="004D4C12">
        <w:t xml:space="preserve"> </w:t>
      </w:r>
      <w:proofErr w:type="spellStart"/>
      <w:r w:rsidRPr="004D4C12">
        <w:t>Manohararaj</w:t>
      </w:r>
      <w:proofErr w:type="spellEnd"/>
      <w:r w:rsidR="00176AC8">
        <w:t xml:space="preserve"> N</w:t>
      </w:r>
      <w:r w:rsidRPr="004D4C12">
        <w:t>, Tan</w:t>
      </w:r>
      <w:r w:rsidR="00176AC8">
        <w:t xml:space="preserve"> J</w:t>
      </w:r>
      <w:r w:rsidRPr="004D4C12">
        <w:t xml:space="preserve"> </w:t>
      </w:r>
      <w:r w:rsidR="004D30AB">
        <w:t>and</w:t>
      </w:r>
      <w:r w:rsidRPr="004D4C12">
        <w:t xml:space="preserve"> Chang</w:t>
      </w:r>
      <w:r w:rsidR="004D30AB">
        <w:t xml:space="preserve"> HM</w:t>
      </w:r>
      <w:r w:rsidRPr="004D4C12">
        <w:t xml:space="preserve"> (2024) </w:t>
      </w:r>
      <w:r w:rsidR="004D30AB">
        <w:t>‘</w:t>
      </w:r>
      <w:r w:rsidRPr="004D4C12">
        <w:t xml:space="preserve">Comparison of </w:t>
      </w:r>
      <w:r w:rsidR="004D30AB">
        <w:t>s</w:t>
      </w:r>
      <w:r w:rsidRPr="004D4C12">
        <w:t xml:space="preserve">imultaneously </w:t>
      </w:r>
      <w:r w:rsidR="004D30AB">
        <w:t>p</w:t>
      </w:r>
      <w:r w:rsidRPr="004D4C12">
        <w:t xml:space="preserve">erformed </w:t>
      </w:r>
      <w:r w:rsidR="004D30AB">
        <w:t>t</w:t>
      </w:r>
      <w:r w:rsidRPr="004D4C12">
        <w:t xml:space="preserve">ranscranial Doppler and </w:t>
      </w:r>
      <w:r w:rsidR="004D30AB">
        <w:t>t</w:t>
      </w:r>
      <w:r w:rsidRPr="004D4C12">
        <w:t xml:space="preserve">ransthoracic </w:t>
      </w:r>
      <w:r w:rsidR="004D30AB">
        <w:t>e</w:t>
      </w:r>
      <w:r w:rsidRPr="004D4C12">
        <w:t xml:space="preserve">chocardiogram in </w:t>
      </w:r>
      <w:r w:rsidR="004D30AB">
        <w:t>p</w:t>
      </w:r>
      <w:r w:rsidRPr="004D4C12">
        <w:t xml:space="preserve">atients with </w:t>
      </w:r>
      <w:r w:rsidR="004D30AB">
        <w:t>s</w:t>
      </w:r>
      <w:r w:rsidRPr="004D4C12">
        <w:t xml:space="preserve">uspected </w:t>
      </w:r>
      <w:r w:rsidR="004D30AB">
        <w:t>p</w:t>
      </w:r>
      <w:r w:rsidRPr="004D4C12">
        <w:t xml:space="preserve">atent </w:t>
      </w:r>
      <w:r w:rsidR="004D30AB">
        <w:t>f</w:t>
      </w:r>
      <w:r w:rsidRPr="004D4C12">
        <w:t xml:space="preserve">oramen </w:t>
      </w:r>
      <w:proofErr w:type="spellStart"/>
      <w:r w:rsidR="004D30AB">
        <w:t>o</w:t>
      </w:r>
      <w:r w:rsidRPr="004D4C12">
        <w:t>vale</w:t>
      </w:r>
      <w:proofErr w:type="spellEnd"/>
      <w:r w:rsidR="004D30AB">
        <w:t>’,</w:t>
      </w:r>
      <w:r w:rsidRPr="004D4C12">
        <w:t xml:space="preserve"> </w:t>
      </w:r>
      <w:r w:rsidR="00835023" w:rsidRPr="005D0F38">
        <w:rPr>
          <w:i/>
          <w:iCs/>
        </w:rPr>
        <w:t>JAPSC</w:t>
      </w:r>
      <w:r w:rsidR="004D30AB">
        <w:t>,</w:t>
      </w:r>
      <w:r w:rsidRPr="004D4C12">
        <w:t xml:space="preserve"> 3</w:t>
      </w:r>
      <w:r w:rsidR="004D30AB">
        <w:t>, doi:</w:t>
      </w:r>
      <w:r w:rsidRPr="004D4C12">
        <w:t>10.15420/japsc.2023.62.</w:t>
      </w:r>
    </w:p>
    <w:p w14:paraId="1B79E06D" w14:textId="602BB1D5" w:rsidR="00FC7E51" w:rsidRDefault="00FC7E51" w:rsidP="00D165EF">
      <w:pPr>
        <w:ind w:left="567" w:hanging="567"/>
      </w:pPr>
      <w:r w:rsidRPr="00FC7E51">
        <w:t>Van der Giessen H, Wilson LC, Coffey S</w:t>
      </w:r>
      <w:r>
        <w:t xml:space="preserve"> and</w:t>
      </w:r>
      <w:r w:rsidRPr="00FC7E51">
        <w:t xml:space="preserve"> Whalley GA</w:t>
      </w:r>
      <w:r>
        <w:t xml:space="preserve"> (2020)</w:t>
      </w:r>
      <w:r w:rsidRPr="00FC7E51">
        <w:t xml:space="preserve"> </w:t>
      </w:r>
      <w:r>
        <w:t>‘</w:t>
      </w:r>
      <w:r w:rsidRPr="00FC7E51">
        <w:t xml:space="preserve">Review: Detection of patient foramen </w:t>
      </w:r>
      <w:proofErr w:type="spellStart"/>
      <w:r w:rsidRPr="00FC7E51">
        <w:t>ovale</w:t>
      </w:r>
      <w:proofErr w:type="spellEnd"/>
      <w:r w:rsidRPr="00FC7E51">
        <w:t xml:space="preserve"> using transcranial Doppler or standard echocardiography</w:t>
      </w:r>
      <w:r>
        <w:t>’,</w:t>
      </w:r>
      <w:r w:rsidRPr="00FC7E51">
        <w:t xml:space="preserve"> </w:t>
      </w:r>
      <w:proofErr w:type="spellStart"/>
      <w:r w:rsidRPr="00FC7E51">
        <w:rPr>
          <w:i/>
          <w:iCs/>
        </w:rPr>
        <w:t>Australas</w:t>
      </w:r>
      <w:proofErr w:type="spellEnd"/>
      <w:r w:rsidRPr="00FC7E51">
        <w:rPr>
          <w:i/>
          <w:iCs/>
        </w:rPr>
        <w:t xml:space="preserve"> J Ultrasound Med</w:t>
      </w:r>
      <w:r>
        <w:t>,</w:t>
      </w:r>
      <w:r w:rsidRPr="00FC7E51">
        <w:t xml:space="preserve"> 23(4):210-219</w:t>
      </w:r>
      <w:r w:rsidR="00A45B04">
        <w:t>,</w:t>
      </w:r>
      <w:r w:rsidRPr="00FC7E51">
        <w:t xml:space="preserve"> doi:10.1002/ajum.12232.</w:t>
      </w:r>
    </w:p>
    <w:p w14:paraId="4B8BC95F" w14:textId="585D2B98" w:rsidR="007D7DB8" w:rsidRDefault="006D4E9C" w:rsidP="00D165EF">
      <w:pPr>
        <w:ind w:left="567" w:hanging="567"/>
      </w:pPr>
      <w:r w:rsidRPr="006D4E9C">
        <w:t>Yang J, Zhang H, Wang Y, Zhang S, Lan T, Zhang M, Li Y, Huang W, Zhang H, Wang A, Xiao Y</w:t>
      </w:r>
      <w:r>
        <w:t xml:space="preserve"> and</w:t>
      </w:r>
      <w:r w:rsidRPr="006D4E9C">
        <w:t xml:space="preserve"> Du L</w:t>
      </w:r>
      <w:r>
        <w:t xml:space="preserve"> (2020)</w:t>
      </w:r>
      <w:r w:rsidRPr="006D4E9C">
        <w:t xml:space="preserve"> </w:t>
      </w:r>
      <w:r>
        <w:t>‘</w:t>
      </w:r>
      <w:r w:rsidRPr="006D4E9C">
        <w:t xml:space="preserve">The </w:t>
      </w:r>
      <w:r>
        <w:t>e</w:t>
      </w:r>
      <w:r w:rsidRPr="006D4E9C">
        <w:t xml:space="preserve">fficacy of </w:t>
      </w:r>
      <w:r>
        <w:t>c</w:t>
      </w:r>
      <w:r w:rsidRPr="006D4E9C">
        <w:t xml:space="preserve">ontrast </w:t>
      </w:r>
      <w:r>
        <w:t>t</w:t>
      </w:r>
      <w:r w:rsidRPr="006D4E9C">
        <w:t xml:space="preserve">ransthoracic </w:t>
      </w:r>
      <w:r>
        <w:t>ec</w:t>
      </w:r>
      <w:r w:rsidRPr="006D4E9C">
        <w:t xml:space="preserve">hocardiography and </w:t>
      </w:r>
      <w:r>
        <w:t>c</w:t>
      </w:r>
      <w:r w:rsidRPr="006D4E9C">
        <w:t xml:space="preserve">ontrast </w:t>
      </w:r>
      <w:r>
        <w:t>t</w:t>
      </w:r>
      <w:r w:rsidRPr="006D4E9C">
        <w:t xml:space="preserve">ranscranial Doppler for the </w:t>
      </w:r>
      <w:r>
        <w:t>d</w:t>
      </w:r>
      <w:r w:rsidRPr="006D4E9C">
        <w:t xml:space="preserve">etection of </w:t>
      </w:r>
      <w:r>
        <w:t>p</w:t>
      </w:r>
      <w:r w:rsidRPr="006D4E9C">
        <w:t xml:space="preserve">atent </w:t>
      </w:r>
      <w:r>
        <w:t>f</w:t>
      </w:r>
      <w:r w:rsidRPr="006D4E9C">
        <w:t xml:space="preserve">oramen </w:t>
      </w:r>
      <w:proofErr w:type="spellStart"/>
      <w:r>
        <w:t>o</w:t>
      </w:r>
      <w:r w:rsidRPr="006D4E9C">
        <w:t>vale</w:t>
      </w:r>
      <w:proofErr w:type="spellEnd"/>
      <w:r w:rsidRPr="006D4E9C">
        <w:t xml:space="preserve"> </w:t>
      </w:r>
      <w:r>
        <w:t>r</w:t>
      </w:r>
      <w:r w:rsidRPr="006D4E9C">
        <w:t xml:space="preserve">elated to </w:t>
      </w:r>
      <w:r>
        <w:t>c</w:t>
      </w:r>
      <w:r w:rsidRPr="006D4E9C">
        <w:t xml:space="preserve">ryptogenic </w:t>
      </w:r>
      <w:r>
        <w:t>s</w:t>
      </w:r>
      <w:r w:rsidRPr="006D4E9C">
        <w:t>troke</w:t>
      </w:r>
      <w:r w:rsidR="00BA3A9B">
        <w:t>’,</w:t>
      </w:r>
      <w:r w:rsidRPr="006D4E9C">
        <w:t xml:space="preserve"> </w:t>
      </w:r>
      <w:r w:rsidRPr="00BA3A9B">
        <w:rPr>
          <w:i/>
          <w:iCs/>
        </w:rPr>
        <w:t>Biomed Res Int</w:t>
      </w:r>
      <w:r w:rsidR="00BA3A9B">
        <w:t>,</w:t>
      </w:r>
      <w:r w:rsidRPr="006D4E9C">
        <w:t xml:space="preserve"> 2020:1513409</w:t>
      </w:r>
      <w:r w:rsidR="00BA3A9B">
        <w:t>,</w:t>
      </w:r>
      <w:r w:rsidRPr="006D4E9C">
        <w:t xml:space="preserve"> </w:t>
      </w:r>
      <w:proofErr w:type="spellStart"/>
      <w:r w:rsidRPr="006D4E9C">
        <w:t>doi</w:t>
      </w:r>
      <w:proofErr w:type="spellEnd"/>
      <w:r w:rsidRPr="006D4E9C">
        <w:t>: 10.1155/2020/1513409.</w:t>
      </w:r>
    </w:p>
    <w:p w14:paraId="07C5FADD" w14:textId="6DE61C2D" w:rsidR="004503EF" w:rsidRDefault="00B42DC7" w:rsidP="00D165EF">
      <w:pPr>
        <w:ind w:left="567" w:hanging="567"/>
      </w:pPr>
      <w:r w:rsidRPr="00B42DC7">
        <w:t>Yavuz</w:t>
      </w:r>
      <w:r>
        <w:t xml:space="preserve"> YE, </w:t>
      </w:r>
      <w:r w:rsidRPr="00B42DC7">
        <w:t>Tatar</w:t>
      </w:r>
      <w:r>
        <w:t xml:space="preserve"> S,</w:t>
      </w:r>
      <w:r w:rsidRPr="00B42DC7">
        <w:t xml:space="preserve"> Akilli</w:t>
      </w:r>
      <w:r>
        <w:t xml:space="preserve"> H,</w:t>
      </w:r>
      <w:r w:rsidRPr="00B42DC7">
        <w:t xml:space="preserve"> </w:t>
      </w:r>
      <w:proofErr w:type="spellStart"/>
      <w:r w:rsidRPr="00B42DC7">
        <w:t>Alsancak</w:t>
      </w:r>
      <w:proofErr w:type="spellEnd"/>
      <w:r>
        <w:t xml:space="preserve"> Y,</w:t>
      </w:r>
      <w:r w:rsidRPr="00B42DC7">
        <w:t xml:space="preserve"> </w:t>
      </w:r>
      <w:proofErr w:type="spellStart"/>
      <w:r w:rsidRPr="00B42DC7">
        <w:t>İçli</w:t>
      </w:r>
      <w:proofErr w:type="spellEnd"/>
      <w:r w:rsidR="00E63B6D">
        <w:t xml:space="preserve"> A and</w:t>
      </w:r>
      <w:r w:rsidRPr="00B42DC7">
        <w:t xml:space="preserve"> </w:t>
      </w:r>
      <w:proofErr w:type="spellStart"/>
      <w:r w:rsidRPr="00B42DC7">
        <w:t>Küçükkendirci</w:t>
      </w:r>
      <w:proofErr w:type="spellEnd"/>
      <w:r w:rsidRPr="00B42DC7">
        <w:t xml:space="preserve"> H</w:t>
      </w:r>
      <w:r w:rsidR="00E63B6D">
        <w:t xml:space="preserve"> (2026)</w:t>
      </w:r>
      <w:r w:rsidRPr="00B42DC7">
        <w:t xml:space="preserve"> </w:t>
      </w:r>
      <w:r w:rsidR="00E63B6D">
        <w:t>‘</w:t>
      </w:r>
      <w:r w:rsidRPr="00B42DC7">
        <w:t xml:space="preserve">Diagnostic </w:t>
      </w:r>
      <w:r w:rsidR="00E63B6D">
        <w:t>a</w:t>
      </w:r>
      <w:r w:rsidRPr="00B42DC7">
        <w:t xml:space="preserve">ccuracy of </w:t>
      </w:r>
      <w:r w:rsidR="00E63B6D">
        <w:t>c</w:t>
      </w:r>
      <w:r w:rsidRPr="00B42DC7">
        <w:t xml:space="preserve">ontrast-enhanced </w:t>
      </w:r>
      <w:r w:rsidR="00E63B6D">
        <w:t>t</w:t>
      </w:r>
      <w:r w:rsidRPr="00B42DC7">
        <w:t xml:space="preserve">ranscranial Doppler for </w:t>
      </w:r>
      <w:r w:rsidR="00E63B6D">
        <w:t>p</w:t>
      </w:r>
      <w:r w:rsidRPr="00B42DC7">
        <w:t xml:space="preserve">atent </w:t>
      </w:r>
      <w:r w:rsidR="00E63B6D">
        <w:t>f</w:t>
      </w:r>
      <w:r w:rsidRPr="00B42DC7">
        <w:t xml:space="preserve">oramen </w:t>
      </w:r>
      <w:proofErr w:type="spellStart"/>
      <w:r w:rsidR="00E63B6D">
        <w:t>o</w:t>
      </w:r>
      <w:r w:rsidRPr="00B42DC7">
        <w:t>vale</w:t>
      </w:r>
      <w:proofErr w:type="spellEnd"/>
      <w:r w:rsidRPr="00B42DC7">
        <w:t xml:space="preserve"> </w:t>
      </w:r>
      <w:r w:rsidR="00E63B6D">
        <w:t>d</w:t>
      </w:r>
      <w:r w:rsidRPr="00B42DC7">
        <w:t xml:space="preserve">etection in </w:t>
      </w:r>
      <w:r w:rsidR="00E63B6D">
        <w:t>a</w:t>
      </w:r>
      <w:r w:rsidRPr="00B42DC7">
        <w:t xml:space="preserve">dults: Systematic </w:t>
      </w:r>
      <w:r w:rsidR="00E63B6D">
        <w:t>r</w:t>
      </w:r>
      <w:r w:rsidRPr="00B42DC7">
        <w:t xml:space="preserve">eview and </w:t>
      </w:r>
      <w:r w:rsidR="00E63B6D">
        <w:t>m</w:t>
      </w:r>
      <w:r w:rsidRPr="00B42DC7">
        <w:t>eta-analysis</w:t>
      </w:r>
      <w:r w:rsidR="00E63B6D">
        <w:t>’,</w:t>
      </w:r>
      <w:r w:rsidRPr="00B42DC7">
        <w:t xml:space="preserve"> </w:t>
      </w:r>
      <w:r w:rsidRPr="00E63B6D">
        <w:rPr>
          <w:i/>
          <w:iCs/>
        </w:rPr>
        <w:t>J</w:t>
      </w:r>
      <w:r w:rsidR="00E63B6D" w:rsidRPr="00E63B6D">
        <w:rPr>
          <w:i/>
          <w:iCs/>
        </w:rPr>
        <w:t xml:space="preserve"> </w:t>
      </w:r>
      <w:r w:rsidRPr="00E63B6D">
        <w:rPr>
          <w:i/>
          <w:iCs/>
        </w:rPr>
        <w:t>Cardiovas</w:t>
      </w:r>
      <w:r w:rsidR="00E63B6D" w:rsidRPr="00E63B6D">
        <w:rPr>
          <w:i/>
          <w:iCs/>
        </w:rPr>
        <w:t>c</w:t>
      </w:r>
      <w:r w:rsidRPr="00E63B6D">
        <w:rPr>
          <w:i/>
          <w:iCs/>
        </w:rPr>
        <w:t xml:space="preserve"> </w:t>
      </w:r>
      <w:proofErr w:type="spellStart"/>
      <w:r w:rsidRPr="00E63B6D">
        <w:rPr>
          <w:i/>
          <w:iCs/>
        </w:rPr>
        <w:t>Echogr</w:t>
      </w:r>
      <w:proofErr w:type="spellEnd"/>
      <w:r w:rsidR="00E63B6D">
        <w:t>,</w:t>
      </w:r>
      <w:r w:rsidRPr="00B42DC7">
        <w:t xml:space="preserve"> 36(2):89-100,</w:t>
      </w:r>
      <w:r w:rsidR="000D4F07">
        <w:t xml:space="preserve"> doi</w:t>
      </w:r>
      <w:r w:rsidRPr="00B42DC7">
        <w:t>:10.4103/jcecho.jcecho_128_25</w:t>
      </w:r>
      <w:r w:rsidR="000D4F07">
        <w:t>.</w:t>
      </w:r>
    </w:p>
    <w:p w14:paraId="1A5EAA9F" w14:textId="246FE37B" w:rsidR="00112C8A" w:rsidRPr="00E01349" w:rsidRDefault="00A00804" w:rsidP="00070D53">
      <w:pPr>
        <w:ind w:left="567" w:hanging="567"/>
      </w:pPr>
      <w:r w:rsidRPr="00A00804">
        <w:t>Zhang D, Jiang L, Chen YN</w:t>
      </w:r>
      <w:r>
        <w:t xml:space="preserve"> and</w:t>
      </w:r>
      <w:r w:rsidRPr="00A00804">
        <w:t xml:space="preserve"> Pan MF</w:t>
      </w:r>
      <w:r>
        <w:t xml:space="preserve"> (2024)</w:t>
      </w:r>
      <w:r w:rsidRPr="00A00804">
        <w:t xml:space="preserve"> </w:t>
      </w:r>
      <w:r>
        <w:t>‘</w:t>
      </w:r>
      <w:r w:rsidRPr="00A00804">
        <w:t xml:space="preserve">The diagnostic value of contrast-enhanced transcranial Doppler and contrast-enhanced transthoracic echocardiography for right to left shunt in patent foramen </w:t>
      </w:r>
      <w:proofErr w:type="spellStart"/>
      <w:r w:rsidRPr="00A00804">
        <w:t>ovale</w:t>
      </w:r>
      <w:proofErr w:type="spellEnd"/>
      <w:r w:rsidRPr="00A00804">
        <w:t>: a systematic review and meta-analysis</w:t>
      </w:r>
      <w:r>
        <w:t>’,</w:t>
      </w:r>
      <w:r w:rsidRPr="00A00804">
        <w:t xml:space="preserve"> </w:t>
      </w:r>
      <w:r w:rsidRPr="00A00804">
        <w:rPr>
          <w:i/>
          <w:iCs/>
        </w:rPr>
        <w:t>Front Neurol</w:t>
      </w:r>
      <w:r>
        <w:t>,</w:t>
      </w:r>
      <w:r w:rsidRPr="00A00804">
        <w:t xml:space="preserve"> 15:1447964</w:t>
      </w:r>
      <w:r>
        <w:t>,</w:t>
      </w:r>
      <w:r w:rsidRPr="00A00804">
        <w:t xml:space="preserve"> doi:10.3389/fneur.2024.1447964.</w:t>
      </w:r>
    </w:p>
    <w:sectPr w:rsidR="00112C8A" w:rsidRPr="00E01349" w:rsidSect="001F0C55">
      <w:pgSz w:w="11906" w:h="16838"/>
      <w:pgMar w:top="682" w:right="1134" w:bottom="1021" w:left="119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B24BD" w14:textId="77777777" w:rsidR="00942674" w:rsidRDefault="00942674" w:rsidP="0016315C">
      <w:pPr>
        <w:spacing w:after="0" w:line="240" w:lineRule="auto"/>
      </w:pPr>
      <w:r>
        <w:separator/>
      </w:r>
    </w:p>
  </w:endnote>
  <w:endnote w:type="continuationSeparator" w:id="0">
    <w:p w14:paraId="48680C63" w14:textId="77777777" w:rsidR="00942674" w:rsidRDefault="00942674" w:rsidP="0016315C">
      <w:pPr>
        <w:spacing w:after="0" w:line="240" w:lineRule="auto"/>
      </w:pPr>
      <w:r>
        <w:continuationSeparator/>
      </w:r>
    </w:p>
  </w:endnote>
  <w:endnote w:type="continuationNotice" w:id="1">
    <w:p w14:paraId="2C324CFF" w14:textId="77777777" w:rsidR="00942674" w:rsidRDefault="009426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226E0AD5" w:rsidR="00685355" w:rsidRDefault="005336B8">
    <w:pPr>
      <w:pStyle w:val="Footer"/>
      <w:framePr w:wrap="none" w:vAnchor="text" w:hAnchor="margin" w:xAlign="right" w:y="1"/>
      <w:rPr>
        <w:rStyle w:val="PageNumber"/>
      </w:rPr>
    </w:pPr>
    <w:r>
      <w:rPr>
        <w:noProof/>
      </w:rPr>
      <mc:AlternateContent>
        <mc:Choice Requires="wps">
          <w:drawing>
            <wp:anchor distT="0" distB="0" distL="0" distR="0" simplePos="0" relativeHeight="251663365" behindDoc="0" locked="0" layoutInCell="1" allowOverlap="1" wp14:anchorId="72A2450C" wp14:editId="2D83A1E5">
              <wp:simplePos x="635" y="635"/>
              <wp:positionH relativeFrom="page">
                <wp:align>center</wp:align>
              </wp:positionH>
              <wp:positionV relativeFrom="page">
                <wp:align>bottom</wp:align>
              </wp:positionV>
              <wp:extent cx="622300" cy="404495"/>
              <wp:effectExtent l="0" t="0" r="6350" b="0"/>
              <wp:wrapNone/>
              <wp:docPr id="147118766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AE751D9" w14:textId="473BE2F9"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A2450C" id="_x0000_t202" coordsize="21600,21600" o:spt="202" path="m,l,21600r21600,l21600,xe">
              <v:stroke joinstyle="miter"/>
              <v:path gradientshapeok="t" o:connecttype="rect"/>
            </v:shapetype>
            <v:shape id="Text Box 11" o:spid="_x0000_s1027" type="#_x0000_t202" alt="OFFICIAL" style="position:absolute;margin-left:0;margin-top:0;width:49pt;height:31.8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6AE751D9" w14:textId="473BE2F9"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1412FF03" w:rsidR="0015018B" w:rsidRPr="009B57D9" w:rsidRDefault="0015018B" w:rsidP="0015018B">
    <w:pPr>
      <w:spacing w:after="0"/>
      <w:contextualSpacing/>
      <w:jc w:val="center"/>
      <w:rPr>
        <w:sz w:val="18"/>
        <w:szCs w:val="18"/>
      </w:rPr>
    </w:pPr>
  </w:p>
  <w:p w14:paraId="3B4966E4" w14:textId="6959DF2F" w:rsidR="0015018B" w:rsidRDefault="00942674"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6412D827" w:rsidR="0016315C" w:rsidRPr="00685355" w:rsidRDefault="0063402E" w:rsidP="001F0C55">
    <w:pPr>
      <w:jc w:val="center"/>
    </w:pPr>
    <w:r>
      <w:t xml:space="preserve">Ratified </w:t>
    </w:r>
    <w:r w:rsidR="60009B8A">
      <w:t xml:space="preserve">PICO Confirmation </w:t>
    </w:r>
    <w:r w:rsidR="60009B8A" w:rsidRPr="00922F87">
      <w:t xml:space="preserve">– </w:t>
    </w:r>
    <w:r w:rsidR="00922F87" w:rsidRPr="00922F87">
      <w:t>August 2026</w:t>
    </w:r>
    <w:r w:rsidR="60009B8A" w:rsidRPr="00922F87">
      <w:t xml:space="preserve"> PASC Meeting</w:t>
    </w:r>
    <w:r w:rsidR="00BB0FFB">
      <w:br/>
    </w:r>
    <w:r w:rsidR="60009B8A">
      <w:t xml:space="preserve">Application </w:t>
    </w:r>
    <w:r w:rsidR="00922F87">
      <w:t>1825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1F77803E" w:rsidR="009A4FFB" w:rsidRDefault="005336B8">
    <w:pPr>
      <w:pStyle w:val="Footer"/>
    </w:pPr>
    <w:r>
      <w:rPr>
        <w:noProof/>
      </w:rPr>
      <mc:AlternateContent>
        <mc:Choice Requires="wps">
          <w:drawing>
            <wp:anchor distT="0" distB="0" distL="0" distR="0" simplePos="0" relativeHeight="251662341" behindDoc="0" locked="0" layoutInCell="1" allowOverlap="1" wp14:anchorId="467F838B" wp14:editId="14B7F5DC">
              <wp:simplePos x="635" y="635"/>
              <wp:positionH relativeFrom="page">
                <wp:align>center</wp:align>
              </wp:positionH>
              <wp:positionV relativeFrom="page">
                <wp:align>bottom</wp:align>
              </wp:positionV>
              <wp:extent cx="622300" cy="404495"/>
              <wp:effectExtent l="0" t="0" r="6350" b="0"/>
              <wp:wrapNone/>
              <wp:docPr id="111116342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24F16C9" w14:textId="1F29E09B"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7F838B" id="_x0000_t202" coordsize="21600,21600" o:spt="202" path="m,l,21600r21600,l21600,xe">
              <v:stroke joinstyle="miter"/>
              <v:path gradientshapeok="t" o:connecttype="rect"/>
            </v:shapetype>
            <v:shape id="Text Box 10" o:spid="_x0000_s1029" type="#_x0000_t202" alt="OFFICIAL" style="position:absolute;margin-left:0;margin-top:0;width:49pt;height:31.8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324F16C9" w14:textId="1F29E09B"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B8490" w14:textId="77777777" w:rsidR="00942674" w:rsidRDefault="00942674" w:rsidP="0016315C">
      <w:pPr>
        <w:spacing w:after="0" w:line="240" w:lineRule="auto"/>
      </w:pPr>
      <w:r>
        <w:separator/>
      </w:r>
    </w:p>
  </w:footnote>
  <w:footnote w:type="continuationSeparator" w:id="0">
    <w:p w14:paraId="7A415282" w14:textId="77777777" w:rsidR="00942674" w:rsidRDefault="00942674" w:rsidP="0016315C">
      <w:pPr>
        <w:spacing w:after="0" w:line="240" w:lineRule="auto"/>
      </w:pPr>
      <w:r>
        <w:continuationSeparator/>
      </w:r>
    </w:p>
  </w:footnote>
  <w:footnote w:type="continuationNotice" w:id="1">
    <w:p w14:paraId="2DC5B5B6" w14:textId="77777777" w:rsidR="00942674" w:rsidRDefault="00942674">
      <w:pPr>
        <w:spacing w:after="0" w:line="240" w:lineRule="auto"/>
      </w:pPr>
    </w:p>
  </w:footnote>
  <w:footnote w:id="2">
    <w:p w14:paraId="0BD9B761" w14:textId="6E469396" w:rsidR="00A40B7E" w:rsidRDefault="00A40B7E" w:rsidP="00A40B7E">
      <w:pPr>
        <w:pStyle w:val="FootnoteText"/>
      </w:pPr>
      <w:r>
        <w:rPr>
          <w:rStyle w:val="FootnoteReference"/>
        </w:rPr>
        <w:footnoteRef/>
      </w:r>
      <w:r>
        <w:t xml:space="preserve"> Figulla Flex II PFO Occluder (Life Systems Medical; ARTG ID </w:t>
      </w:r>
      <w:hyperlink r:id="rId1" w:tooltip="Hyperlink to ARTG entry" w:history="1">
        <w:r w:rsidRPr="004B44A9">
          <w:rPr>
            <w:rStyle w:val="Hyperlink"/>
            <w:rFonts w:ascii="Calibri" w:hAnsi="Calibri"/>
          </w:rPr>
          <w:t>400794</w:t>
        </w:r>
      </w:hyperlink>
      <w:r>
        <w:t xml:space="preserve">) and Amplatzer Talisman PFO Occluder (Abbott Medical; ARTG ID </w:t>
      </w:r>
      <w:hyperlink r:id="rId2" w:tooltip="Hyperlink to ARTG entry" w:history="1">
        <w:r w:rsidRPr="002D71A7">
          <w:rPr>
            <w:rStyle w:val="Hyperlink"/>
            <w:rFonts w:ascii="Calibri" w:hAnsi="Calibri"/>
          </w:rPr>
          <w:t>398663</w:t>
        </w:r>
      </w:hyperlink>
      <w:r>
        <w:t>)</w:t>
      </w:r>
      <w:r w:rsidR="00C131F2">
        <w:t xml:space="preserve">; accessed </w:t>
      </w:r>
      <w:r w:rsidR="00410AA4">
        <w:t>08 June 2026</w:t>
      </w:r>
      <w:r w:rsidR="00FA0D68">
        <w:t>.</w:t>
      </w:r>
    </w:p>
  </w:footnote>
  <w:footnote w:id="3">
    <w:p w14:paraId="510EC386" w14:textId="63E57459" w:rsidR="0034081B" w:rsidRDefault="0034081B">
      <w:pPr>
        <w:pStyle w:val="FootnoteText"/>
      </w:pPr>
      <w:r>
        <w:rPr>
          <w:rStyle w:val="FootnoteReference"/>
        </w:rPr>
        <w:footnoteRef/>
      </w:r>
      <w:r>
        <w:t xml:space="preserve"> Medicare Statistics, Services Australia, accessed 08 June 2026.</w:t>
      </w:r>
    </w:p>
  </w:footnote>
  <w:footnote w:id="4">
    <w:p w14:paraId="1C2B676B" w14:textId="1BA29013" w:rsidR="0084523F" w:rsidRDefault="0084523F">
      <w:pPr>
        <w:pStyle w:val="FootnoteText"/>
      </w:pPr>
      <w:r>
        <w:rPr>
          <w:rStyle w:val="FootnoteReference"/>
        </w:rPr>
        <w:footnoteRef/>
      </w:r>
      <w:r>
        <w:t xml:space="preserve"> </w:t>
      </w:r>
      <w:r w:rsidR="00BD13E2">
        <w:t>The consensus statement was d</w:t>
      </w:r>
      <w:r w:rsidR="00AB4AAE">
        <w:t xml:space="preserve">eveloped by a </w:t>
      </w:r>
      <w:r w:rsidR="00F27105">
        <w:t>multidisciplinary expert panel</w:t>
      </w:r>
      <w:r w:rsidR="00AB4AAE">
        <w:t xml:space="preserve"> comprising </w:t>
      </w:r>
      <w:r w:rsidR="00FA3D8E">
        <w:t xml:space="preserve">9 stroke neurologists and 1 interventional cardiologist from major </w:t>
      </w:r>
      <w:r w:rsidR="00926262">
        <w:t xml:space="preserve">tertiary </w:t>
      </w:r>
      <w:r w:rsidR="00FA3D8E">
        <w:t>centres</w:t>
      </w:r>
      <w:r w:rsidR="00873AE9">
        <w:t xml:space="preserve"> in Christchurch, New South Wales, Queensland, Tasmania, Victoria and Western Australia.</w:t>
      </w:r>
    </w:p>
  </w:footnote>
  <w:footnote w:id="5">
    <w:p w14:paraId="09F391C6" w14:textId="35BAE4E4" w:rsidR="002E3E65" w:rsidRDefault="002E3E65" w:rsidP="002E3E65">
      <w:pPr>
        <w:pStyle w:val="FootnoteText"/>
      </w:pPr>
      <w:r>
        <w:rPr>
          <w:rStyle w:val="FootnoteReference"/>
        </w:rPr>
        <w:footnoteRef/>
      </w:r>
      <w:r>
        <w:t xml:space="preserve"> </w:t>
      </w:r>
      <w:r w:rsidR="00E1534D">
        <w:t xml:space="preserve">Austin Health </w:t>
      </w:r>
      <w:hyperlink r:id="rId3" w:tooltip="Hyperlink to Austin Health websire information for patients" w:history="1">
        <w:r w:rsidR="00E1534D" w:rsidRPr="00A728EF">
          <w:rPr>
            <w:rStyle w:val="Hyperlink"/>
            <w:rFonts w:ascii="Calibri" w:hAnsi="Calibri"/>
          </w:rPr>
          <w:t>patient information</w:t>
        </w:r>
      </w:hyperlink>
      <w:r w:rsidR="00A728EF">
        <w:t xml:space="preserve">, </w:t>
      </w:r>
      <w:r>
        <w:t xml:space="preserve">Hole in the Heart Clinic </w:t>
      </w:r>
      <w:hyperlink r:id="rId4" w:tooltip="Hyperlink to Hole in the Heart Clinic website patient information" w:history="1">
        <w:r w:rsidRPr="008946D1">
          <w:rPr>
            <w:rStyle w:val="Hyperlink"/>
            <w:rFonts w:ascii="Calibri" w:hAnsi="Calibri"/>
          </w:rPr>
          <w:t>patient information</w:t>
        </w:r>
      </w:hyperlink>
      <w:r>
        <w:t xml:space="preserve">, Heart Brain Private Clinic </w:t>
      </w:r>
      <w:hyperlink r:id="rId5" w:tooltip="Hyperlink to Heart Brain Private Clinic website patient information" w:history="1">
        <w:r w:rsidRPr="000A63E7">
          <w:rPr>
            <w:rStyle w:val="Hyperlink"/>
            <w:rFonts w:ascii="Calibri" w:hAnsi="Calibri"/>
          </w:rPr>
          <w:t>patient information</w:t>
        </w:r>
      </w:hyperlink>
      <w:r>
        <w:t>; accessed 16 June 2026.</w:t>
      </w:r>
    </w:p>
  </w:footnote>
  <w:footnote w:id="6">
    <w:p w14:paraId="658F8A77" w14:textId="5307C2BD" w:rsidR="007A32E1" w:rsidRDefault="007A32E1">
      <w:pPr>
        <w:pStyle w:val="FootnoteText"/>
      </w:pPr>
      <w:r>
        <w:rPr>
          <w:rStyle w:val="FootnoteReference"/>
        </w:rPr>
        <w:footnoteRef/>
      </w:r>
      <w:r>
        <w:t xml:space="preserve"> </w:t>
      </w:r>
      <w:r w:rsidRPr="007A32E1">
        <w:t>Insonation refers to the delivery of ultrasound waves into tissues to enable diagnostic imaging or measurement of blood flow.</w:t>
      </w:r>
    </w:p>
  </w:footnote>
  <w:footnote w:id="7">
    <w:p w14:paraId="43FE8784" w14:textId="3C6BE5DA" w:rsidR="00BF7AFE" w:rsidRDefault="00BF7AFE">
      <w:pPr>
        <w:pStyle w:val="FootnoteText"/>
      </w:pPr>
      <w:r>
        <w:rPr>
          <w:rStyle w:val="FootnoteReference"/>
        </w:rPr>
        <w:footnoteRef/>
      </w:r>
      <w:r>
        <w:t xml:space="preserve"> </w:t>
      </w:r>
      <w:r w:rsidR="006A218A">
        <w:t>Discussed at the Pre-PASC meeting on 15 June 202</w:t>
      </w:r>
      <w:r w:rsidR="00BC78F3">
        <w:t>6.</w:t>
      </w:r>
    </w:p>
  </w:footnote>
  <w:footnote w:id="8">
    <w:p w14:paraId="10900F0B" w14:textId="02238363" w:rsidR="001346B7" w:rsidRDefault="001346B7">
      <w:pPr>
        <w:pStyle w:val="FootnoteText"/>
      </w:pPr>
      <w:r>
        <w:rPr>
          <w:rStyle w:val="FootnoteReference"/>
        </w:rPr>
        <w:footnoteRef/>
      </w:r>
      <w:r>
        <w:t xml:space="preserve"> </w:t>
      </w:r>
      <w:r w:rsidR="000C3F30">
        <w:t xml:space="preserve">CardioVascular Clinics (CVC) </w:t>
      </w:r>
      <w:hyperlink r:id="rId6" w:tooltip="Hyperlink to CVC website patient information" w:history="1">
        <w:r w:rsidR="000C3F30" w:rsidRPr="00091EC5">
          <w:rPr>
            <w:rStyle w:val="Hyperlink"/>
            <w:rFonts w:ascii="Calibri" w:hAnsi="Calibri"/>
          </w:rPr>
          <w:t>patient information</w:t>
        </w:r>
      </w:hyperlink>
      <w:r w:rsidR="000C3F30">
        <w:t xml:space="preserve">, </w:t>
      </w:r>
      <w:r w:rsidR="00C90BFB">
        <w:t xml:space="preserve">SmartCare Diagnostics </w:t>
      </w:r>
      <w:hyperlink r:id="rId7" w:tooltip="Hyperlink to SmartCare Diagnostics website patient information" w:history="1">
        <w:r w:rsidR="00C90BFB" w:rsidRPr="00C90BFB">
          <w:rPr>
            <w:rStyle w:val="Hyperlink"/>
            <w:rFonts w:ascii="Calibri" w:hAnsi="Calibri"/>
          </w:rPr>
          <w:t>patient information</w:t>
        </w:r>
      </w:hyperlink>
      <w:r w:rsidR="008C3AF6">
        <w:t>,</w:t>
      </w:r>
      <w:r w:rsidR="00C90BFB">
        <w:t xml:space="preserve"> </w:t>
      </w:r>
      <w:r w:rsidR="008C3AF6">
        <w:t xml:space="preserve">Heart HQ </w:t>
      </w:r>
      <w:hyperlink r:id="rId8" w:tooltip="Hyperlink to Heart HQ website patient information " w:history="1">
        <w:r w:rsidR="008C3AF6" w:rsidRPr="00BA1653">
          <w:rPr>
            <w:rStyle w:val="Hyperlink"/>
            <w:rFonts w:ascii="Calibri" w:hAnsi="Calibri"/>
          </w:rPr>
          <w:t>patient information</w:t>
        </w:r>
      </w:hyperlink>
      <w:r w:rsidR="00E20C4C">
        <w:t xml:space="preserve">, The Heart Centre (THC) </w:t>
      </w:r>
      <w:hyperlink r:id="rId9" w:tooltip="Hyperlink to THC website patient information" w:history="1">
        <w:r w:rsidR="00E20C4C" w:rsidRPr="00E20C4C">
          <w:rPr>
            <w:rStyle w:val="Hyperlink"/>
            <w:rFonts w:ascii="Calibri" w:hAnsi="Calibri"/>
          </w:rPr>
          <w:t>patient information</w:t>
        </w:r>
      </w:hyperlink>
      <w:r w:rsidR="00A6496F">
        <w:t xml:space="preserve">; </w:t>
      </w:r>
      <w:r w:rsidR="000C3F30">
        <w:t>accessed 16 June 2026.</w:t>
      </w:r>
    </w:p>
  </w:footnote>
  <w:footnote w:id="9">
    <w:p w14:paraId="2505E4FA" w14:textId="3A45BA9B" w:rsidR="00A27D96" w:rsidRDefault="00A27D96">
      <w:pPr>
        <w:pStyle w:val="FootnoteText"/>
      </w:pPr>
      <w:r>
        <w:rPr>
          <w:rStyle w:val="FootnoteReference"/>
        </w:rPr>
        <w:footnoteRef/>
      </w:r>
      <w:r>
        <w:t xml:space="preserve"> </w:t>
      </w:r>
      <w:r w:rsidR="00150076">
        <w:t>Although t</w:t>
      </w:r>
      <w:r w:rsidRPr="00A27D96">
        <w:t xml:space="preserve">he ESO guidelines (Caso et al. 2024) </w:t>
      </w:r>
      <w:r w:rsidR="00150076">
        <w:t xml:space="preserve">identified no direct comparative studies, they </w:t>
      </w:r>
      <w:r w:rsidRPr="00A27D96">
        <w:t>included 34 studies evaluating the diagnostic performance of TCD bubble testing against TOE with bubble contrast in patients with cryptogenic stroke</w:t>
      </w:r>
      <w:r w:rsidR="0006215D">
        <w:t xml:space="preserve">, and </w:t>
      </w:r>
      <w:r w:rsidR="001C2798">
        <w:t xml:space="preserve">19 studies </w:t>
      </w:r>
      <w:r w:rsidR="009F136E">
        <w:t>evaluating</w:t>
      </w:r>
      <w:r w:rsidR="001C2798">
        <w:t xml:space="preserve"> TTE </w:t>
      </w:r>
      <w:r w:rsidRPr="00A27D96">
        <w:t>with bubble contrast</w:t>
      </w:r>
      <w:r w:rsidR="00D8574D">
        <w:t xml:space="preserve"> </w:t>
      </w:r>
      <w:r w:rsidR="009F136E" w:rsidRPr="00A27D96">
        <w:t>against TOE with bubble contrast</w:t>
      </w:r>
      <w:r w:rsidRPr="00A27D96">
        <w:t>.</w:t>
      </w:r>
    </w:p>
  </w:footnote>
  <w:footnote w:id="10">
    <w:p w14:paraId="46C3B33F" w14:textId="3BD728D1" w:rsidR="007A4780" w:rsidRDefault="007A4780">
      <w:pPr>
        <w:pStyle w:val="FootnoteText"/>
      </w:pPr>
      <w:r>
        <w:rPr>
          <w:rStyle w:val="FootnoteReference"/>
        </w:rPr>
        <w:footnoteRef/>
      </w:r>
      <w:r>
        <w:t xml:space="preserve"> </w:t>
      </w:r>
      <w:r w:rsidR="00CD4671" w:rsidRPr="00CD4671">
        <w:t xml:space="preserve">Agitated saline </w:t>
      </w:r>
      <w:r w:rsidR="009820DE">
        <w:rPr>
          <w:rFonts w:cs="Calibri"/>
        </w:rPr>
        <w:t>(mixed with</w:t>
      </w:r>
      <w:r w:rsidR="00CD4671" w:rsidRPr="00CD4671">
        <w:t xml:space="preserve"> a small </w:t>
      </w:r>
      <w:r w:rsidR="009820DE">
        <w:t>volume of air)</w:t>
      </w:r>
      <w:r w:rsidR="00F82CD0">
        <w:t>, with or without</w:t>
      </w:r>
      <w:r w:rsidR="009820DE">
        <w:t xml:space="preserve"> </w:t>
      </w:r>
      <w:r w:rsidR="00F82CD0">
        <w:t xml:space="preserve">the addition of a small </w:t>
      </w:r>
      <w:r w:rsidR="00CD4671" w:rsidRPr="00CD4671">
        <w:t xml:space="preserve">amount of the patient’s blood, is the most commonly used contrast agent for TCD, TTE, and TOE bubble studies, although </w:t>
      </w:r>
      <w:r w:rsidR="00ED09A0">
        <w:t>gelatin-based or commercial contrast agents</w:t>
      </w:r>
      <w:r w:rsidR="00616DF6">
        <w:t xml:space="preserve"> </w:t>
      </w:r>
      <w:r w:rsidR="00E57F47">
        <w:t>may be</w:t>
      </w:r>
      <w:r w:rsidR="00616DF6">
        <w:t xml:space="preserve"> used in specific circumstance</w:t>
      </w:r>
      <w:r w:rsidR="00701D55">
        <w: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0C15BC90" w:rsidR="009A4FFB" w:rsidRDefault="005336B8">
    <w:pPr>
      <w:pStyle w:val="Header"/>
    </w:pPr>
    <w:r>
      <w:rPr>
        <w:noProof/>
      </w:rPr>
      <mc:AlternateContent>
        <mc:Choice Requires="wps">
          <w:drawing>
            <wp:anchor distT="0" distB="0" distL="0" distR="0" simplePos="0" relativeHeight="251660293" behindDoc="0" locked="0" layoutInCell="1" allowOverlap="1" wp14:anchorId="38EF96DC" wp14:editId="243B2DCD">
              <wp:simplePos x="635" y="635"/>
              <wp:positionH relativeFrom="page">
                <wp:align>center</wp:align>
              </wp:positionH>
              <wp:positionV relativeFrom="page">
                <wp:align>top</wp:align>
              </wp:positionV>
              <wp:extent cx="622300" cy="404495"/>
              <wp:effectExtent l="0" t="0" r="6350" b="14605"/>
              <wp:wrapNone/>
              <wp:docPr id="93632622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908ADFE" w14:textId="6D07C6DB"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EF96DC" id="_x0000_t202" coordsize="21600,21600" o:spt="202" path="m,l,21600r21600,l21600,xe">
              <v:stroke joinstyle="miter"/>
              <v:path gradientshapeok="t" o:connecttype="rect"/>
            </v:shapetype>
            <v:shape id="Text Box 8" o:spid="_x0000_s1026" type="#_x0000_t202" alt="OFFICIAL" style="position:absolute;margin-left:0;margin-top:0;width:49pt;height:31.8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4908ADFE" w14:textId="6D07C6DB"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0"/>
      <w:gridCol w:w="3190"/>
      <w:gridCol w:w="3190"/>
    </w:tblGrid>
    <w:tr w:rsidR="628F6C62" w14:paraId="30E3AEF3" w14:textId="77777777" w:rsidTr="009A4FFB">
      <w:trPr>
        <w:trHeight w:val="300"/>
      </w:trPr>
      <w:tc>
        <w:tcPr>
          <w:tcW w:w="3190" w:type="dxa"/>
        </w:tcPr>
        <w:p w14:paraId="49F52A5F" w14:textId="7783BDBD" w:rsidR="628F6C62" w:rsidRDefault="628F6C62" w:rsidP="009A4FFB">
          <w:pPr>
            <w:pStyle w:val="Header"/>
            <w:ind w:left="-115"/>
          </w:pPr>
        </w:p>
      </w:tc>
      <w:tc>
        <w:tcPr>
          <w:tcW w:w="3190" w:type="dxa"/>
        </w:tcPr>
        <w:p w14:paraId="36E67869" w14:textId="784854AB" w:rsidR="628F6C62" w:rsidRDefault="628F6C62" w:rsidP="009A4FFB">
          <w:pPr>
            <w:pStyle w:val="Header"/>
            <w:jc w:val="center"/>
          </w:pPr>
        </w:p>
      </w:tc>
      <w:tc>
        <w:tcPr>
          <w:tcW w:w="3190" w:type="dxa"/>
        </w:tcPr>
        <w:p w14:paraId="7D0E02FB" w14:textId="1ED15B37" w:rsidR="628F6C62" w:rsidRDefault="628F6C62" w:rsidP="009A4FFB">
          <w:pPr>
            <w:pStyle w:val="Header"/>
            <w:ind w:right="-115"/>
            <w:jc w:val="right"/>
          </w:pPr>
        </w:p>
      </w:tc>
    </w:tr>
  </w:tbl>
  <w:p w14:paraId="1C2EB0F3" w14:textId="6BEAD8D4" w:rsidR="628F6C62" w:rsidRDefault="628F6C62" w:rsidP="009A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2121F7FF" w:rsidR="009A4FFB" w:rsidRDefault="005336B8">
    <w:pPr>
      <w:pStyle w:val="Header"/>
    </w:pPr>
    <w:r>
      <w:rPr>
        <w:noProof/>
      </w:rPr>
      <mc:AlternateContent>
        <mc:Choice Requires="wps">
          <w:drawing>
            <wp:anchor distT="0" distB="0" distL="0" distR="0" simplePos="0" relativeHeight="251659269" behindDoc="0" locked="0" layoutInCell="1" allowOverlap="1" wp14:anchorId="2F33ADF5" wp14:editId="49C32C3D">
              <wp:simplePos x="635" y="635"/>
              <wp:positionH relativeFrom="page">
                <wp:align>center</wp:align>
              </wp:positionH>
              <wp:positionV relativeFrom="page">
                <wp:align>top</wp:align>
              </wp:positionV>
              <wp:extent cx="622300" cy="404495"/>
              <wp:effectExtent l="0" t="0" r="6350" b="14605"/>
              <wp:wrapNone/>
              <wp:docPr id="27200613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C5F68BE" w14:textId="1342152C"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33ADF5" id="_x0000_t202" coordsize="21600,21600" o:spt="202" path="m,l,21600r21600,l21600,xe">
              <v:stroke joinstyle="miter"/>
              <v:path gradientshapeok="t" o:connecttype="rect"/>
            </v:shapetype>
            <v:shape id="Text Box 7" o:spid="_x0000_s1028" type="#_x0000_t202" alt="OFFICIAL" style="position:absolute;margin-left:0;margin-top:0;width:49pt;height:31.8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1C5F68BE" w14:textId="1342152C" w:rsidR="005336B8" w:rsidRPr="005336B8" w:rsidRDefault="005336B8" w:rsidP="005336B8">
                    <w:pPr>
                      <w:spacing w:after="0"/>
                      <w:rPr>
                        <w:rFonts w:ascii="Aptos" w:eastAsia="Aptos" w:hAnsi="Aptos" w:cs="Aptos"/>
                        <w:noProof/>
                        <w:color w:val="FF0000"/>
                        <w:sz w:val="24"/>
                        <w:szCs w:val="24"/>
                      </w:rPr>
                    </w:pPr>
                    <w:r w:rsidRPr="005336B8">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879"/>
    <w:multiLevelType w:val="hybridMultilevel"/>
    <w:tmpl w:val="E9924B84"/>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1" w15:restartNumberingAfterBreak="0">
    <w:nsid w:val="00D5086E"/>
    <w:multiLevelType w:val="hybridMultilevel"/>
    <w:tmpl w:val="17E03B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C4143B"/>
    <w:multiLevelType w:val="hybridMultilevel"/>
    <w:tmpl w:val="82B4B94E"/>
    <w:lvl w:ilvl="0" w:tplc="82E06C52">
      <w:start w:val="1"/>
      <w:numFmt w:val="decimal"/>
      <w:lvlText w:val="%1."/>
      <w:lvlJc w:val="left"/>
      <w:pPr>
        <w:ind w:left="1020" w:hanging="360"/>
      </w:pPr>
    </w:lvl>
    <w:lvl w:ilvl="1" w:tplc="0B02BB10">
      <w:start w:val="1"/>
      <w:numFmt w:val="decimal"/>
      <w:lvlText w:val="%2."/>
      <w:lvlJc w:val="left"/>
      <w:pPr>
        <w:ind w:left="1020" w:hanging="360"/>
      </w:pPr>
    </w:lvl>
    <w:lvl w:ilvl="2" w:tplc="D18A580C">
      <w:start w:val="1"/>
      <w:numFmt w:val="decimal"/>
      <w:lvlText w:val="%3."/>
      <w:lvlJc w:val="left"/>
      <w:pPr>
        <w:ind w:left="1020" w:hanging="360"/>
      </w:pPr>
    </w:lvl>
    <w:lvl w:ilvl="3" w:tplc="4D80B192">
      <w:start w:val="1"/>
      <w:numFmt w:val="decimal"/>
      <w:lvlText w:val="%4."/>
      <w:lvlJc w:val="left"/>
      <w:pPr>
        <w:ind w:left="1020" w:hanging="360"/>
      </w:pPr>
    </w:lvl>
    <w:lvl w:ilvl="4" w:tplc="CD361D24">
      <w:start w:val="1"/>
      <w:numFmt w:val="decimal"/>
      <w:lvlText w:val="%5."/>
      <w:lvlJc w:val="left"/>
      <w:pPr>
        <w:ind w:left="1020" w:hanging="360"/>
      </w:pPr>
    </w:lvl>
    <w:lvl w:ilvl="5" w:tplc="5E4E56DA">
      <w:start w:val="1"/>
      <w:numFmt w:val="decimal"/>
      <w:lvlText w:val="%6."/>
      <w:lvlJc w:val="left"/>
      <w:pPr>
        <w:ind w:left="1020" w:hanging="360"/>
      </w:pPr>
    </w:lvl>
    <w:lvl w:ilvl="6" w:tplc="81C6F234">
      <w:start w:val="1"/>
      <w:numFmt w:val="decimal"/>
      <w:lvlText w:val="%7."/>
      <w:lvlJc w:val="left"/>
      <w:pPr>
        <w:ind w:left="1020" w:hanging="360"/>
      </w:pPr>
    </w:lvl>
    <w:lvl w:ilvl="7" w:tplc="745C8D42">
      <w:start w:val="1"/>
      <w:numFmt w:val="decimal"/>
      <w:lvlText w:val="%8."/>
      <w:lvlJc w:val="left"/>
      <w:pPr>
        <w:ind w:left="1020" w:hanging="360"/>
      </w:pPr>
    </w:lvl>
    <w:lvl w:ilvl="8" w:tplc="B77CB7F4">
      <w:start w:val="1"/>
      <w:numFmt w:val="decimal"/>
      <w:lvlText w:val="%9."/>
      <w:lvlJc w:val="left"/>
      <w:pPr>
        <w:ind w:left="1020" w:hanging="360"/>
      </w:pPr>
    </w:lvl>
  </w:abstractNum>
  <w:abstractNum w:abstractNumId="3" w15:restartNumberingAfterBreak="0">
    <w:nsid w:val="0C41420E"/>
    <w:multiLevelType w:val="hybridMultilevel"/>
    <w:tmpl w:val="B2EC73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0DC85E16"/>
    <w:multiLevelType w:val="hybridMultilevel"/>
    <w:tmpl w:val="E12A8DF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842F02"/>
    <w:multiLevelType w:val="hybridMultilevel"/>
    <w:tmpl w:val="3488CF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5503B7"/>
    <w:multiLevelType w:val="hybridMultilevel"/>
    <w:tmpl w:val="4B766042"/>
    <w:lvl w:ilvl="0" w:tplc="FFFFFFFF">
      <w:start w:val="1"/>
      <w:numFmt w:val="decimal"/>
      <w:lvlText w:val="%1."/>
      <w:lvlJc w:val="left"/>
      <w:pPr>
        <w:ind w:left="1020" w:hanging="360"/>
      </w:pPr>
    </w:lvl>
    <w:lvl w:ilvl="1" w:tplc="FFFFFFFF">
      <w:start w:val="1"/>
      <w:numFmt w:val="decimal"/>
      <w:lvlText w:val="%2."/>
      <w:lvlJc w:val="left"/>
      <w:pPr>
        <w:ind w:left="1020" w:hanging="360"/>
      </w:pPr>
      <w:rPr>
        <w:rFonts w:ascii="Calibri" w:eastAsia="Calibri" w:hAnsi="Calibri" w:cs="Times New Roman"/>
      </w:rPr>
    </w:lvl>
    <w:lvl w:ilvl="2" w:tplc="FFFFFFFF">
      <w:start w:val="1"/>
      <w:numFmt w:val="decimal"/>
      <w:lvlText w:val="%3."/>
      <w:lvlJc w:val="left"/>
      <w:pPr>
        <w:ind w:left="1020" w:hanging="360"/>
      </w:pPr>
    </w:lvl>
    <w:lvl w:ilvl="3" w:tplc="FFFFFFFF">
      <w:start w:val="1"/>
      <w:numFmt w:val="decimal"/>
      <w:lvlText w:val="%4."/>
      <w:lvlJc w:val="left"/>
      <w:pPr>
        <w:ind w:left="1020" w:hanging="360"/>
      </w:pPr>
    </w:lvl>
    <w:lvl w:ilvl="4" w:tplc="FFFFFFFF">
      <w:start w:val="1"/>
      <w:numFmt w:val="decimal"/>
      <w:lvlText w:val="%5."/>
      <w:lvlJc w:val="left"/>
      <w:pPr>
        <w:ind w:left="1020" w:hanging="360"/>
      </w:pPr>
    </w:lvl>
    <w:lvl w:ilvl="5" w:tplc="FFFFFFFF">
      <w:start w:val="1"/>
      <w:numFmt w:val="decimal"/>
      <w:lvlText w:val="%6."/>
      <w:lvlJc w:val="left"/>
      <w:pPr>
        <w:ind w:left="1020" w:hanging="360"/>
      </w:pPr>
    </w:lvl>
    <w:lvl w:ilvl="6" w:tplc="FFFFFFFF">
      <w:start w:val="1"/>
      <w:numFmt w:val="decimal"/>
      <w:lvlText w:val="%7."/>
      <w:lvlJc w:val="left"/>
      <w:pPr>
        <w:ind w:left="1020" w:hanging="360"/>
      </w:pPr>
    </w:lvl>
    <w:lvl w:ilvl="7" w:tplc="FFFFFFFF">
      <w:start w:val="1"/>
      <w:numFmt w:val="decimal"/>
      <w:lvlText w:val="%8."/>
      <w:lvlJc w:val="left"/>
      <w:pPr>
        <w:ind w:left="1020" w:hanging="360"/>
      </w:pPr>
    </w:lvl>
    <w:lvl w:ilvl="8" w:tplc="FFFFFFFF">
      <w:start w:val="1"/>
      <w:numFmt w:val="decimal"/>
      <w:lvlText w:val="%9."/>
      <w:lvlJc w:val="left"/>
      <w:pPr>
        <w:ind w:left="1020" w:hanging="360"/>
      </w:pPr>
    </w:lvl>
  </w:abstractNum>
  <w:abstractNum w:abstractNumId="7" w15:restartNumberingAfterBreak="0">
    <w:nsid w:val="16090B61"/>
    <w:multiLevelType w:val="hybridMultilevel"/>
    <w:tmpl w:val="33128C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880860"/>
    <w:multiLevelType w:val="hybridMultilevel"/>
    <w:tmpl w:val="8BACAB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73B602F"/>
    <w:multiLevelType w:val="hybridMultilevel"/>
    <w:tmpl w:val="81D8C818"/>
    <w:lvl w:ilvl="0" w:tplc="CBF64954">
      <w:start w:val="1"/>
      <w:numFmt w:val="decimal"/>
      <w:lvlText w:val="%1."/>
      <w:lvlJc w:val="left"/>
      <w:pPr>
        <w:ind w:left="1020" w:hanging="360"/>
      </w:pPr>
    </w:lvl>
    <w:lvl w:ilvl="1" w:tplc="97F873C4">
      <w:start w:val="1"/>
      <w:numFmt w:val="decimal"/>
      <w:lvlText w:val="%2."/>
      <w:lvlJc w:val="left"/>
      <w:pPr>
        <w:ind w:left="1020" w:hanging="360"/>
      </w:pPr>
    </w:lvl>
    <w:lvl w:ilvl="2" w:tplc="C5F84208">
      <w:start w:val="1"/>
      <w:numFmt w:val="decimal"/>
      <w:lvlText w:val="%3."/>
      <w:lvlJc w:val="left"/>
      <w:pPr>
        <w:ind w:left="1020" w:hanging="360"/>
      </w:pPr>
    </w:lvl>
    <w:lvl w:ilvl="3" w:tplc="B6102316">
      <w:start w:val="1"/>
      <w:numFmt w:val="decimal"/>
      <w:lvlText w:val="%4."/>
      <w:lvlJc w:val="left"/>
      <w:pPr>
        <w:ind w:left="1020" w:hanging="360"/>
      </w:pPr>
    </w:lvl>
    <w:lvl w:ilvl="4" w:tplc="5150EA80">
      <w:start w:val="1"/>
      <w:numFmt w:val="decimal"/>
      <w:lvlText w:val="%5."/>
      <w:lvlJc w:val="left"/>
      <w:pPr>
        <w:ind w:left="1020" w:hanging="360"/>
      </w:pPr>
    </w:lvl>
    <w:lvl w:ilvl="5" w:tplc="C4F6C5A4">
      <w:start w:val="1"/>
      <w:numFmt w:val="decimal"/>
      <w:lvlText w:val="%6."/>
      <w:lvlJc w:val="left"/>
      <w:pPr>
        <w:ind w:left="1020" w:hanging="360"/>
      </w:pPr>
    </w:lvl>
    <w:lvl w:ilvl="6" w:tplc="9A400134">
      <w:start w:val="1"/>
      <w:numFmt w:val="decimal"/>
      <w:lvlText w:val="%7."/>
      <w:lvlJc w:val="left"/>
      <w:pPr>
        <w:ind w:left="1020" w:hanging="360"/>
      </w:pPr>
    </w:lvl>
    <w:lvl w:ilvl="7" w:tplc="9DDC84A0">
      <w:start w:val="1"/>
      <w:numFmt w:val="decimal"/>
      <w:lvlText w:val="%8."/>
      <w:lvlJc w:val="left"/>
      <w:pPr>
        <w:ind w:left="1020" w:hanging="360"/>
      </w:pPr>
    </w:lvl>
    <w:lvl w:ilvl="8" w:tplc="5C42D95C">
      <w:start w:val="1"/>
      <w:numFmt w:val="decimal"/>
      <w:lvlText w:val="%9."/>
      <w:lvlJc w:val="left"/>
      <w:pPr>
        <w:ind w:left="1020" w:hanging="360"/>
      </w:pPr>
    </w:lvl>
  </w:abstractNum>
  <w:abstractNum w:abstractNumId="10"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C74CD3"/>
    <w:multiLevelType w:val="hybridMultilevel"/>
    <w:tmpl w:val="E2E897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D87133"/>
    <w:multiLevelType w:val="hybridMultilevel"/>
    <w:tmpl w:val="060A024A"/>
    <w:lvl w:ilvl="0" w:tplc="0EF2BB70">
      <w:start w:val="1"/>
      <w:numFmt w:val="decimal"/>
      <w:lvlText w:val="%1."/>
      <w:lvlJc w:val="left"/>
      <w:pPr>
        <w:ind w:left="1020" w:hanging="360"/>
      </w:pPr>
    </w:lvl>
    <w:lvl w:ilvl="1" w:tplc="3F3C31AE">
      <w:start w:val="1"/>
      <w:numFmt w:val="decimal"/>
      <w:lvlText w:val="%2."/>
      <w:lvlJc w:val="left"/>
      <w:pPr>
        <w:ind w:left="1020" w:hanging="360"/>
      </w:pPr>
    </w:lvl>
    <w:lvl w:ilvl="2" w:tplc="495E0162">
      <w:start w:val="1"/>
      <w:numFmt w:val="decimal"/>
      <w:lvlText w:val="%3."/>
      <w:lvlJc w:val="left"/>
      <w:pPr>
        <w:ind w:left="1020" w:hanging="360"/>
      </w:pPr>
    </w:lvl>
    <w:lvl w:ilvl="3" w:tplc="4E42C60C">
      <w:start w:val="1"/>
      <w:numFmt w:val="decimal"/>
      <w:lvlText w:val="%4."/>
      <w:lvlJc w:val="left"/>
      <w:pPr>
        <w:ind w:left="1020" w:hanging="360"/>
      </w:pPr>
    </w:lvl>
    <w:lvl w:ilvl="4" w:tplc="717AED76">
      <w:start w:val="1"/>
      <w:numFmt w:val="decimal"/>
      <w:lvlText w:val="%5."/>
      <w:lvlJc w:val="left"/>
      <w:pPr>
        <w:ind w:left="1020" w:hanging="360"/>
      </w:pPr>
    </w:lvl>
    <w:lvl w:ilvl="5" w:tplc="54EA05EE">
      <w:start w:val="1"/>
      <w:numFmt w:val="decimal"/>
      <w:lvlText w:val="%6."/>
      <w:lvlJc w:val="left"/>
      <w:pPr>
        <w:ind w:left="1020" w:hanging="360"/>
      </w:pPr>
    </w:lvl>
    <w:lvl w:ilvl="6" w:tplc="D32A7BD6">
      <w:start w:val="1"/>
      <w:numFmt w:val="decimal"/>
      <w:lvlText w:val="%7."/>
      <w:lvlJc w:val="left"/>
      <w:pPr>
        <w:ind w:left="1020" w:hanging="360"/>
      </w:pPr>
    </w:lvl>
    <w:lvl w:ilvl="7" w:tplc="4B8C992E">
      <w:start w:val="1"/>
      <w:numFmt w:val="decimal"/>
      <w:lvlText w:val="%8."/>
      <w:lvlJc w:val="left"/>
      <w:pPr>
        <w:ind w:left="1020" w:hanging="360"/>
      </w:pPr>
    </w:lvl>
    <w:lvl w:ilvl="8" w:tplc="E514AE58">
      <w:start w:val="1"/>
      <w:numFmt w:val="decimal"/>
      <w:lvlText w:val="%9."/>
      <w:lvlJc w:val="left"/>
      <w:pPr>
        <w:ind w:left="1020" w:hanging="360"/>
      </w:pPr>
    </w:lvl>
  </w:abstractNum>
  <w:abstractNum w:abstractNumId="13" w15:restartNumberingAfterBreak="0">
    <w:nsid w:val="1E9F63F6"/>
    <w:multiLevelType w:val="hybridMultilevel"/>
    <w:tmpl w:val="A33805C6"/>
    <w:lvl w:ilvl="0" w:tplc="D138C80A">
      <w:start w:val="1"/>
      <w:numFmt w:val="decimal"/>
      <w:lvlText w:val="%1."/>
      <w:lvlJc w:val="left"/>
      <w:pPr>
        <w:ind w:left="1020" w:hanging="360"/>
      </w:pPr>
      <w:rPr>
        <w:rFonts w:ascii="Calibri" w:eastAsia="Calibri" w:hAnsi="Calibri" w:cs="Times New Roman"/>
      </w:rPr>
    </w:lvl>
    <w:lvl w:ilvl="1" w:tplc="8870D23C">
      <w:start w:val="1"/>
      <w:numFmt w:val="decimal"/>
      <w:lvlText w:val="%2."/>
      <w:lvlJc w:val="left"/>
      <w:pPr>
        <w:ind w:left="1020" w:hanging="360"/>
      </w:pPr>
      <w:rPr>
        <w:rFonts w:ascii="Calibri" w:eastAsia="Calibri" w:hAnsi="Calibri" w:cs="Times New Roman"/>
      </w:rPr>
    </w:lvl>
    <w:lvl w:ilvl="2" w:tplc="51BC00A2">
      <w:start w:val="1"/>
      <w:numFmt w:val="decimal"/>
      <w:lvlText w:val="%3."/>
      <w:lvlJc w:val="left"/>
      <w:pPr>
        <w:ind w:left="1020" w:hanging="360"/>
      </w:pPr>
    </w:lvl>
    <w:lvl w:ilvl="3" w:tplc="A2B4462E">
      <w:start w:val="1"/>
      <w:numFmt w:val="decimal"/>
      <w:lvlText w:val="%4."/>
      <w:lvlJc w:val="left"/>
      <w:pPr>
        <w:ind w:left="1020" w:hanging="360"/>
      </w:pPr>
    </w:lvl>
    <w:lvl w:ilvl="4" w:tplc="DE365106">
      <w:start w:val="1"/>
      <w:numFmt w:val="decimal"/>
      <w:lvlText w:val="%5."/>
      <w:lvlJc w:val="left"/>
      <w:pPr>
        <w:ind w:left="1020" w:hanging="360"/>
      </w:pPr>
    </w:lvl>
    <w:lvl w:ilvl="5" w:tplc="EBC8075E">
      <w:start w:val="1"/>
      <w:numFmt w:val="decimal"/>
      <w:lvlText w:val="%6."/>
      <w:lvlJc w:val="left"/>
      <w:pPr>
        <w:ind w:left="1020" w:hanging="360"/>
      </w:pPr>
    </w:lvl>
    <w:lvl w:ilvl="6" w:tplc="12F467E2">
      <w:start w:val="1"/>
      <w:numFmt w:val="decimal"/>
      <w:lvlText w:val="%7."/>
      <w:lvlJc w:val="left"/>
      <w:pPr>
        <w:ind w:left="1020" w:hanging="360"/>
      </w:pPr>
    </w:lvl>
    <w:lvl w:ilvl="7" w:tplc="CEAE7000">
      <w:start w:val="1"/>
      <w:numFmt w:val="decimal"/>
      <w:lvlText w:val="%8."/>
      <w:lvlJc w:val="left"/>
      <w:pPr>
        <w:ind w:left="1020" w:hanging="360"/>
      </w:pPr>
    </w:lvl>
    <w:lvl w:ilvl="8" w:tplc="329C1BD8">
      <w:start w:val="1"/>
      <w:numFmt w:val="decimal"/>
      <w:lvlText w:val="%9."/>
      <w:lvlJc w:val="left"/>
      <w:pPr>
        <w:ind w:left="1020" w:hanging="360"/>
      </w:pPr>
    </w:lvl>
  </w:abstractNum>
  <w:abstractNum w:abstractNumId="14" w15:restartNumberingAfterBreak="0">
    <w:nsid w:val="1EC4707D"/>
    <w:multiLevelType w:val="hybridMultilevel"/>
    <w:tmpl w:val="8E7C97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64633B"/>
    <w:multiLevelType w:val="hybridMultilevel"/>
    <w:tmpl w:val="195EA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F91C08"/>
    <w:multiLevelType w:val="hybridMultilevel"/>
    <w:tmpl w:val="3D148ED4"/>
    <w:lvl w:ilvl="0" w:tplc="F6E08D06">
      <w:start w:val="1"/>
      <w:numFmt w:val="decimal"/>
      <w:lvlText w:val="%1."/>
      <w:lvlJc w:val="left"/>
      <w:pPr>
        <w:ind w:left="720" w:hanging="360"/>
      </w:pPr>
    </w:lvl>
    <w:lvl w:ilvl="1" w:tplc="8A8EFB98">
      <w:start w:val="1"/>
      <w:numFmt w:val="decimal"/>
      <w:lvlText w:val="%2."/>
      <w:lvlJc w:val="left"/>
      <w:pPr>
        <w:ind w:left="720" w:hanging="360"/>
      </w:pPr>
    </w:lvl>
    <w:lvl w:ilvl="2" w:tplc="77C07E5A">
      <w:start w:val="1"/>
      <w:numFmt w:val="decimal"/>
      <w:lvlText w:val="%3."/>
      <w:lvlJc w:val="left"/>
      <w:pPr>
        <w:ind w:left="720" w:hanging="360"/>
      </w:pPr>
    </w:lvl>
    <w:lvl w:ilvl="3" w:tplc="DA36E838">
      <w:start w:val="1"/>
      <w:numFmt w:val="decimal"/>
      <w:lvlText w:val="%4."/>
      <w:lvlJc w:val="left"/>
      <w:pPr>
        <w:ind w:left="720" w:hanging="360"/>
      </w:pPr>
    </w:lvl>
    <w:lvl w:ilvl="4" w:tplc="64F8EEC4">
      <w:start w:val="1"/>
      <w:numFmt w:val="decimal"/>
      <w:lvlText w:val="%5."/>
      <w:lvlJc w:val="left"/>
      <w:pPr>
        <w:ind w:left="720" w:hanging="360"/>
      </w:pPr>
    </w:lvl>
    <w:lvl w:ilvl="5" w:tplc="856ABC62">
      <w:start w:val="1"/>
      <w:numFmt w:val="decimal"/>
      <w:lvlText w:val="%6."/>
      <w:lvlJc w:val="left"/>
      <w:pPr>
        <w:ind w:left="720" w:hanging="360"/>
      </w:pPr>
    </w:lvl>
    <w:lvl w:ilvl="6" w:tplc="83C0FA2A">
      <w:start w:val="1"/>
      <w:numFmt w:val="decimal"/>
      <w:lvlText w:val="%7."/>
      <w:lvlJc w:val="left"/>
      <w:pPr>
        <w:ind w:left="720" w:hanging="360"/>
      </w:pPr>
    </w:lvl>
    <w:lvl w:ilvl="7" w:tplc="A0E891C6">
      <w:start w:val="1"/>
      <w:numFmt w:val="decimal"/>
      <w:lvlText w:val="%8."/>
      <w:lvlJc w:val="left"/>
      <w:pPr>
        <w:ind w:left="720" w:hanging="360"/>
      </w:pPr>
    </w:lvl>
    <w:lvl w:ilvl="8" w:tplc="BAF4A2B8">
      <w:start w:val="1"/>
      <w:numFmt w:val="decimal"/>
      <w:lvlText w:val="%9."/>
      <w:lvlJc w:val="left"/>
      <w:pPr>
        <w:ind w:left="720" w:hanging="360"/>
      </w:pPr>
    </w:lvl>
  </w:abstractNum>
  <w:abstractNum w:abstractNumId="17" w15:restartNumberingAfterBreak="0">
    <w:nsid w:val="245A3EF5"/>
    <w:multiLevelType w:val="hybridMultilevel"/>
    <w:tmpl w:val="EBA25EA8"/>
    <w:lvl w:ilvl="0" w:tplc="EDF431BC">
      <w:start w:val="1"/>
      <w:numFmt w:val="decimal"/>
      <w:lvlText w:val="%1."/>
      <w:lvlJc w:val="left"/>
      <w:pPr>
        <w:ind w:left="720" w:hanging="360"/>
      </w:pPr>
    </w:lvl>
    <w:lvl w:ilvl="1" w:tplc="46523314">
      <w:start w:val="1"/>
      <w:numFmt w:val="decimal"/>
      <w:lvlText w:val="%2."/>
      <w:lvlJc w:val="left"/>
      <w:pPr>
        <w:ind w:left="720" w:hanging="360"/>
      </w:pPr>
    </w:lvl>
    <w:lvl w:ilvl="2" w:tplc="08060D98">
      <w:start w:val="1"/>
      <w:numFmt w:val="decimal"/>
      <w:lvlText w:val="%3."/>
      <w:lvlJc w:val="left"/>
      <w:pPr>
        <w:ind w:left="720" w:hanging="360"/>
      </w:pPr>
    </w:lvl>
    <w:lvl w:ilvl="3" w:tplc="E578D8E4">
      <w:start w:val="1"/>
      <w:numFmt w:val="decimal"/>
      <w:lvlText w:val="%4."/>
      <w:lvlJc w:val="left"/>
      <w:pPr>
        <w:ind w:left="720" w:hanging="360"/>
      </w:pPr>
    </w:lvl>
    <w:lvl w:ilvl="4" w:tplc="2B301DEC">
      <w:start w:val="1"/>
      <w:numFmt w:val="decimal"/>
      <w:lvlText w:val="%5."/>
      <w:lvlJc w:val="left"/>
      <w:pPr>
        <w:ind w:left="720" w:hanging="360"/>
      </w:pPr>
    </w:lvl>
    <w:lvl w:ilvl="5" w:tplc="6FDE34A0">
      <w:start w:val="1"/>
      <w:numFmt w:val="decimal"/>
      <w:lvlText w:val="%6."/>
      <w:lvlJc w:val="left"/>
      <w:pPr>
        <w:ind w:left="720" w:hanging="360"/>
      </w:pPr>
    </w:lvl>
    <w:lvl w:ilvl="6" w:tplc="3E106FCE">
      <w:start w:val="1"/>
      <w:numFmt w:val="decimal"/>
      <w:lvlText w:val="%7."/>
      <w:lvlJc w:val="left"/>
      <w:pPr>
        <w:ind w:left="720" w:hanging="360"/>
      </w:pPr>
    </w:lvl>
    <w:lvl w:ilvl="7" w:tplc="B7003086">
      <w:start w:val="1"/>
      <w:numFmt w:val="decimal"/>
      <w:lvlText w:val="%8."/>
      <w:lvlJc w:val="left"/>
      <w:pPr>
        <w:ind w:left="720" w:hanging="360"/>
      </w:pPr>
    </w:lvl>
    <w:lvl w:ilvl="8" w:tplc="D1B45EBE">
      <w:start w:val="1"/>
      <w:numFmt w:val="decimal"/>
      <w:lvlText w:val="%9."/>
      <w:lvlJc w:val="left"/>
      <w:pPr>
        <w:ind w:left="720" w:hanging="360"/>
      </w:pPr>
    </w:lvl>
  </w:abstractNum>
  <w:abstractNum w:abstractNumId="18" w15:restartNumberingAfterBreak="0">
    <w:nsid w:val="295306DA"/>
    <w:multiLevelType w:val="hybridMultilevel"/>
    <w:tmpl w:val="102A8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6549A4"/>
    <w:multiLevelType w:val="hybridMultilevel"/>
    <w:tmpl w:val="BDC27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4D258F"/>
    <w:multiLevelType w:val="hybridMultilevel"/>
    <w:tmpl w:val="D3005D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82130E"/>
    <w:multiLevelType w:val="hybridMultilevel"/>
    <w:tmpl w:val="56C2A4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B17980"/>
    <w:multiLevelType w:val="hybridMultilevel"/>
    <w:tmpl w:val="F942E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71768F"/>
    <w:multiLevelType w:val="hybridMultilevel"/>
    <w:tmpl w:val="F044EC0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9DF5F45"/>
    <w:multiLevelType w:val="hybridMultilevel"/>
    <w:tmpl w:val="1C681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FB57A3"/>
    <w:multiLevelType w:val="hybridMultilevel"/>
    <w:tmpl w:val="86DE9506"/>
    <w:lvl w:ilvl="0" w:tplc="FFFFFFFF">
      <w:start w:val="1"/>
      <w:numFmt w:val="decimal"/>
      <w:lvlText w:val="%1."/>
      <w:lvlJc w:val="left"/>
      <w:pPr>
        <w:ind w:left="1020" w:hanging="360"/>
      </w:pPr>
      <w:rPr>
        <w:rFonts w:ascii="Calibri" w:eastAsia="Calibri" w:hAnsi="Calibri" w:cs="Times New Roman"/>
      </w:rPr>
    </w:lvl>
    <w:lvl w:ilvl="1" w:tplc="FFFFFFFF">
      <w:start w:val="1"/>
      <w:numFmt w:val="decimal"/>
      <w:lvlText w:val="%2."/>
      <w:lvlJc w:val="left"/>
      <w:pPr>
        <w:ind w:left="1020" w:hanging="360"/>
      </w:pPr>
      <w:rPr>
        <w:rFonts w:ascii="Calibri" w:eastAsia="Calibri" w:hAnsi="Calibri" w:cs="Times New Roman"/>
      </w:rPr>
    </w:lvl>
    <w:lvl w:ilvl="2" w:tplc="FFFFFFFF">
      <w:start w:val="1"/>
      <w:numFmt w:val="decimal"/>
      <w:lvlText w:val="%3."/>
      <w:lvlJc w:val="left"/>
      <w:pPr>
        <w:ind w:left="1020" w:hanging="360"/>
      </w:pPr>
    </w:lvl>
    <w:lvl w:ilvl="3" w:tplc="FFFFFFFF">
      <w:start w:val="1"/>
      <w:numFmt w:val="decimal"/>
      <w:lvlText w:val="%4."/>
      <w:lvlJc w:val="left"/>
      <w:pPr>
        <w:ind w:left="1020" w:hanging="360"/>
      </w:pPr>
    </w:lvl>
    <w:lvl w:ilvl="4" w:tplc="FFFFFFFF">
      <w:start w:val="1"/>
      <w:numFmt w:val="decimal"/>
      <w:lvlText w:val="%5."/>
      <w:lvlJc w:val="left"/>
      <w:pPr>
        <w:ind w:left="1020" w:hanging="360"/>
      </w:pPr>
    </w:lvl>
    <w:lvl w:ilvl="5" w:tplc="FFFFFFFF">
      <w:start w:val="1"/>
      <w:numFmt w:val="decimal"/>
      <w:lvlText w:val="%6."/>
      <w:lvlJc w:val="left"/>
      <w:pPr>
        <w:ind w:left="1020" w:hanging="360"/>
      </w:pPr>
    </w:lvl>
    <w:lvl w:ilvl="6" w:tplc="FFFFFFFF">
      <w:start w:val="1"/>
      <w:numFmt w:val="decimal"/>
      <w:lvlText w:val="%7."/>
      <w:lvlJc w:val="left"/>
      <w:pPr>
        <w:ind w:left="1020" w:hanging="360"/>
      </w:pPr>
    </w:lvl>
    <w:lvl w:ilvl="7" w:tplc="FFFFFFFF">
      <w:start w:val="1"/>
      <w:numFmt w:val="decimal"/>
      <w:lvlText w:val="%8."/>
      <w:lvlJc w:val="left"/>
      <w:pPr>
        <w:ind w:left="1020" w:hanging="360"/>
      </w:pPr>
    </w:lvl>
    <w:lvl w:ilvl="8" w:tplc="FFFFFFFF">
      <w:start w:val="1"/>
      <w:numFmt w:val="decimal"/>
      <w:lvlText w:val="%9."/>
      <w:lvlJc w:val="left"/>
      <w:pPr>
        <w:ind w:left="1020" w:hanging="360"/>
      </w:pPr>
    </w:lvl>
  </w:abstractNum>
  <w:abstractNum w:abstractNumId="26" w15:restartNumberingAfterBreak="0">
    <w:nsid w:val="3F0564AD"/>
    <w:multiLevelType w:val="hybridMultilevel"/>
    <w:tmpl w:val="071E582A"/>
    <w:lvl w:ilvl="0" w:tplc="BF7470CE">
      <w:start w:val="1"/>
      <w:numFmt w:val="decimal"/>
      <w:lvlText w:val="%1."/>
      <w:lvlJc w:val="left"/>
      <w:pPr>
        <w:ind w:left="1020" w:hanging="360"/>
      </w:pPr>
    </w:lvl>
    <w:lvl w:ilvl="1" w:tplc="0ED457EE">
      <w:start w:val="1"/>
      <w:numFmt w:val="decimal"/>
      <w:lvlText w:val="%2."/>
      <w:lvlJc w:val="left"/>
      <w:pPr>
        <w:ind w:left="1020" w:hanging="360"/>
      </w:pPr>
    </w:lvl>
    <w:lvl w:ilvl="2" w:tplc="C2FE1392">
      <w:start w:val="1"/>
      <w:numFmt w:val="decimal"/>
      <w:lvlText w:val="%3."/>
      <w:lvlJc w:val="left"/>
      <w:pPr>
        <w:ind w:left="1020" w:hanging="360"/>
      </w:pPr>
    </w:lvl>
    <w:lvl w:ilvl="3" w:tplc="05224C0E">
      <w:start w:val="1"/>
      <w:numFmt w:val="decimal"/>
      <w:lvlText w:val="%4."/>
      <w:lvlJc w:val="left"/>
      <w:pPr>
        <w:ind w:left="1020" w:hanging="360"/>
      </w:pPr>
    </w:lvl>
    <w:lvl w:ilvl="4" w:tplc="22520CEE">
      <w:start w:val="1"/>
      <w:numFmt w:val="decimal"/>
      <w:lvlText w:val="%5."/>
      <w:lvlJc w:val="left"/>
      <w:pPr>
        <w:ind w:left="1020" w:hanging="360"/>
      </w:pPr>
    </w:lvl>
    <w:lvl w:ilvl="5" w:tplc="7C483C5C">
      <w:start w:val="1"/>
      <w:numFmt w:val="decimal"/>
      <w:lvlText w:val="%6."/>
      <w:lvlJc w:val="left"/>
      <w:pPr>
        <w:ind w:left="1020" w:hanging="360"/>
      </w:pPr>
    </w:lvl>
    <w:lvl w:ilvl="6" w:tplc="09E4C334">
      <w:start w:val="1"/>
      <w:numFmt w:val="decimal"/>
      <w:lvlText w:val="%7."/>
      <w:lvlJc w:val="left"/>
      <w:pPr>
        <w:ind w:left="1020" w:hanging="360"/>
      </w:pPr>
    </w:lvl>
    <w:lvl w:ilvl="7" w:tplc="517C5AB2">
      <w:start w:val="1"/>
      <w:numFmt w:val="decimal"/>
      <w:lvlText w:val="%8."/>
      <w:lvlJc w:val="left"/>
      <w:pPr>
        <w:ind w:left="1020" w:hanging="360"/>
      </w:pPr>
    </w:lvl>
    <w:lvl w:ilvl="8" w:tplc="D876C594">
      <w:start w:val="1"/>
      <w:numFmt w:val="decimal"/>
      <w:lvlText w:val="%9."/>
      <w:lvlJc w:val="left"/>
      <w:pPr>
        <w:ind w:left="1020" w:hanging="360"/>
      </w:pPr>
    </w:lvl>
  </w:abstractNum>
  <w:abstractNum w:abstractNumId="27" w15:restartNumberingAfterBreak="0">
    <w:nsid w:val="3FF42500"/>
    <w:multiLevelType w:val="hybridMultilevel"/>
    <w:tmpl w:val="345AAF32"/>
    <w:lvl w:ilvl="0" w:tplc="9334AAD2">
      <w:start w:val="1"/>
      <w:numFmt w:val="decimal"/>
      <w:lvlText w:val="%1."/>
      <w:lvlJc w:val="left"/>
      <w:pPr>
        <w:ind w:left="720" w:hanging="360"/>
      </w:pPr>
    </w:lvl>
    <w:lvl w:ilvl="1" w:tplc="D4E2735C">
      <w:start w:val="1"/>
      <w:numFmt w:val="decimal"/>
      <w:lvlText w:val="%2."/>
      <w:lvlJc w:val="left"/>
      <w:pPr>
        <w:ind w:left="720" w:hanging="360"/>
      </w:pPr>
    </w:lvl>
    <w:lvl w:ilvl="2" w:tplc="FCF26402">
      <w:start w:val="1"/>
      <w:numFmt w:val="decimal"/>
      <w:lvlText w:val="%3."/>
      <w:lvlJc w:val="left"/>
      <w:pPr>
        <w:ind w:left="720" w:hanging="360"/>
      </w:pPr>
    </w:lvl>
    <w:lvl w:ilvl="3" w:tplc="04187450">
      <w:start w:val="1"/>
      <w:numFmt w:val="decimal"/>
      <w:lvlText w:val="%4."/>
      <w:lvlJc w:val="left"/>
      <w:pPr>
        <w:ind w:left="720" w:hanging="360"/>
      </w:pPr>
    </w:lvl>
    <w:lvl w:ilvl="4" w:tplc="AA366AF4">
      <w:start w:val="1"/>
      <w:numFmt w:val="decimal"/>
      <w:lvlText w:val="%5."/>
      <w:lvlJc w:val="left"/>
      <w:pPr>
        <w:ind w:left="720" w:hanging="360"/>
      </w:pPr>
    </w:lvl>
    <w:lvl w:ilvl="5" w:tplc="9AD46752">
      <w:start w:val="1"/>
      <w:numFmt w:val="decimal"/>
      <w:lvlText w:val="%6."/>
      <w:lvlJc w:val="left"/>
      <w:pPr>
        <w:ind w:left="720" w:hanging="360"/>
      </w:pPr>
    </w:lvl>
    <w:lvl w:ilvl="6" w:tplc="0DE0AB36">
      <w:start w:val="1"/>
      <w:numFmt w:val="decimal"/>
      <w:lvlText w:val="%7."/>
      <w:lvlJc w:val="left"/>
      <w:pPr>
        <w:ind w:left="720" w:hanging="360"/>
      </w:pPr>
    </w:lvl>
    <w:lvl w:ilvl="7" w:tplc="BAEC7EC4">
      <w:start w:val="1"/>
      <w:numFmt w:val="decimal"/>
      <w:lvlText w:val="%8."/>
      <w:lvlJc w:val="left"/>
      <w:pPr>
        <w:ind w:left="720" w:hanging="360"/>
      </w:pPr>
    </w:lvl>
    <w:lvl w:ilvl="8" w:tplc="8384DE34">
      <w:start w:val="1"/>
      <w:numFmt w:val="decimal"/>
      <w:lvlText w:val="%9."/>
      <w:lvlJc w:val="left"/>
      <w:pPr>
        <w:ind w:left="720" w:hanging="360"/>
      </w:pPr>
    </w:lvl>
  </w:abstractNum>
  <w:abstractNum w:abstractNumId="28" w15:restartNumberingAfterBreak="0">
    <w:nsid w:val="405F4939"/>
    <w:multiLevelType w:val="hybridMultilevel"/>
    <w:tmpl w:val="EB6AE8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7095746"/>
    <w:multiLevelType w:val="hybridMultilevel"/>
    <w:tmpl w:val="0AEE8E02"/>
    <w:lvl w:ilvl="0" w:tplc="55CCDBB2">
      <w:start w:val="1"/>
      <w:numFmt w:val="bullet"/>
      <w:lvlText w:val=""/>
      <w:lvlJc w:val="left"/>
      <w:pPr>
        <w:ind w:left="720" w:hanging="360"/>
      </w:pPr>
      <w:rPr>
        <w:rFonts w:ascii="Symbol" w:hAnsi="Symbol" w:cs="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479554D8"/>
    <w:multiLevelType w:val="hybridMultilevel"/>
    <w:tmpl w:val="43B2835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1" w15:restartNumberingAfterBreak="0">
    <w:nsid w:val="497F4FAC"/>
    <w:multiLevelType w:val="hybridMultilevel"/>
    <w:tmpl w:val="7ACC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9D81A12"/>
    <w:multiLevelType w:val="hybridMultilevel"/>
    <w:tmpl w:val="A8647CD8"/>
    <w:lvl w:ilvl="0" w:tplc="FFF60F22">
      <w:start w:val="1"/>
      <w:numFmt w:val="decimal"/>
      <w:lvlText w:val="%1."/>
      <w:lvlJc w:val="left"/>
      <w:pPr>
        <w:ind w:left="720" w:hanging="360"/>
      </w:pPr>
    </w:lvl>
    <w:lvl w:ilvl="1" w:tplc="F8568C16">
      <w:start w:val="1"/>
      <w:numFmt w:val="decimal"/>
      <w:lvlText w:val="%2."/>
      <w:lvlJc w:val="left"/>
      <w:pPr>
        <w:ind w:left="720" w:hanging="360"/>
      </w:pPr>
    </w:lvl>
    <w:lvl w:ilvl="2" w:tplc="CDAA8C0C">
      <w:start w:val="1"/>
      <w:numFmt w:val="decimal"/>
      <w:lvlText w:val="%3."/>
      <w:lvlJc w:val="left"/>
      <w:pPr>
        <w:ind w:left="720" w:hanging="360"/>
      </w:pPr>
    </w:lvl>
    <w:lvl w:ilvl="3" w:tplc="26C259B2">
      <w:start w:val="1"/>
      <w:numFmt w:val="decimal"/>
      <w:lvlText w:val="%4."/>
      <w:lvlJc w:val="left"/>
      <w:pPr>
        <w:ind w:left="720" w:hanging="360"/>
      </w:pPr>
    </w:lvl>
    <w:lvl w:ilvl="4" w:tplc="83E43170">
      <w:start w:val="1"/>
      <w:numFmt w:val="decimal"/>
      <w:lvlText w:val="%5."/>
      <w:lvlJc w:val="left"/>
      <w:pPr>
        <w:ind w:left="720" w:hanging="360"/>
      </w:pPr>
    </w:lvl>
    <w:lvl w:ilvl="5" w:tplc="DCB83F72">
      <w:start w:val="1"/>
      <w:numFmt w:val="decimal"/>
      <w:lvlText w:val="%6."/>
      <w:lvlJc w:val="left"/>
      <w:pPr>
        <w:ind w:left="720" w:hanging="360"/>
      </w:pPr>
    </w:lvl>
    <w:lvl w:ilvl="6" w:tplc="7C68148A">
      <w:start w:val="1"/>
      <w:numFmt w:val="decimal"/>
      <w:lvlText w:val="%7."/>
      <w:lvlJc w:val="left"/>
      <w:pPr>
        <w:ind w:left="720" w:hanging="360"/>
      </w:pPr>
    </w:lvl>
    <w:lvl w:ilvl="7" w:tplc="54583FD4">
      <w:start w:val="1"/>
      <w:numFmt w:val="decimal"/>
      <w:lvlText w:val="%8."/>
      <w:lvlJc w:val="left"/>
      <w:pPr>
        <w:ind w:left="720" w:hanging="360"/>
      </w:pPr>
    </w:lvl>
    <w:lvl w:ilvl="8" w:tplc="2814E95A">
      <w:start w:val="1"/>
      <w:numFmt w:val="decimal"/>
      <w:lvlText w:val="%9."/>
      <w:lvlJc w:val="left"/>
      <w:pPr>
        <w:ind w:left="720" w:hanging="360"/>
      </w:pPr>
    </w:lvl>
  </w:abstractNum>
  <w:abstractNum w:abstractNumId="33" w15:restartNumberingAfterBreak="0">
    <w:nsid w:val="4CCF7199"/>
    <w:multiLevelType w:val="hybridMultilevel"/>
    <w:tmpl w:val="AB0EB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E217AC0"/>
    <w:multiLevelType w:val="hybridMultilevel"/>
    <w:tmpl w:val="C630D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ECC37EE"/>
    <w:multiLevelType w:val="hybridMultilevel"/>
    <w:tmpl w:val="CB32DB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4FF0110"/>
    <w:multiLevelType w:val="hybridMultilevel"/>
    <w:tmpl w:val="DBA873F8"/>
    <w:lvl w:ilvl="0" w:tplc="03DA1D4E">
      <w:start w:val="1"/>
      <w:numFmt w:val="bullet"/>
      <w:pStyle w:val="Instructionaltex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cs="Wingdings" w:hint="default"/>
      </w:rPr>
    </w:lvl>
    <w:lvl w:ilvl="3" w:tplc="0C090001" w:tentative="1">
      <w:start w:val="1"/>
      <w:numFmt w:val="bullet"/>
      <w:lvlText w:val=""/>
      <w:lvlJc w:val="left"/>
      <w:pPr>
        <w:ind w:left="3237" w:hanging="360"/>
      </w:pPr>
      <w:rPr>
        <w:rFonts w:ascii="Symbol" w:hAnsi="Symbol" w:cs="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cs="Wingdings" w:hint="default"/>
      </w:rPr>
    </w:lvl>
    <w:lvl w:ilvl="6" w:tplc="0C090001" w:tentative="1">
      <w:start w:val="1"/>
      <w:numFmt w:val="bullet"/>
      <w:lvlText w:val=""/>
      <w:lvlJc w:val="left"/>
      <w:pPr>
        <w:ind w:left="5397" w:hanging="360"/>
      </w:pPr>
      <w:rPr>
        <w:rFonts w:ascii="Symbol" w:hAnsi="Symbol" w:cs="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cs="Wingdings" w:hint="default"/>
      </w:rPr>
    </w:lvl>
  </w:abstractNum>
  <w:abstractNum w:abstractNumId="37" w15:restartNumberingAfterBreak="0">
    <w:nsid w:val="57965360"/>
    <w:multiLevelType w:val="hybridMultilevel"/>
    <w:tmpl w:val="C2107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7E372E6"/>
    <w:multiLevelType w:val="hybridMultilevel"/>
    <w:tmpl w:val="46C66D3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580D2CE2"/>
    <w:multiLevelType w:val="hybridMultilevel"/>
    <w:tmpl w:val="313E7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9BF321F"/>
    <w:multiLevelType w:val="hybridMultilevel"/>
    <w:tmpl w:val="110EB6F2"/>
    <w:lvl w:ilvl="0" w:tplc="08945EA8">
      <w:start w:val="1"/>
      <w:numFmt w:val="decimal"/>
      <w:lvlText w:val="%1."/>
      <w:lvlJc w:val="left"/>
      <w:pPr>
        <w:ind w:left="1020" w:hanging="360"/>
      </w:pPr>
    </w:lvl>
    <w:lvl w:ilvl="1" w:tplc="B34CDBD2">
      <w:start w:val="1"/>
      <w:numFmt w:val="decimal"/>
      <w:lvlText w:val="%2."/>
      <w:lvlJc w:val="left"/>
      <w:pPr>
        <w:ind w:left="1020" w:hanging="360"/>
      </w:pPr>
    </w:lvl>
    <w:lvl w:ilvl="2" w:tplc="A3E89532">
      <w:start w:val="1"/>
      <w:numFmt w:val="decimal"/>
      <w:lvlText w:val="%3."/>
      <w:lvlJc w:val="left"/>
      <w:pPr>
        <w:ind w:left="1020" w:hanging="360"/>
      </w:pPr>
    </w:lvl>
    <w:lvl w:ilvl="3" w:tplc="1708DC56">
      <w:start w:val="1"/>
      <w:numFmt w:val="decimal"/>
      <w:lvlText w:val="%4."/>
      <w:lvlJc w:val="left"/>
      <w:pPr>
        <w:ind w:left="1020" w:hanging="360"/>
      </w:pPr>
    </w:lvl>
    <w:lvl w:ilvl="4" w:tplc="8C82DFA0">
      <w:start w:val="1"/>
      <w:numFmt w:val="decimal"/>
      <w:lvlText w:val="%5."/>
      <w:lvlJc w:val="left"/>
      <w:pPr>
        <w:ind w:left="1020" w:hanging="360"/>
      </w:pPr>
    </w:lvl>
    <w:lvl w:ilvl="5" w:tplc="8EA259AE">
      <w:start w:val="1"/>
      <w:numFmt w:val="decimal"/>
      <w:lvlText w:val="%6."/>
      <w:lvlJc w:val="left"/>
      <w:pPr>
        <w:ind w:left="1020" w:hanging="360"/>
      </w:pPr>
    </w:lvl>
    <w:lvl w:ilvl="6" w:tplc="C4D6BA06">
      <w:start w:val="1"/>
      <w:numFmt w:val="decimal"/>
      <w:lvlText w:val="%7."/>
      <w:lvlJc w:val="left"/>
      <w:pPr>
        <w:ind w:left="1020" w:hanging="360"/>
      </w:pPr>
    </w:lvl>
    <w:lvl w:ilvl="7" w:tplc="1DFEDB1E">
      <w:start w:val="1"/>
      <w:numFmt w:val="decimal"/>
      <w:lvlText w:val="%8."/>
      <w:lvlJc w:val="left"/>
      <w:pPr>
        <w:ind w:left="1020" w:hanging="360"/>
      </w:pPr>
    </w:lvl>
    <w:lvl w:ilvl="8" w:tplc="A154B098">
      <w:start w:val="1"/>
      <w:numFmt w:val="decimal"/>
      <w:lvlText w:val="%9."/>
      <w:lvlJc w:val="left"/>
      <w:pPr>
        <w:ind w:left="1020" w:hanging="360"/>
      </w:pPr>
    </w:lvl>
  </w:abstractNum>
  <w:abstractNum w:abstractNumId="41" w15:restartNumberingAfterBreak="0">
    <w:nsid w:val="5A2A4266"/>
    <w:multiLevelType w:val="hybridMultilevel"/>
    <w:tmpl w:val="1A2448A8"/>
    <w:lvl w:ilvl="0" w:tplc="BBB4762A">
      <w:start w:val="1"/>
      <w:numFmt w:val="decimal"/>
      <w:lvlText w:val="%1."/>
      <w:lvlJc w:val="left"/>
      <w:pPr>
        <w:ind w:left="1020" w:hanging="360"/>
      </w:pPr>
    </w:lvl>
    <w:lvl w:ilvl="1" w:tplc="A2B0D7E4">
      <w:start w:val="1"/>
      <w:numFmt w:val="decimal"/>
      <w:lvlText w:val="%2."/>
      <w:lvlJc w:val="left"/>
      <w:pPr>
        <w:ind w:left="1020" w:hanging="360"/>
      </w:pPr>
    </w:lvl>
    <w:lvl w:ilvl="2" w:tplc="D41240FA">
      <w:start w:val="1"/>
      <w:numFmt w:val="decimal"/>
      <w:lvlText w:val="%3."/>
      <w:lvlJc w:val="left"/>
      <w:pPr>
        <w:ind w:left="1020" w:hanging="360"/>
      </w:pPr>
    </w:lvl>
    <w:lvl w:ilvl="3" w:tplc="02EC8740">
      <w:start w:val="1"/>
      <w:numFmt w:val="decimal"/>
      <w:lvlText w:val="%4."/>
      <w:lvlJc w:val="left"/>
      <w:pPr>
        <w:ind w:left="1020" w:hanging="360"/>
      </w:pPr>
    </w:lvl>
    <w:lvl w:ilvl="4" w:tplc="3B94FC5E">
      <w:start w:val="1"/>
      <w:numFmt w:val="decimal"/>
      <w:lvlText w:val="%5."/>
      <w:lvlJc w:val="left"/>
      <w:pPr>
        <w:ind w:left="1020" w:hanging="360"/>
      </w:pPr>
    </w:lvl>
    <w:lvl w:ilvl="5" w:tplc="705608FA">
      <w:start w:val="1"/>
      <w:numFmt w:val="decimal"/>
      <w:lvlText w:val="%6."/>
      <w:lvlJc w:val="left"/>
      <w:pPr>
        <w:ind w:left="1020" w:hanging="360"/>
      </w:pPr>
    </w:lvl>
    <w:lvl w:ilvl="6" w:tplc="B9CEADC2">
      <w:start w:val="1"/>
      <w:numFmt w:val="decimal"/>
      <w:lvlText w:val="%7."/>
      <w:lvlJc w:val="left"/>
      <w:pPr>
        <w:ind w:left="1020" w:hanging="360"/>
      </w:pPr>
    </w:lvl>
    <w:lvl w:ilvl="7" w:tplc="86B8B3F6">
      <w:start w:val="1"/>
      <w:numFmt w:val="decimal"/>
      <w:lvlText w:val="%8."/>
      <w:lvlJc w:val="left"/>
      <w:pPr>
        <w:ind w:left="1020" w:hanging="360"/>
      </w:pPr>
    </w:lvl>
    <w:lvl w:ilvl="8" w:tplc="97808E5E">
      <w:start w:val="1"/>
      <w:numFmt w:val="decimal"/>
      <w:lvlText w:val="%9."/>
      <w:lvlJc w:val="left"/>
      <w:pPr>
        <w:ind w:left="1020" w:hanging="360"/>
      </w:pPr>
    </w:lvl>
  </w:abstractNum>
  <w:abstractNum w:abstractNumId="42" w15:restartNumberingAfterBreak="0">
    <w:nsid w:val="5CD77131"/>
    <w:multiLevelType w:val="hybridMultilevel"/>
    <w:tmpl w:val="81ECA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F080998"/>
    <w:multiLevelType w:val="hybridMultilevel"/>
    <w:tmpl w:val="07E07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F4369C2"/>
    <w:multiLevelType w:val="hybridMultilevel"/>
    <w:tmpl w:val="0D5A9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0C95369"/>
    <w:multiLevelType w:val="hybridMultilevel"/>
    <w:tmpl w:val="5540EFD4"/>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63492A08"/>
    <w:multiLevelType w:val="hybridMultilevel"/>
    <w:tmpl w:val="782A4926"/>
    <w:lvl w:ilvl="0" w:tplc="856E47F0">
      <w:start w:val="1"/>
      <w:numFmt w:val="decimal"/>
      <w:lvlText w:val="%1."/>
      <w:lvlJc w:val="left"/>
      <w:pPr>
        <w:ind w:left="1020" w:hanging="360"/>
      </w:pPr>
    </w:lvl>
    <w:lvl w:ilvl="1" w:tplc="21A6515E">
      <w:start w:val="1"/>
      <w:numFmt w:val="decimal"/>
      <w:lvlText w:val="%2."/>
      <w:lvlJc w:val="left"/>
      <w:pPr>
        <w:ind w:left="1020" w:hanging="360"/>
      </w:pPr>
    </w:lvl>
    <w:lvl w:ilvl="2" w:tplc="0032D2CC">
      <w:start w:val="1"/>
      <w:numFmt w:val="decimal"/>
      <w:lvlText w:val="%3."/>
      <w:lvlJc w:val="left"/>
      <w:pPr>
        <w:ind w:left="1020" w:hanging="360"/>
      </w:pPr>
    </w:lvl>
    <w:lvl w:ilvl="3" w:tplc="61CE8278">
      <w:start w:val="1"/>
      <w:numFmt w:val="decimal"/>
      <w:lvlText w:val="%4."/>
      <w:lvlJc w:val="left"/>
      <w:pPr>
        <w:ind w:left="1020" w:hanging="360"/>
      </w:pPr>
    </w:lvl>
    <w:lvl w:ilvl="4" w:tplc="A5ECF1C4">
      <w:start w:val="1"/>
      <w:numFmt w:val="decimal"/>
      <w:lvlText w:val="%5."/>
      <w:lvlJc w:val="left"/>
      <w:pPr>
        <w:ind w:left="1020" w:hanging="360"/>
      </w:pPr>
    </w:lvl>
    <w:lvl w:ilvl="5" w:tplc="B77482DA">
      <w:start w:val="1"/>
      <w:numFmt w:val="decimal"/>
      <w:lvlText w:val="%6."/>
      <w:lvlJc w:val="left"/>
      <w:pPr>
        <w:ind w:left="1020" w:hanging="360"/>
      </w:pPr>
    </w:lvl>
    <w:lvl w:ilvl="6" w:tplc="8E68AB16">
      <w:start w:val="1"/>
      <w:numFmt w:val="decimal"/>
      <w:lvlText w:val="%7."/>
      <w:lvlJc w:val="left"/>
      <w:pPr>
        <w:ind w:left="1020" w:hanging="360"/>
      </w:pPr>
    </w:lvl>
    <w:lvl w:ilvl="7" w:tplc="02FE06DA">
      <w:start w:val="1"/>
      <w:numFmt w:val="decimal"/>
      <w:lvlText w:val="%8."/>
      <w:lvlJc w:val="left"/>
      <w:pPr>
        <w:ind w:left="1020" w:hanging="360"/>
      </w:pPr>
    </w:lvl>
    <w:lvl w:ilvl="8" w:tplc="53F0B1C4">
      <w:start w:val="1"/>
      <w:numFmt w:val="decimal"/>
      <w:lvlText w:val="%9."/>
      <w:lvlJc w:val="left"/>
      <w:pPr>
        <w:ind w:left="1020" w:hanging="360"/>
      </w:pPr>
    </w:lvl>
  </w:abstractNum>
  <w:abstractNum w:abstractNumId="47" w15:restartNumberingAfterBreak="0">
    <w:nsid w:val="6EF5704F"/>
    <w:multiLevelType w:val="hybridMultilevel"/>
    <w:tmpl w:val="0BF29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58A7E7A"/>
    <w:multiLevelType w:val="hybridMultilevel"/>
    <w:tmpl w:val="B8C61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6C533D5"/>
    <w:multiLevelType w:val="hybridMultilevel"/>
    <w:tmpl w:val="62B2C0E6"/>
    <w:lvl w:ilvl="0" w:tplc="E4CE4156">
      <w:start w:val="1"/>
      <w:numFmt w:val="decimal"/>
      <w:lvlText w:val="%1)"/>
      <w:lvlJc w:val="left"/>
      <w:pPr>
        <w:ind w:left="1020" w:hanging="360"/>
      </w:pPr>
    </w:lvl>
    <w:lvl w:ilvl="1" w:tplc="13EA40FA">
      <w:start w:val="1"/>
      <w:numFmt w:val="decimal"/>
      <w:lvlText w:val="%2)"/>
      <w:lvlJc w:val="left"/>
      <w:pPr>
        <w:ind w:left="1020" w:hanging="360"/>
      </w:pPr>
    </w:lvl>
    <w:lvl w:ilvl="2" w:tplc="0EDEC61A">
      <w:start w:val="1"/>
      <w:numFmt w:val="decimal"/>
      <w:lvlText w:val="%3)"/>
      <w:lvlJc w:val="left"/>
      <w:pPr>
        <w:ind w:left="1020" w:hanging="360"/>
      </w:pPr>
    </w:lvl>
    <w:lvl w:ilvl="3" w:tplc="669A83F6">
      <w:start w:val="1"/>
      <w:numFmt w:val="decimal"/>
      <w:lvlText w:val="%4)"/>
      <w:lvlJc w:val="left"/>
      <w:pPr>
        <w:ind w:left="1020" w:hanging="360"/>
      </w:pPr>
    </w:lvl>
    <w:lvl w:ilvl="4" w:tplc="0DCC8F4E">
      <w:start w:val="1"/>
      <w:numFmt w:val="decimal"/>
      <w:lvlText w:val="%5)"/>
      <w:lvlJc w:val="left"/>
      <w:pPr>
        <w:ind w:left="1020" w:hanging="360"/>
      </w:pPr>
    </w:lvl>
    <w:lvl w:ilvl="5" w:tplc="124EBE26">
      <w:start w:val="1"/>
      <w:numFmt w:val="decimal"/>
      <w:lvlText w:val="%6)"/>
      <w:lvlJc w:val="left"/>
      <w:pPr>
        <w:ind w:left="1020" w:hanging="360"/>
      </w:pPr>
    </w:lvl>
    <w:lvl w:ilvl="6" w:tplc="2EB66FF0">
      <w:start w:val="1"/>
      <w:numFmt w:val="decimal"/>
      <w:lvlText w:val="%7)"/>
      <w:lvlJc w:val="left"/>
      <w:pPr>
        <w:ind w:left="1020" w:hanging="360"/>
      </w:pPr>
    </w:lvl>
    <w:lvl w:ilvl="7" w:tplc="E754423C">
      <w:start w:val="1"/>
      <w:numFmt w:val="decimal"/>
      <w:lvlText w:val="%8)"/>
      <w:lvlJc w:val="left"/>
      <w:pPr>
        <w:ind w:left="1020" w:hanging="360"/>
      </w:pPr>
    </w:lvl>
    <w:lvl w:ilvl="8" w:tplc="482AC158">
      <w:start w:val="1"/>
      <w:numFmt w:val="decimal"/>
      <w:lvlText w:val="%9)"/>
      <w:lvlJc w:val="left"/>
      <w:pPr>
        <w:ind w:left="1020" w:hanging="360"/>
      </w:pPr>
    </w:lvl>
  </w:abstractNum>
  <w:abstractNum w:abstractNumId="50" w15:restartNumberingAfterBreak="0">
    <w:nsid w:val="7BC453F1"/>
    <w:multiLevelType w:val="hybridMultilevel"/>
    <w:tmpl w:val="6C6006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CCE3454"/>
    <w:multiLevelType w:val="hybridMultilevel"/>
    <w:tmpl w:val="90407BB8"/>
    <w:lvl w:ilvl="0" w:tplc="AC4ED678">
      <w:start w:val="1"/>
      <w:numFmt w:val="decimal"/>
      <w:lvlText w:val="%1."/>
      <w:lvlJc w:val="left"/>
      <w:pPr>
        <w:ind w:left="1020" w:hanging="360"/>
      </w:pPr>
    </w:lvl>
    <w:lvl w:ilvl="1" w:tplc="335CBEC6">
      <w:start w:val="1"/>
      <w:numFmt w:val="decimal"/>
      <w:lvlText w:val="%2."/>
      <w:lvlJc w:val="left"/>
      <w:pPr>
        <w:ind w:left="1020" w:hanging="360"/>
      </w:pPr>
    </w:lvl>
    <w:lvl w:ilvl="2" w:tplc="21BEF108">
      <w:start w:val="1"/>
      <w:numFmt w:val="decimal"/>
      <w:lvlText w:val="%3."/>
      <w:lvlJc w:val="left"/>
      <w:pPr>
        <w:ind w:left="1020" w:hanging="360"/>
      </w:pPr>
    </w:lvl>
    <w:lvl w:ilvl="3" w:tplc="69DEFDF0">
      <w:start w:val="1"/>
      <w:numFmt w:val="decimal"/>
      <w:lvlText w:val="%4."/>
      <w:lvlJc w:val="left"/>
      <w:pPr>
        <w:ind w:left="1020" w:hanging="360"/>
      </w:pPr>
    </w:lvl>
    <w:lvl w:ilvl="4" w:tplc="6B5E7F96">
      <w:start w:val="1"/>
      <w:numFmt w:val="decimal"/>
      <w:lvlText w:val="%5."/>
      <w:lvlJc w:val="left"/>
      <w:pPr>
        <w:ind w:left="1020" w:hanging="360"/>
      </w:pPr>
    </w:lvl>
    <w:lvl w:ilvl="5" w:tplc="33A829FE">
      <w:start w:val="1"/>
      <w:numFmt w:val="decimal"/>
      <w:lvlText w:val="%6."/>
      <w:lvlJc w:val="left"/>
      <w:pPr>
        <w:ind w:left="1020" w:hanging="360"/>
      </w:pPr>
    </w:lvl>
    <w:lvl w:ilvl="6" w:tplc="4EE2A5E8">
      <w:start w:val="1"/>
      <w:numFmt w:val="decimal"/>
      <w:lvlText w:val="%7."/>
      <w:lvlJc w:val="left"/>
      <w:pPr>
        <w:ind w:left="1020" w:hanging="360"/>
      </w:pPr>
    </w:lvl>
    <w:lvl w:ilvl="7" w:tplc="5E2658B2">
      <w:start w:val="1"/>
      <w:numFmt w:val="decimal"/>
      <w:lvlText w:val="%8."/>
      <w:lvlJc w:val="left"/>
      <w:pPr>
        <w:ind w:left="1020" w:hanging="360"/>
      </w:pPr>
    </w:lvl>
    <w:lvl w:ilvl="8" w:tplc="0F429EA2">
      <w:start w:val="1"/>
      <w:numFmt w:val="decimal"/>
      <w:lvlText w:val="%9."/>
      <w:lvlJc w:val="left"/>
      <w:pPr>
        <w:ind w:left="1020" w:hanging="360"/>
      </w:pPr>
    </w:lvl>
  </w:abstractNum>
  <w:abstractNum w:abstractNumId="52" w15:restartNumberingAfterBreak="0">
    <w:nsid w:val="7DA202AF"/>
    <w:multiLevelType w:val="hybridMultilevel"/>
    <w:tmpl w:val="AE8CB130"/>
    <w:lvl w:ilvl="0" w:tplc="2CBA34D8">
      <w:start w:val="2"/>
      <w:numFmt w:val="bullet"/>
      <w:lvlText w:val="-"/>
      <w:lvlJc w:val="left"/>
      <w:pPr>
        <w:ind w:left="676" w:hanging="360"/>
      </w:pPr>
      <w:rPr>
        <w:rFonts w:ascii="Arial Narrow" w:eastAsia="Times New Roman" w:hAnsi="Arial Narrow" w:cs="Tahoma" w:hint="default"/>
      </w:rPr>
    </w:lvl>
    <w:lvl w:ilvl="1" w:tplc="0C090003" w:tentative="1">
      <w:start w:val="1"/>
      <w:numFmt w:val="bullet"/>
      <w:lvlText w:val="o"/>
      <w:lvlJc w:val="left"/>
      <w:pPr>
        <w:ind w:left="1396" w:hanging="360"/>
      </w:pPr>
      <w:rPr>
        <w:rFonts w:ascii="Courier New" w:hAnsi="Courier New" w:cs="Courier New" w:hint="default"/>
      </w:rPr>
    </w:lvl>
    <w:lvl w:ilvl="2" w:tplc="0C090005" w:tentative="1">
      <w:start w:val="1"/>
      <w:numFmt w:val="bullet"/>
      <w:lvlText w:val=""/>
      <w:lvlJc w:val="left"/>
      <w:pPr>
        <w:ind w:left="2116" w:hanging="360"/>
      </w:pPr>
      <w:rPr>
        <w:rFonts w:ascii="Wingdings" w:hAnsi="Wingdings" w:hint="default"/>
      </w:rPr>
    </w:lvl>
    <w:lvl w:ilvl="3" w:tplc="0C090001" w:tentative="1">
      <w:start w:val="1"/>
      <w:numFmt w:val="bullet"/>
      <w:lvlText w:val=""/>
      <w:lvlJc w:val="left"/>
      <w:pPr>
        <w:ind w:left="2836" w:hanging="360"/>
      </w:pPr>
      <w:rPr>
        <w:rFonts w:ascii="Symbol" w:hAnsi="Symbol" w:hint="default"/>
      </w:rPr>
    </w:lvl>
    <w:lvl w:ilvl="4" w:tplc="0C090003" w:tentative="1">
      <w:start w:val="1"/>
      <w:numFmt w:val="bullet"/>
      <w:lvlText w:val="o"/>
      <w:lvlJc w:val="left"/>
      <w:pPr>
        <w:ind w:left="3556" w:hanging="360"/>
      </w:pPr>
      <w:rPr>
        <w:rFonts w:ascii="Courier New" w:hAnsi="Courier New" w:cs="Courier New" w:hint="default"/>
      </w:rPr>
    </w:lvl>
    <w:lvl w:ilvl="5" w:tplc="0C090005" w:tentative="1">
      <w:start w:val="1"/>
      <w:numFmt w:val="bullet"/>
      <w:lvlText w:val=""/>
      <w:lvlJc w:val="left"/>
      <w:pPr>
        <w:ind w:left="4276" w:hanging="360"/>
      </w:pPr>
      <w:rPr>
        <w:rFonts w:ascii="Wingdings" w:hAnsi="Wingdings" w:hint="default"/>
      </w:rPr>
    </w:lvl>
    <w:lvl w:ilvl="6" w:tplc="0C090001" w:tentative="1">
      <w:start w:val="1"/>
      <w:numFmt w:val="bullet"/>
      <w:lvlText w:val=""/>
      <w:lvlJc w:val="left"/>
      <w:pPr>
        <w:ind w:left="4996" w:hanging="360"/>
      </w:pPr>
      <w:rPr>
        <w:rFonts w:ascii="Symbol" w:hAnsi="Symbol" w:hint="default"/>
      </w:rPr>
    </w:lvl>
    <w:lvl w:ilvl="7" w:tplc="0C090003" w:tentative="1">
      <w:start w:val="1"/>
      <w:numFmt w:val="bullet"/>
      <w:lvlText w:val="o"/>
      <w:lvlJc w:val="left"/>
      <w:pPr>
        <w:ind w:left="5716" w:hanging="360"/>
      </w:pPr>
      <w:rPr>
        <w:rFonts w:ascii="Courier New" w:hAnsi="Courier New" w:cs="Courier New" w:hint="default"/>
      </w:rPr>
    </w:lvl>
    <w:lvl w:ilvl="8" w:tplc="0C090005" w:tentative="1">
      <w:start w:val="1"/>
      <w:numFmt w:val="bullet"/>
      <w:lvlText w:val=""/>
      <w:lvlJc w:val="left"/>
      <w:pPr>
        <w:ind w:left="6436" w:hanging="360"/>
      </w:pPr>
      <w:rPr>
        <w:rFonts w:ascii="Wingdings" w:hAnsi="Wingdings" w:hint="default"/>
      </w:rPr>
    </w:lvl>
  </w:abstractNum>
  <w:abstractNum w:abstractNumId="53" w15:restartNumberingAfterBreak="0">
    <w:nsid w:val="7E64289B"/>
    <w:multiLevelType w:val="hybridMultilevel"/>
    <w:tmpl w:val="DD967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2583400">
    <w:abstractNumId w:val="3"/>
  </w:num>
  <w:num w:numId="2" w16cid:durableId="1024792184">
    <w:abstractNumId w:val="39"/>
  </w:num>
  <w:num w:numId="3" w16cid:durableId="2098093375">
    <w:abstractNumId w:val="36"/>
  </w:num>
  <w:num w:numId="4" w16cid:durableId="1911186006">
    <w:abstractNumId w:val="14"/>
  </w:num>
  <w:num w:numId="5" w16cid:durableId="929508997">
    <w:abstractNumId w:val="45"/>
  </w:num>
  <w:num w:numId="6" w16cid:durableId="823394897">
    <w:abstractNumId w:val="29"/>
  </w:num>
  <w:num w:numId="7" w16cid:durableId="1985043683">
    <w:abstractNumId w:val="23"/>
  </w:num>
  <w:num w:numId="8" w16cid:durableId="1138887236">
    <w:abstractNumId w:val="28"/>
  </w:num>
  <w:num w:numId="9" w16cid:durableId="2089647999">
    <w:abstractNumId w:val="4"/>
  </w:num>
  <w:num w:numId="10" w16cid:durableId="1140540775">
    <w:abstractNumId w:val="33"/>
  </w:num>
  <w:num w:numId="11" w16cid:durableId="541670261">
    <w:abstractNumId w:val="18"/>
  </w:num>
  <w:num w:numId="12" w16cid:durableId="1601183672">
    <w:abstractNumId w:val="1"/>
  </w:num>
  <w:num w:numId="13" w16cid:durableId="130364394">
    <w:abstractNumId w:val="8"/>
  </w:num>
  <w:num w:numId="14" w16cid:durableId="712995389">
    <w:abstractNumId w:val="47"/>
  </w:num>
  <w:num w:numId="15" w16cid:durableId="1624386767">
    <w:abstractNumId w:val="30"/>
  </w:num>
  <w:num w:numId="16" w16cid:durableId="1693647876">
    <w:abstractNumId w:val="34"/>
  </w:num>
  <w:num w:numId="17" w16cid:durableId="1949121632">
    <w:abstractNumId w:val="11"/>
  </w:num>
  <w:num w:numId="18" w16cid:durableId="638070739">
    <w:abstractNumId w:val="48"/>
  </w:num>
  <w:num w:numId="19" w16cid:durableId="1246718879">
    <w:abstractNumId w:val="50"/>
  </w:num>
  <w:num w:numId="20" w16cid:durableId="1566064403">
    <w:abstractNumId w:val="0"/>
  </w:num>
  <w:num w:numId="21" w16cid:durableId="1111584062">
    <w:abstractNumId w:val="19"/>
  </w:num>
  <w:num w:numId="22" w16cid:durableId="338195495">
    <w:abstractNumId w:val="42"/>
  </w:num>
  <w:num w:numId="23" w16cid:durableId="1239941732">
    <w:abstractNumId w:val="44"/>
  </w:num>
  <w:num w:numId="24" w16cid:durableId="886600452">
    <w:abstractNumId w:val="21"/>
  </w:num>
  <w:num w:numId="25" w16cid:durableId="292445401">
    <w:abstractNumId w:val="22"/>
  </w:num>
  <w:num w:numId="26" w16cid:durableId="581530813">
    <w:abstractNumId w:val="37"/>
  </w:num>
  <w:num w:numId="27" w16cid:durableId="2004893070">
    <w:abstractNumId w:val="20"/>
  </w:num>
  <w:num w:numId="28" w16cid:durableId="1316757057">
    <w:abstractNumId w:val="43"/>
  </w:num>
  <w:num w:numId="29" w16cid:durableId="1907959144">
    <w:abstractNumId w:val="35"/>
  </w:num>
  <w:num w:numId="30" w16cid:durableId="939027143">
    <w:abstractNumId w:val="15"/>
  </w:num>
  <w:num w:numId="31" w16cid:durableId="185796482">
    <w:abstractNumId w:val="24"/>
  </w:num>
  <w:num w:numId="32" w16cid:durableId="90243548">
    <w:abstractNumId w:val="53"/>
  </w:num>
  <w:num w:numId="33" w16cid:durableId="1293707896">
    <w:abstractNumId w:val="31"/>
  </w:num>
  <w:num w:numId="34" w16cid:durableId="1951281605">
    <w:abstractNumId w:val="5"/>
  </w:num>
  <w:num w:numId="35" w16cid:durableId="324406005">
    <w:abstractNumId w:val="7"/>
  </w:num>
  <w:num w:numId="36" w16cid:durableId="536822555">
    <w:abstractNumId w:val="9"/>
  </w:num>
  <w:num w:numId="37" w16cid:durableId="1087536853">
    <w:abstractNumId w:val="13"/>
  </w:num>
  <w:num w:numId="38" w16cid:durableId="2062711603">
    <w:abstractNumId w:val="17"/>
  </w:num>
  <w:num w:numId="39" w16cid:durableId="321201257">
    <w:abstractNumId w:val="41"/>
  </w:num>
  <w:num w:numId="40" w16cid:durableId="1782645771">
    <w:abstractNumId w:val="32"/>
  </w:num>
  <w:num w:numId="41" w16cid:durableId="2054114946">
    <w:abstractNumId w:val="12"/>
  </w:num>
  <w:num w:numId="42" w16cid:durableId="2028436649">
    <w:abstractNumId w:val="16"/>
  </w:num>
  <w:num w:numId="43" w16cid:durableId="717586135">
    <w:abstractNumId w:val="26"/>
  </w:num>
  <w:num w:numId="44" w16cid:durableId="2137286208">
    <w:abstractNumId w:val="27"/>
  </w:num>
  <w:num w:numId="45" w16cid:durableId="1153792014">
    <w:abstractNumId w:val="2"/>
  </w:num>
  <w:num w:numId="46" w16cid:durableId="1599487574">
    <w:abstractNumId w:val="49"/>
  </w:num>
  <w:num w:numId="47" w16cid:durableId="902980836">
    <w:abstractNumId w:val="6"/>
  </w:num>
  <w:num w:numId="48" w16cid:durableId="1627466396">
    <w:abstractNumId w:val="25"/>
  </w:num>
  <w:num w:numId="49" w16cid:durableId="1720392886">
    <w:abstractNumId w:val="52"/>
  </w:num>
  <w:num w:numId="50" w16cid:durableId="1607031534">
    <w:abstractNumId w:val="38"/>
  </w:num>
  <w:num w:numId="51" w16cid:durableId="162015347">
    <w:abstractNumId w:val="51"/>
  </w:num>
  <w:num w:numId="52" w16cid:durableId="603881033">
    <w:abstractNumId w:val="40"/>
  </w:num>
  <w:num w:numId="53" w16cid:durableId="770903390">
    <w:abstractNumId w:val="46"/>
  </w:num>
  <w:num w:numId="54" w16cid:durableId="1344354995">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9C"/>
    <w:rsid w:val="00000177"/>
    <w:rsid w:val="00000D1B"/>
    <w:rsid w:val="00001D5E"/>
    <w:rsid w:val="00001DAD"/>
    <w:rsid w:val="000029FC"/>
    <w:rsid w:val="00002BD1"/>
    <w:rsid w:val="00003F97"/>
    <w:rsid w:val="00004018"/>
    <w:rsid w:val="0000409D"/>
    <w:rsid w:val="000041B0"/>
    <w:rsid w:val="000046FE"/>
    <w:rsid w:val="000047DC"/>
    <w:rsid w:val="000048CC"/>
    <w:rsid w:val="00004ED1"/>
    <w:rsid w:val="00005452"/>
    <w:rsid w:val="0000568F"/>
    <w:rsid w:val="000058DD"/>
    <w:rsid w:val="00005ECD"/>
    <w:rsid w:val="000061E5"/>
    <w:rsid w:val="0000653C"/>
    <w:rsid w:val="000073AA"/>
    <w:rsid w:val="00007E5E"/>
    <w:rsid w:val="0001033D"/>
    <w:rsid w:val="000106D4"/>
    <w:rsid w:val="00010865"/>
    <w:rsid w:val="00011F8F"/>
    <w:rsid w:val="00011F96"/>
    <w:rsid w:val="000120ED"/>
    <w:rsid w:val="00012861"/>
    <w:rsid w:val="00012A9C"/>
    <w:rsid w:val="00012D1A"/>
    <w:rsid w:val="00012DD3"/>
    <w:rsid w:val="00013221"/>
    <w:rsid w:val="0001330C"/>
    <w:rsid w:val="00013884"/>
    <w:rsid w:val="00013945"/>
    <w:rsid w:val="00013E9C"/>
    <w:rsid w:val="00014151"/>
    <w:rsid w:val="000147AE"/>
    <w:rsid w:val="00014A32"/>
    <w:rsid w:val="00014E50"/>
    <w:rsid w:val="00014EF0"/>
    <w:rsid w:val="00015717"/>
    <w:rsid w:val="00015B3E"/>
    <w:rsid w:val="00015CD5"/>
    <w:rsid w:val="00015F76"/>
    <w:rsid w:val="00016D44"/>
    <w:rsid w:val="00016F1C"/>
    <w:rsid w:val="000176C2"/>
    <w:rsid w:val="00017A5A"/>
    <w:rsid w:val="00017FCA"/>
    <w:rsid w:val="0002043D"/>
    <w:rsid w:val="00020B0D"/>
    <w:rsid w:val="00021051"/>
    <w:rsid w:val="00021671"/>
    <w:rsid w:val="00022714"/>
    <w:rsid w:val="00022745"/>
    <w:rsid w:val="0002277F"/>
    <w:rsid w:val="000228CC"/>
    <w:rsid w:val="00022927"/>
    <w:rsid w:val="00022F3A"/>
    <w:rsid w:val="000231CB"/>
    <w:rsid w:val="000238CA"/>
    <w:rsid w:val="00023D01"/>
    <w:rsid w:val="000242F0"/>
    <w:rsid w:val="00024359"/>
    <w:rsid w:val="00024521"/>
    <w:rsid w:val="000245A3"/>
    <w:rsid w:val="000245D8"/>
    <w:rsid w:val="00024826"/>
    <w:rsid w:val="00024978"/>
    <w:rsid w:val="00024DDC"/>
    <w:rsid w:val="00024DDD"/>
    <w:rsid w:val="00024F2B"/>
    <w:rsid w:val="00025388"/>
    <w:rsid w:val="00025574"/>
    <w:rsid w:val="0002576B"/>
    <w:rsid w:val="00025C47"/>
    <w:rsid w:val="00025D56"/>
    <w:rsid w:val="00026507"/>
    <w:rsid w:val="00026A49"/>
    <w:rsid w:val="00026D2C"/>
    <w:rsid w:val="00026DC8"/>
    <w:rsid w:val="00027E3C"/>
    <w:rsid w:val="000300B7"/>
    <w:rsid w:val="0003035B"/>
    <w:rsid w:val="00030856"/>
    <w:rsid w:val="0003093C"/>
    <w:rsid w:val="000309CC"/>
    <w:rsid w:val="00030B31"/>
    <w:rsid w:val="00030F1E"/>
    <w:rsid w:val="00030FE8"/>
    <w:rsid w:val="00031332"/>
    <w:rsid w:val="000314FF"/>
    <w:rsid w:val="00031DFC"/>
    <w:rsid w:val="000321F0"/>
    <w:rsid w:val="0003229B"/>
    <w:rsid w:val="00032322"/>
    <w:rsid w:val="0003232A"/>
    <w:rsid w:val="000348EB"/>
    <w:rsid w:val="00034919"/>
    <w:rsid w:val="00034C53"/>
    <w:rsid w:val="00035B34"/>
    <w:rsid w:val="0003603F"/>
    <w:rsid w:val="00036A6A"/>
    <w:rsid w:val="00036E11"/>
    <w:rsid w:val="00036E3B"/>
    <w:rsid w:val="00037042"/>
    <w:rsid w:val="000374FB"/>
    <w:rsid w:val="00037AF5"/>
    <w:rsid w:val="00037CE0"/>
    <w:rsid w:val="00037DC7"/>
    <w:rsid w:val="000402BE"/>
    <w:rsid w:val="000403DD"/>
    <w:rsid w:val="00040631"/>
    <w:rsid w:val="00040644"/>
    <w:rsid w:val="0004070B"/>
    <w:rsid w:val="00040F3F"/>
    <w:rsid w:val="000413DF"/>
    <w:rsid w:val="00041450"/>
    <w:rsid w:val="000415B9"/>
    <w:rsid w:val="00041DFB"/>
    <w:rsid w:val="00043247"/>
    <w:rsid w:val="00043808"/>
    <w:rsid w:val="00043DA5"/>
    <w:rsid w:val="0004460F"/>
    <w:rsid w:val="000446FC"/>
    <w:rsid w:val="00044A21"/>
    <w:rsid w:val="0004503B"/>
    <w:rsid w:val="000451C5"/>
    <w:rsid w:val="00045FCD"/>
    <w:rsid w:val="000462D9"/>
    <w:rsid w:val="0004677E"/>
    <w:rsid w:val="0004692F"/>
    <w:rsid w:val="00046CCE"/>
    <w:rsid w:val="00050395"/>
    <w:rsid w:val="000505C7"/>
    <w:rsid w:val="000506FD"/>
    <w:rsid w:val="00050786"/>
    <w:rsid w:val="000507B7"/>
    <w:rsid w:val="00050DF0"/>
    <w:rsid w:val="0005140C"/>
    <w:rsid w:val="000518C1"/>
    <w:rsid w:val="00051A69"/>
    <w:rsid w:val="00052198"/>
    <w:rsid w:val="00052838"/>
    <w:rsid w:val="00052AD1"/>
    <w:rsid w:val="00052F84"/>
    <w:rsid w:val="00053012"/>
    <w:rsid w:val="000532E4"/>
    <w:rsid w:val="00053CD3"/>
    <w:rsid w:val="00053DB4"/>
    <w:rsid w:val="00054078"/>
    <w:rsid w:val="00054A13"/>
    <w:rsid w:val="000550E8"/>
    <w:rsid w:val="00055272"/>
    <w:rsid w:val="000555CD"/>
    <w:rsid w:val="00055785"/>
    <w:rsid w:val="00055D58"/>
    <w:rsid w:val="00055E01"/>
    <w:rsid w:val="00055F8B"/>
    <w:rsid w:val="00056516"/>
    <w:rsid w:val="0005656C"/>
    <w:rsid w:val="00056B5F"/>
    <w:rsid w:val="00057BE9"/>
    <w:rsid w:val="00057E54"/>
    <w:rsid w:val="00057E7E"/>
    <w:rsid w:val="00060518"/>
    <w:rsid w:val="000612A8"/>
    <w:rsid w:val="000613E1"/>
    <w:rsid w:val="00061758"/>
    <w:rsid w:val="000619D2"/>
    <w:rsid w:val="00061AD5"/>
    <w:rsid w:val="0006215D"/>
    <w:rsid w:val="00062534"/>
    <w:rsid w:val="00062A9D"/>
    <w:rsid w:val="00062E08"/>
    <w:rsid w:val="000630E5"/>
    <w:rsid w:val="00063166"/>
    <w:rsid w:val="000632FB"/>
    <w:rsid w:val="00063548"/>
    <w:rsid w:val="000637C3"/>
    <w:rsid w:val="000639A0"/>
    <w:rsid w:val="00063A80"/>
    <w:rsid w:val="00063F9E"/>
    <w:rsid w:val="000643CA"/>
    <w:rsid w:val="00064481"/>
    <w:rsid w:val="0006481B"/>
    <w:rsid w:val="00064AB2"/>
    <w:rsid w:val="00064C38"/>
    <w:rsid w:val="00064D8A"/>
    <w:rsid w:val="00064FF6"/>
    <w:rsid w:val="0006638C"/>
    <w:rsid w:val="0006647D"/>
    <w:rsid w:val="000665B3"/>
    <w:rsid w:val="000667F7"/>
    <w:rsid w:val="00067394"/>
    <w:rsid w:val="000675B2"/>
    <w:rsid w:val="00067700"/>
    <w:rsid w:val="0006786A"/>
    <w:rsid w:val="00070D53"/>
    <w:rsid w:val="00070D7E"/>
    <w:rsid w:val="00070F4C"/>
    <w:rsid w:val="00071041"/>
    <w:rsid w:val="00071583"/>
    <w:rsid w:val="00071614"/>
    <w:rsid w:val="00071656"/>
    <w:rsid w:val="00071C85"/>
    <w:rsid w:val="00071E65"/>
    <w:rsid w:val="000725C7"/>
    <w:rsid w:val="00072A24"/>
    <w:rsid w:val="00072EF2"/>
    <w:rsid w:val="00073128"/>
    <w:rsid w:val="00073505"/>
    <w:rsid w:val="000735F1"/>
    <w:rsid w:val="000738AE"/>
    <w:rsid w:val="00073D6E"/>
    <w:rsid w:val="00073F43"/>
    <w:rsid w:val="00074082"/>
    <w:rsid w:val="00074107"/>
    <w:rsid w:val="000744AB"/>
    <w:rsid w:val="00074892"/>
    <w:rsid w:val="00074DD4"/>
    <w:rsid w:val="00075613"/>
    <w:rsid w:val="00075FE1"/>
    <w:rsid w:val="0007685E"/>
    <w:rsid w:val="00077F20"/>
    <w:rsid w:val="000811C1"/>
    <w:rsid w:val="00081252"/>
    <w:rsid w:val="0008133B"/>
    <w:rsid w:val="00081640"/>
    <w:rsid w:val="00081D57"/>
    <w:rsid w:val="00081DA5"/>
    <w:rsid w:val="00081DC4"/>
    <w:rsid w:val="000820CF"/>
    <w:rsid w:val="00082104"/>
    <w:rsid w:val="00082233"/>
    <w:rsid w:val="0008235E"/>
    <w:rsid w:val="000824A9"/>
    <w:rsid w:val="00082F27"/>
    <w:rsid w:val="00082F84"/>
    <w:rsid w:val="0008326B"/>
    <w:rsid w:val="00083485"/>
    <w:rsid w:val="00083AC3"/>
    <w:rsid w:val="00083B1F"/>
    <w:rsid w:val="00083D63"/>
    <w:rsid w:val="00083E6D"/>
    <w:rsid w:val="00083F40"/>
    <w:rsid w:val="00083F65"/>
    <w:rsid w:val="00083F9B"/>
    <w:rsid w:val="0008405F"/>
    <w:rsid w:val="000843F7"/>
    <w:rsid w:val="00084415"/>
    <w:rsid w:val="000844CB"/>
    <w:rsid w:val="000846D3"/>
    <w:rsid w:val="00084721"/>
    <w:rsid w:val="00084787"/>
    <w:rsid w:val="000848E5"/>
    <w:rsid w:val="000849E1"/>
    <w:rsid w:val="00084E78"/>
    <w:rsid w:val="0008512C"/>
    <w:rsid w:val="000851FB"/>
    <w:rsid w:val="000854E6"/>
    <w:rsid w:val="000855A3"/>
    <w:rsid w:val="00085D56"/>
    <w:rsid w:val="00086926"/>
    <w:rsid w:val="00086A7B"/>
    <w:rsid w:val="00086B10"/>
    <w:rsid w:val="000872D5"/>
    <w:rsid w:val="000873BA"/>
    <w:rsid w:val="00091CF3"/>
    <w:rsid w:val="00091EC5"/>
    <w:rsid w:val="0009280D"/>
    <w:rsid w:val="00092DA8"/>
    <w:rsid w:val="00093188"/>
    <w:rsid w:val="00093389"/>
    <w:rsid w:val="0009349D"/>
    <w:rsid w:val="00093671"/>
    <w:rsid w:val="0009378A"/>
    <w:rsid w:val="000939E0"/>
    <w:rsid w:val="00093C09"/>
    <w:rsid w:val="00094254"/>
    <w:rsid w:val="00094410"/>
    <w:rsid w:val="0009450F"/>
    <w:rsid w:val="00095506"/>
    <w:rsid w:val="00095CFE"/>
    <w:rsid w:val="00095E70"/>
    <w:rsid w:val="00096068"/>
    <w:rsid w:val="00096726"/>
    <w:rsid w:val="00096B52"/>
    <w:rsid w:val="00096F62"/>
    <w:rsid w:val="0009752A"/>
    <w:rsid w:val="0009774A"/>
    <w:rsid w:val="00097DF5"/>
    <w:rsid w:val="00097FEA"/>
    <w:rsid w:val="000A059B"/>
    <w:rsid w:val="000A08A4"/>
    <w:rsid w:val="000A0989"/>
    <w:rsid w:val="000A0E05"/>
    <w:rsid w:val="000A0FF0"/>
    <w:rsid w:val="000A1025"/>
    <w:rsid w:val="000A1168"/>
    <w:rsid w:val="000A18B6"/>
    <w:rsid w:val="000A1AFA"/>
    <w:rsid w:val="000A1B94"/>
    <w:rsid w:val="000A1ED3"/>
    <w:rsid w:val="000A207D"/>
    <w:rsid w:val="000A211F"/>
    <w:rsid w:val="000A2853"/>
    <w:rsid w:val="000A2C08"/>
    <w:rsid w:val="000A2CF9"/>
    <w:rsid w:val="000A313D"/>
    <w:rsid w:val="000A3242"/>
    <w:rsid w:val="000A327D"/>
    <w:rsid w:val="000A349D"/>
    <w:rsid w:val="000A3857"/>
    <w:rsid w:val="000A398A"/>
    <w:rsid w:val="000A3DE0"/>
    <w:rsid w:val="000A40D5"/>
    <w:rsid w:val="000A48FE"/>
    <w:rsid w:val="000A4A29"/>
    <w:rsid w:val="000A4E00"/>
    <w:rsid w:val="000A507B"/>
    <w:rsid w:val="000A5088"/>
    <w:rsid w:val="000A5277"/>
    <w:rsid w:val="000A5572"/>
    <w:rsid w:val="000A5638"/>
    <w:rsid w:val="000A5B00"/>
    <w:rsid w:val="000A5B16"/>
    <w:rsid w:val="000A63E7"/>
    <w:rsid w:val="000A68D3"/>
    <w:rsid w:val="000A6F64"/>
    <w:rsid w:val="000A71D1"/>
    <w:rsid w:val="000A73D3"/>
    <w:rsid w:val="000A751D"/>
    <w:rsid w:val="000A76B8"/>
    <w:rsid w:val="000A76CD"/>
    <w:rsid w:val="000A7FE5"/>
    <w:rsid w:val="000B036A"/>
    <w:rsid w:val="000B06FB"/>
    <w:rsid w:val="000B0AC3"/>
    <w:rsid w:val="000B0E56"/>
    <w:rsid w:val="000B0F85"/>
    <w:rsid w:val="000B145F"/>
    <w:rsid w:val="000B1CCF"/>
    <w:rsid w:val="000B1F92"/>
    <w:rsid w:val="000B2338"/>
    <w:rsid w:val="000B285F"/>
    <w:rsid w:val="000B2D37"/>
    <w:rsid w:val="000B2E49"/>
    <w:rsid w:val="000B2F7F"/>
    <w:rsid w:val="000B43CC"/>
    <w:rsid w:val="000B4532"/>
    <w:rsid w:val="000B47D6"/>
    <w:rsid w:val="000B484F"/>
    <w:rsid w:val="000B4A82"/>
    <w:rsid w:val="000B4BC1"/>
    <w:rsid w:val="000B4C41"/>
    <w:rsid w:val="000B4CE3"/>
    <w:rsid w:val="000B4D0F"/>
    <w:rsid w:val="000B5278"/>
    <w:rsid w:val="000B5C14"/>
    <w:rsid w:val="000B5E2E"/>
    <w:rsid w:val="000B60CE"/>
    <w:rsid w:val="000B6381"/>
    <w:rsid w:val="000B695B"/>
    <w:rsid w:val="000B6D35"/>
    <w:rsid w:val="000B706F"/>
    <w:rsid w:val="000B750E"/>
    <w:rsid w:val="000B7627"/>
    <w:rsid w:val="000B7C84"/>
    <w:rsid w:val="000B7E49"/>
    <w:rsid w:val="000C0082"/>
    <w:rsid w:val="000C026B"/>
    <w:rsid w:val="000C0526"/>
    <w:rsid w:val="000C0661"/>
    <w:rsid w:val="000C0757"/>
    <w:rsid w:val="000C0C5A"/>
    <w:rsid w:val="000C0E4D"/>
    <w:rsid w:val="000C118B"/>
    <w:rsid w:val="000C15EE"/>
    <w:rsid w:val="000C1D81"/>
    <w:rsid w:val="000C2867"/>
    <w:rsid w:val="000C289F"/>
    <w:rsid w:val="000C28F3"/>
    <w:rsid w:val="000C291F"/>
    <w:rsid w:val="000C2C6A"/>
    <w:rsid w:val="000C3375"/>
    <w:rsid w:val="000C34B5"/>
    <w:rsid w:val="000C37F0"/>
    <w:rsid w:val="000C3845"/>
    <w:rsid w:val="000C3D26"/>
    <w:rsid w:val="000C3E30"/>
    <w:rsid w:val="000C3F30"/>
    <w:rsid w:val="000C3F9B"/>
    <w:rsid w:val="000C4753"/>
    <w:rsid w:val="000C4A33"/>
    <w:rsid w:val="000C4C89"/>
    <w:rsid w:val="000C53ED"/>
    <w:rsid w:val="000C6381"/>
    <w:rsid w:val="000C63DB"/>
    <w:rsid w:val="000C6E1A"/>
    <w:rsid w:val="000C73D9"/>
    <w:rsid w:val="000C7442"/>
    <w:rsid w:val="000C7A2F"/>
    <w:rsid w:val="000C7A99"/>
    <w:rsid w:val="000C7CC6"/>
    <w:rsid w:val="000C7FB3"/>
    <w:rsid w:val="000D12D7"/>
    <w:rsid w:val="000D163F"/>
    <w:rsid w:val="000D1FCF"/>
    <w:rsid w:val="000D25D4"/>
    <w:rsid w:val="000D2AC1"/>
    <w:rsid w:val="000D2B09"/>
    <w:rsid w:val="000D2C58"/>
    <w:rsid w:val="000D2EB4"/>
    <w:rsid w:val="000D37B6"/>
    <w:rsid w:val="000D3865"/>
    <w:rsid w:val="000D4148"/>
    <w:rsid w:val="000D48AC"/>
    <w:rsid w:val="000D49C7"/>
    <w:rsid w:val="000D4F07"/>
    <w:rsid w:val="000D54C3"/>
    <w:rsid w:val="000D55CE"/>
    <w:rsid w:val="000D58FA"/>
    <w:rsid w:val="000D5F57"/>
    <w:rsid w:val="000D6092"/>
    <w:rsid w:val="000D60F4"/>
    <w:rsid w:val="000D62DF"/>
    <w:rsid w:val="000D689C"/>
    <w:rsid w:val="000D68A0"/>
    <w:rsid w:val="000D6ECF"/>
    <w:rsid w:val="000D717B"/>
    <w:rsid w:val="000D7222"/>
    <w:rsid w:val="000D7333"/>
    <w:rsid w:val="000D7A5C"/>
    <w:rsid w:val="000D7BD8"/>
    <w:rsid w:val="000E03E5"/>
    <w:rsid w:val="000E03EF"/>
    <w:rsid w:val="000E068E"/>
    <w:rsid w:val="000E06EF"/>
    <w:rsid w:val="000E07C0"/>
    <w:rsid w:val="000E0B3E"/>
    <w:rsid w:val="000E105F"/>
    <w:rsid w:val="000E1075"/>
    <w:rsid w:val="000E11E5"/>
    <w:rsid w:val="000E13EA"/>
    <w:rsid w:val="000E17C2"/>
    <w:rsid w:val="000E18D6"/>
    <w:rsid w:val="000E1C00"/>
    <w:rsid w:val="000E1ED7"/>
    <w:rsid w:val="000E2A7D"/>
    <w:rsid w:val="000E2AE4"/>
    <w:rsid w:val="000E2D03"/>
    <w:rsid w:val="000E3261"/>
    <w:rsid w:val="000E359F"/>
    <w:rsid w:val="000E360B"/>
    <w:rsid w:val="000E3671"/>
    <w:rsid w:val="000E368C"/>
    <w:rsid w:val="000E3750"/>
    <w:rsid w:val="000E385D"/>
    <w:rsid w:val="000E38D1"/>
    <w:rsid w:val="000E3E03"/>
    <w:rsid w:val="000E433D"/>
    <w:rsid w:val="000E4A9A"/>
    <w:rsid w:val="000E5484"/>
    <w:rsid w:val="000E54AE"/>
    <w:rsid w:val="000E5596"/>
    <w:rsid w:val="000E5737"/>
    <w:rsid w:val="000E5A38"/>
    <w:rsid w:val="000E5F37"/>
    <w:rsid w:val="000E623D"/>
    <w:rsid w:val="000E65B9"/>
    <w:rsid w:val="000E68AA"/>
    <w:rsid w:val="000E6BD3"/>
    <w:rsid w:val="000E6C8E"/>
    <w:rsid w:val="000E7483"/>
    <w:rsid w:val="000E7FF1"/>
    <w:rsid w:val="000F02D9"/>
    <w:rsid w:val="000F13EE"/>
    <w:rsid w:val="000F1722"/>
    <w:rsid w:val="000F1FAE"/>
    <w:rsid w:val="000F2420"/>
    <w:rsid w:val="000F2544"/>
    <w:rsid w:val="000F25F6"/>
    <w:rsid w:val="000F2BDE"/>
    <w:rsid w:val="000F2DBC"/>
    <w:rsid w:val="000F2E6B"/>
    <w:rsid w:val="000F33EF"/>
    <w:rsid w:val="000F36D3"/>
    <w:rsid w:val="000F391F"/>
    <w:rsid w:val="000F3AD3"/>
    <w:rsid w:val="000F4A69"/>
    <w:rsid w:val="000F4CC0"/>
    <w:rsid w:val="000F4E20"/>
    <w:rsid w:val="000F57D1"/>
    <w:rsid w:val="000F5A81"/>
    <w:rsid w:val="000F6091"/>
    <w:rsid w:val="000F658A"/>
    <w:rsid w:val="000F71E2"/>
    <w:rsid w:val="000F7908"/>
    <w:rsid w:val="000F7C35"/>
    <w:rsid w:val="000F7FB9"/>
    <w:rsid w:val="0010015B"/>
    <w:rsid w:val="0010046A"/>
    <w:rsid w:val="001004CF"/>
    <w:rsid w:val="00100C4A"/>
    <w:rsid w:val="00100EF1"/>
    <w:rsid w:val="00100FE6"/>
    <w:rsid w:val="00101FCA"/>
    <w:rsid w:val="00102037"/>
    <w:rsid w:val="001021F1"/>
    <w:rsid w:val="0010284A"/>
    <w:rsid w:val="00102F1F"/>
    <w:rsid w:val="00103083"/>
    <w:rsid w:val="00103D63"/>
    <w:rsid w:val="00103E17"/>
    <w:rsid w:val="00103EA0"/>
    <w:rsid w:val="00103FE8"/>
    <w:rsid w:val="00104086"/>
    <w:rsid w:val="0010427C"/>
    <w:rsid w:val="001043DD"/>
    <w:rsid w:val="001044D5"/>
    <w:rsid w:val="001045D4"/>
    <w:rsid w:val="001049BE"/>
    <w:rsid w:val="001050AA"/>
    <w:rsid w:val="001054A5"/>
    <w:rsid w:val="001054CA"/>
    <w:rsid w:val="00105586"/>
    <w:rsid w:val="00105BBA"/>
    <w:rsid w:val="00105CB5"/>
    <w:rsid w:val="00105D5B"/>
    <w:rsid w:val="00105E28"/>
    <w:rsid w:val="00105F55"/>
    <w:rsid w:val="00105FFA"/>
    <w:rsid w:val="00106441"/>
    <w:rsid w:val="00106A4F"/>
    <w:rsid w:val="0010710C"/>
    <w:rsid w:val="001073F9"/>
    <w:rsid w:val="001076F4"/>
    <w:rsid w:val="0010779C"/>
    <w:rsid w:val="00107CE4"/>
    <w:rsid w:val="00107E27"/>
    <w:rsid w:val="001101B8"/>
    <w:rsid w:val="00110866"/>
    <w:rsid w:val="00110B8A"/>
    <w:rsid w:val="00110F97"/>
    <w:rsid w:val="00110FAA"/>
    <w:rsid w:val="001110FF"/>
    <w:rsid w:val="00111285"/>
    <w:rsid w:val="00111536"/>
    <w:rsid w:val="00111579"/>
    <w:rsid w:val="0011192D"/>
    <w:rsid w:val="00111FF1"/>
    <w:rsid w:val="00112000"/>
    <w:rsid w:val="001122B3"/>
    <w:rsid w:val="00112C8A"/>
    <w:rsid w:val="00112FCE"/>
    <w:rsid w:val="00113133"/>
    <w:rsid w:val="001133EF"/>
    <w:rsid w:val="001134F2"/>
    <w:rsid w:val="001136F0"/>
    <w:rsid w:val="00113716"/>
    <w:rsid w:val="00113937"/>
    <w:rsid w:val="00113FA0"/>
    <w:rsid w:val="001147E3"/>
    <w:rsid w:val="001152AB"/>
    <w:rsid w:val="00115372"/>
    <w:rsid w:val="00115C61"/>
    <w:rsid w:val="001160C0"/>
    <w:rsid w:val="00116FF3"/>
    <w:rsid w:val="00117061"/>
    <w:rsid w:val="0011719A"/>
    <w:rsid w:val="001171D3"/>
    <w:rsid w:val="00117527"/>
    <w:rsid w:val="00117C9F"/>
    <w:rsid w:val="00117E53"/>
    <w:rsid w:val="00117F7B"/>
    <w:rsid w:val="0012027D"/>
    <w:rsid w:val="0012070D"/>
    <w:rsid w:val="001207D4"/>
    <w:rsid w:val="00120D5F"/>
    <w:rsid w:val="00120F8A"/>
    <w:rsid w:val="00121053"/>
    <w:rsid w:val="00121246"/>
    <w:rsid w:val="0012125F"/>
    <w:rsid w:val="001215F8"/>
    <w:rsid w:val="00121B54"/>
    <w:rsid w:val="00121C3D"/>
    <w:rsid w:val="00122694"/>
    <w:rsid w:val="001229EE"/>
    <w:rsid w:val="00122E9B"/>
    <w:rsid w:val="001236D7"/>
    <w:rsid w:val="001239B2"/>
    <w:rsid w:val="00123CF6"/>
    <w:rsid w:val="001241DA"/>
    <w:rsid w:val="0012444C"/>
    <w:rsid w:val="00124875"/>
    <w:rsid w:val="00124CC9"/>
    <w:rsid w:val="00124D82"/>
    <w:rsid w:val="00124F19"/>
    <w:rsid w:val="001250C6"/>
    <w:rsid w:val="001250E0"/>
    <w:rsid w:val="00125245"/>
    <w:rsid w:val="00125474"/>
    <w:rsid w:val="00125558"/>
    <w:rsid w:val="0012555E"/>
    <w:rsid w:val="0012582F"/>
    <w:rsid w:val="00125A11"/>
    <w:rsid w:val="00126103"/>
    <w:rsid w:val="00126123"/>
    <w:rsid w:val="0012614F"/>
    <w:rsid w:val="00126ABC"/>
    <w:rsid w:val="00126D1D"/>
    <w:rsid w:val="00126D91"/>
    <w:rsid w:val="00126FC1"/>
    <w:rsid w:val="0012740C"/>
    <w:rsid w:val="0012754D"/>
    <w:rsid w:val="00127B2A"/>
    <w:rsid w:val="0013044A"/>
    <w:rsid w:val="00131429"/>
    <w:rsid w:val="00131E46"/>
    <w:rsid w:val="00132130"/>
    <w:rsid w:val="00132397"/>
    <w:rsid w:val="00132694"/>
    <w:rsid w:val="0013278A"/>
    <w:rsid w:val="00133053"/>
    <w:rsid w:val="00133393"/>
    <w:rsid w:val="001333F8"/>
    <w:rsid w:val="00133625"/>
    <w:rsid w:val="0013398E"/>
    <w:rsid w:val="001339E3"/>
    <w:rsid w:val="00133FFD"/>
    <w:rsid w:val="00134533"/>
    <w:rsid w:val="001346B7"/>
    <w:rsid w:val="00134738"/>
    <w:rsid w:val="0013477C"/>
    <w:rsid w:val="001347FA"/>
    <w:rsid w:val="00134937"/>
    <w:rsid w:val="00134E7E"/>
    <w:rsid w:val="001350FB"/>
    <w:rsid w:val="001356C4"/>
    <w:rsid w:val="00135D80"/>
    <w:rsid w:val="00135DCD"/>
    <w:rsid w:val="00136109"/>
    <w:rsid w:val="0013647F"/>
    <w:rsid w:val="00136CCB"/>
    <w:rsid w:val="00136ED4"/>
    <w:rsid w:val="00136F83"/>
    <w:rsid w:val="0013725E"/>
    <w:rsid w:val="001375A2"/>
    <w:rsid w:val="00137AD3"/>
    <w:rsid w:val="00137D95"/>
    <w:rsid w:val="0014014B"/>
    <w:rsid w:val="0014085B"/>
    <w:rsid w:val="00140D67"/>
    <w:rsid w:val="00141769"/>
    <w:rsid w:val="00141882"/>
    <w:rsid w:val="0014197C"/>
    <w:rsid w:val="00141D6C"/>
    <w:rsid w:val="001423F9"/>
    <w:rsid w:val="0014259C"/>
    <w:rsid w:val="0014294D"/>
    <w:rsid w:val="00142976"/>
    <w:rsid w:val="00142F67"/>
    <w:rsid w:val="00143391"/>
    <w:rsid w:val="001436C9"/>
    <w:rsid w:val="0014395C"/>
    <w:rsid w:val="00143F4C"/>
    <w:rsid w:val="00143F85"/>
    <w:rsid w:val="0014431E"/>
    <w:rsid w:val="001445C9"/>
    <w:rsid w:val="00144783"/>
    <w:rsid w:val="001447E4"/>
    <w:rsid w:val="00145190"/>
    <w:rsid w:val="00146020"/>
    <w:rsid w:val="0014605D"/>
    <w:rsid w:val="0014608B"/>
    <w:rsid w:val="00146197"/>
    <w:rsid w:val="001468FA"/>
    <w:rsid w:val="00146E8D"/>
    <w:rsid w:val="00147F06"/>
    <w:rsid w:val="00150076"/>
    <w:rsid w:val="0015018B"/>
    <w:rsid w:val="00150493"/>
    <w:rsid w:val="0015073F"/>
    <w:rsid w:val="0015099B"/>
    <w:rsid w:val="00150CE5"/>
    <w:rsid w:val="0015201A"/>
    <w:rsid w:val="001527FF"/>
    <w:rsid w:val="00152CB2"/>
    <w:rsid w:val="00152F19"/>
    <w:rsid w:val="001532D8"/>
    <w:rsid w:val="00153CAA"/>
    <w:rsid w:val="00153E0B"/>
    <w:rsid w:val="00154019"/>
    <w:rsid w:val="001541CF"/>
    <w:rsid w:val="001541EC"/>
    <w:rsid w:val="00154350"/>
    <w:rsid w:val="00154BE4"/>
    <w:rsid w:val="00154CCF"/>
    <w:rsid w:val="00154EF1"/>
    <w:rsid w:val="00155318"/>
    <w:rsid w:val="001555DF"/>
    <w:rsid w:val="00155C35"/>
    <w:rsid w:val="00155FA5"/>
    <w:rsid w:val="00155FBB"/>
    <w:rsid w:val="00156C4A"/>
    <w:rsid w:val="00157080"/>
    <w:rsid w:val="00157640"/>
    <w:rsid w:val="00157AAE"/>
    <w:rsid w:val="00157FAF"/>
    <w:rsid w:val="001601EF"/>
    <w:rsid w:val="00160263"/>
    <w:rsid w:val="0016027E"/>
    <w:rsid w:val="001602EC"/>
    <w:rsid w:val="0016030D"/>
    <w:rsid w:val="001603C5"/>
    <w:rsid w:val="001607AF"/>
    <w:rsid w:val="00160932"/>
    <w:rsid w:val="00160B75"/>
    <w:rsid w:val="001614BB"/>
    <w:rsid w:val="00161543"/>
    <w:rsid w:val="00161727"/>
    <w:rsid w:val="001617E2"/>
    <w:rsid w:val="00162D63"/>
    <w:rsid w:val="00162D7F"/>
    <w:rsid w:val="00162DF7"/>
    <w:rsid w:val="0016315C"/>
    <w:rsid w:val="00163319"/>
    <w:rsid w:val="001636E7"/>
    <w:rsid w:val="001636EF"/>
    <w:rsid w:val="00163A45"/>
    <w:rsid w:val="00163B2B"/>
    <w:rsid w:val="00163F05"/>
    <w:rsid w:val="0016406C"/>
    <w:rsid w:val="00164398"/>
    <w:rsid w:val="001643BF"/>
    <w:rsid w:val="00164760"/>
    <w:rsid w:val="001647E7"/>
    <w:rsid w:val="00164B5B"/>
    <w:rsid w:val="00165978"/>
    <w:rsid w:val="00165B90"/>
    <w:rsid w:val="001661EE"/>
    <w:rsid w:val="00167617"/>
    <w:rsid w:val="00167AE7"/>
    <w:rsid w:val="0017019E"/>
    <w:rsid w:val="00170E5E"/>
    <w:rsid w:val="00170E74"/>
    <w:rsid w:val="00170F30"/>
    <w:rsid w:val="0017113D"/>
    <w:rsid w:val="00171141"/>
    <w:rsid w:val="00171543"/>
    <w:rsid w:val="00172304"/>
    <w:rsid w:val="00172495"/>
    <w:rsid w:val="00172756"/>
    <w:rsid w:val="00172D41"/>
    <w:rsid w:val="0017342B"/>
    <w:rsid w:val="00173763"/>
    <w:rsid w:val="00173850"/>
    <w:rsid w:val="00173BFD"/>
    <w:rsid w:val="00173D1A"/>
    <w:rsid w:val="001740BF"/>
    <w:rsid w:val="00174197"/>
    <w:rsid w:val="00175100"/>
    <w:rsid w:val="00175F60"/>
    <w:rsid w:val="001767A8"/>
    <w:rsid w:val="001768B3"/>
    <w:rsid w:val="00176949"/>
    <w:rsid w:val="001769C0"/>
    <w:rsid w:val="00176A9A"/>
    <w:rsid w:val="00176AC8"/>
    <w:rsid w:val="001770A8"/>
    <w:rsid w:val="001770B9"/>
    <w:rsid w:val="00177C9D"/>
    <w:rsid w:val="00177CB8"/>
    <w:rsid w:val="0018102C"/>
    <w:rsid w:val="0018117D"/>
    <w:rsid w:val="001813D3"/>
    <w:rsid w:val="0018170E"/>
    <w:rsid w:val="00181AAA"/>
    <w:rsid w:val="00181AF1"/>
    <w:rsid w:val="00181B72"/>
    <w:rsid w:val="00181F20"/>
    <w:rsid w:val="001826C9"/>
    <w:rsid w:val="00182917"/>
    <w:rsid w:val="001829E2"/>
    <w:rsid w:val="00182B2C"/>
    <w:rsid w:val="001831A0"/>
    <w:rsid w:val="00183813"/>
    <w:rsid w:val="00184503"/>
    <w:rsid w:val="001848A5"/>
    <w:rsid w:val="001848D5"/>
    <w:rsid w:val="00184A84"/>
    <w:rsid w:val="00184A8D"/>
    <w:rsid w:val="00185052"/>
    <w:rsid w:val="0018513A"/>
    <w:rsid w:val="0018536A"/>
    <w:rsid w:val="001856F1"/>
    <w:rsid w:val="00185F76"/>
    <w:rsid w:val="00186073"/>
    <w:rsid w:val="0018735E"/>
    <w:rsid w:val="0018781F"/>
    <w:rsid w:val="001879DC"/>
    <w:rsid w:val="00187CB1"/>
    <w:rsid w:val="001900E3"/>
    <w:rsid w:val="001905EA"/>
    <w:rsid w:val="00190B59"/>
    <w:rsid w:val="001911A6"/>
    <w:rsid w:val="0019153B"/>
    <w:rsid w:val="0019173E"/>
    <w:rsid w:val="001919E7"/>
    <w:rsid w:val="001919EE"/>
    <w:rsid w:val="00191D79"/>
    <w:rsid w:val="00192681"/>
    <w:rsid w:val="001931AD"/>
    <w:rsid w:val="001931B0"/>
    <w:rsid w:val="0019332F"/>
    <w:rsid w:val="00193576"/>
    <w:rsid w:val="001938D5"/>
    <w:rsid w:val="00193A45"/>
    <w:rsid w:val="001940A9"/>
    <w:rsid w:val="0019415C"/>
    <w:rsid w:val="001966FC"/>
    <w:rsid w:val="00196BD7"/>
    <w:rsid w:val="00196CCD"/>
    <w:rsid w:val="00196F67"/>
    <w:rsid w:val="001972D6"/>
    <w:rsid w:val="001973F9"/>
    <w:rsid w:val="001974AE"/>
    <w:rsid w:val="00197DB5"/>
    <w:rsid w:val="001A02B3"/>
    <w:rsid w:val="001A0587"/>
    <w:rsid w:val="001A12A1"/>
    <w:rsid w:val="001A14CE"/>
    <w:rsid w:val="001A1709"/>
    <w:rsid w:val="001A174E"/>
    <w:rsid w:val="001A196E"/>
    <w:rsid w:val="001A1CE8"/>
    <w:rsid w:val="001A2167"/>
    <w:rsid w:val="001A2CBE"/>
    <w:rsid w:val="001A2E84"/>
    <w:rsid w:val="001A3739"/>
    <w:rsid w:val="001A38E6"/>
    <w:rsid w:val="001A4009"/>
    <w:rsid w:val="001A4058"/>
    <w:rsid w:val="001A41BE"/>
    <w:rsid w:val="001A4BA2"/>
    <w:rsid w:val="001A4FB7"/>
    <w:rsid w:val="001A5158"/>
    <w:rsid w:val="001A549E"/>
    <w:rsid w:val="001A56DC"/>
    <w:rsid w:val="001A57AE"/>
    <w:rsid w:val="001A5D2F"/>
    <w:rsid w:val="001A5F5E"/>
    <w:rsid w:val="001A6640"/>
    <w:rsid w:val="001A69AB"/>
    <w:rsid w:val="001A6B30"/>
    <w:rsid w:val="001A7844"/>
    <w:rsid w:val="001A7DBE"/>
    <w:rsid w:val="001B0CC1"/>
    <w:rsid w:val="001B1180"/>
    <w:rsid w:val="001B140F"/>
    <w:rsid w:val="001B151F"/>
    <w:rsid w:val="001B18B2"/>
    <w:rsid w:val="001B1A1E"/>
    <w:rsid w:val="001B225C"/>
    <w:rsid w:val="001B2832"/>
    <w:rsid w:val="001B28B9"/>
    <w:rsid w:val="001B3650"/>
    <w:rsid w:val="001B3B77"/>
    <w:rsid w:val="001B3F6A"/>
    <w:rsid w:val="001B3F73"/>
    <w:rsid w:val="001B4157"/>
    <w:rsid w:val="001B481E"/>
    <w:rsid w:val="001B490C"/>
    <w:rsid w:val="001B4A47"/>
    <w:rsid w:val="001B4BAB"/>
    <w:rsid w:val="001B4DEE"/>
    <w:rsid w:val="001B503A"/>
    <w:rsid w:val="001B50E6"/>
    <w:rsid w:val="001B53A4"/>
    <w:rsid w:val="001B53AE"/>
    <w:rsid w:val="001B5556"/>
    <w:rsid w:val="001B5762"/>
    <w:rsid w:val="001B62FC"/>
    <w:rsid w:val="001B6667"/>
    <w:rsid w:val="001B666F"/>
    <w:rsid w:val="001B67EA"/>
    <w:rsid w:val="001B6890"/>
    <w:rsid w:val="001B68F9"/>
    <w:rsid w:val="001B6B41"/>
    <w:rsid w:val="001B6EA3"/>
    <w:rsid w:val="001B70FD"/>
    <w:rsid w:val="001B7132"/>
    <w:rsid w:val="001B725A"/>
    <w:rsid w:val="001B7F03"/>
    <w:rsid w:val="001C000A"/>
    <w:rsid w:val="001C02BE"/>
    <w:rsid w:val="001C04A8"/>
    <w:rsid w:val="001C054C"/>
    <w:rsid w:val="001C0BA5"/>
    <w:rsid w:val="001C11D1"/>
    <w:rsid w:val="001C15F4"/>
    <w:rsid w:val="001C16EC"/>
    <w:rsid w:val="001C1A1E"/>
    <w:rsid w:val="001C1A59"/>
    <w:rsid w:val="001C1C8B"/>
    <w:rsid w:val="001C1DB0"/>
    <w:rsid w:val="001C2798"/>
    <w:rsid w:val="001C2B2B"/>
    <w:rsid w:val="001C2B92"/>
    <w:rsid w:val="001C2EBB"/>
    <w:rsid w:val="001C2F8F"/>
    <w:rsid w:val="001C31FA"/>
    <w:rsid w:val="001C374D"/>
    <w:rsid w:val="001C38F1"/>
    <w:rsid w:val="001C3EDE"/>
    <w:rsid w:val="001C3F77"/>
    <w:rsid w:val="001C48FC"/>
    <w:rsid w:val="001C4C87"/>
    <w:rsid w:val="001C5163"/>
    <w:rsid w:val="001C5BD6"/>
    <w:rsid w:val="001C5DE2"/>
    <w:rsid w:val="001C5F40"/>
    <w:rsid w:val="001C61D9"/>
    <w:rsid w:val="001C63C8"/>
    <w:rsid w:val="001C65B2"/>
    <w:rsid w:val="001C66A3"/>
    <w:rsid w:val="001C776A"/>
    <w:rsid w:val="001C7A97"/>
    <w:rsid w:val="001C7BAE"/>
    <w:rsid w:val="001C7C02"/>
    <w:rsid w:val="001D0016"/>
    <w:rsid w:val="001D0048"/>
    <w:rsid w:val="001D0BF5"/>
    <w:rsid w:val="001D0EB7"/>
    <w:rsid w:val="001D10EB"/>
    <w:rsid w:val="001D1352"/>
    <w:rsid w:val="001D18C5"/>
    <w:rsid w:val="001D1E34"/>
    <w:rsid w:val="001D1F1B"/>
    <w:rsid w:val="001D247E"/>
    <w:rsid w:val="001D2F26"/>
    <w:rsid w:val="001D2FD2"/>
    <w:rsid w:val="001D30BC"/>
    <w:rsid w:val="001D348F"/>
    <w:rsid w:val="001D3849"/>
    <w:rsid w:val="001D395E"/>
    <w:rsid w:val="001D3D45"/>
    <w:rsid w:val="001D4CC3"/>
    <w:rsid w:val="001D5043"/>
    <w:rsid w:val="001D52DA"/>
    <w:rsid w:val="001D5C13"/>
    <w:rsid w:val="001D5FFB"/>
    <w:rsid w:val="001D749D"/>
    <w:rsid w:val="001D7632"/>
    <w:rsid w:val="001D7644"/>
    <w:rsid w:val="001D79B7"/>
    <w:rsid w:val="001D7AFB"/>
    <w:rsid w:val="001E0415"/>
    <w:rsid w:val="001E0799"/>
    <w:rsid w:val="001E097C"/>
    <w:rsid w:val="001E0AFA"/>
    <w:rsid w:val="001E1602"/>
    <w:rsid w:val="001E1E4A"/>
    <w:rsid w:val="001E2043"/>
    <w:rsid w:val="001E314F"/>
    <w:rsid w:val="001E34D1"/>
    <w:rsid w:val="001E3B18"/>
    <w:rsid w:val="001E3B25"/>
    <w:rsid w:val="001E3EF3"/>
    <w:rsid w:val="001E4198"/>
    <w:rsid w:val="001E433E"/>
    <w:rsid w:val="001E486E"/>
    <w:rsid w:val="001E499A"/>
    <w:rsid w:val="001E4F48"/>
    <w:rsid w:val="001E515C"/>
    <w:rsid w:val="001E51AB"/>
    <w:rsid w:val="001E5535"/>
    <w:rsid w:val="001E564C"/>
    <w:rsid w:val="001E5D45"/>
    <w:rsid w:val="001E5F52"/>
    <w:rsid w:val="001E5F9C"/>
    <w:rsid w:val="001E62A1"/>
    <w:rsid w:val="001E630A"/>
    <w:rsid w:val="001E6784"/>
    <w:rsid w:val="001E6834"/>
    <w:rsid w:val="001E6D2F"/>
    <w:rsid w:val="001E719E"/>
    <w:rsid w:val="001E7B68"/>
    <w:rsid w:val="001E7E96"/>
    <w:rsid w:val="001F0073"/>
    <w:rsid w:val="001F05F9"/>
    <w:rsid w:val="001F0620"/>
    <w:rsid w:val="001F070A"/>
    <w:rsid w:val="001F0C55"/>
    <w:rsid w:val="001F0D3E"/>
    <w:rsid w:val="001F18B6"/>
    <w:rsid w:val="001F207D"/>
    <w:rsid w:val="001F24E4"/>
    <w:rsid w:val="001F2552"/>
    <w:rsid w:val="001F2A55"/>
    <w:rsid w:val="001F4229"/>
    <w:rsid w:val="001F4502"/>
    <w:rsid w:val="001F49E8"/>
    <w:rsid w:val="001F4B97"/>
    <w:rsid w:val="001F4E01"/>
    <w:rsid w:val="001F59AC"/>
    <w:rsid w:val="001F5E2F"/>
    <w:rsid w:val="001F5EEA"/>
    <w:rsid w:val="001F6984"/>
    <w:rsid w:val="001F699E"/>
    <w:rsid w:val="001F6ACC"/>
    <w:rsid w:val="001F6FAC"/>
    <w:rsid w:val="001F701B"/>
    <w:rsid w:val="001F7211"/>
    <w:rsid w:val="001F76ED"/>
    <w:rsid w:val="001F7718"/>
    <w:rsid w:val="001F7954"/>
    <w:rsid w:val="001F7C4C"/>
    <w:rsid w:val="00200C7E"/>
    <w:rsid w:val="00200D1D"/>
    <w:rsid w:val="00200EB4"/>
    <w:rsid w:val="002012BE"/>
    <w:rsid w:val="002014CE"/>
    <w:rsid w:val="00201AD2"/>
    <w:rsid w:val="00201C92"/>
    <w:rsid w:val="00202C52"/>
    <w:rsid w:val="00202D80"/>
    <w:rsid w:val="00202E73"/>
    <w:rsid w:val="002031E1"/>
    <w:rsid w:val="002034CF"/>
    <w:rsid w:val="00203962"/>
    <w:rsid w:val="00203C94"/>
    <w:rsid w:val="00203EE6"/>
    <w:rsid w:val="00203FAA"/>
    <w:rsid w:val="002040BF"/>
    <w:rsid w:val="00204334"/>
    <w:rsid w:val="002048F1"/>
    <w:rsid w:val="0020492C"/>
    <w:rsid w:val="0020525C"/>
    <w:rsid w:val="002053C2"/>
    <w:rsid w:val="0020553D"/>
    <w:rsid w:val="00205B00"/>
    <w:rsid w:val="00205BDC"/>
    <w:rsid w:val="00206079"/>
    <w:rsid w:val="00206303"/>
    <w:rsid w:val="00206518"/>
    <w:rsid w:val="0020658C"/>
    <w:rsid w:val="00206790"/>
    <w:rsid w:val="002067F7"/>
    <w:rsid w:val="00206A54"/>
    <w:rsid w:val="00206D57"/>
    <w:rsid w:val="0020773A"/>
    <w:rsid w:val="00210306"/>
    <w:rsid w:val="0021040B"/>
    <w:rsid w:val="00210502"/>
    <w:rsid w:val="00210772"/>
    <w:rsid w:val="00210B97"/>
    <w:rsid w:val="00210CD5"/>
    <w:rsid w:val="00210D3A"/>
    <w:rsid w:val="00210F3B"/>
    <w:rsid w:val="00211021"/>
    <w:rsid w:val="0021118E"/>
    <w:rsid w:val="0021127D"/>
    <w:rsid w:val="00211B19"/>
    <w:rsid w:val="0021257B"/>
    <w:rsid w:val="00213029"/>
    <w:rsid w:val="00213F6D"/>
    <w:rsid w:val="002142E4"/>
    <w:rsid w:val="00214E66"/>
    <w:rsid w:val="002151D4"/>
    <w:rsid w:val="00215372"/>
    <w:rsid w:val="00215B30"/>
    <w:rsid w:val="00215BE4"/>
    <w:rsid w:val="00216001"/>
    <w:rsid w:val="002166DC"/>
    <w:rsid w:val="002176C5"/>
    <w:rsid w:val="0021774B"/>
    <w:rsid w:val="002177C4"/>
    <w:rsid w:val="00217854"/>
    <w:rsid w:val="00217CC7"/>
    <w:rsid w:val="00217D6E"/>
    <w:rsid w:val="00217DF2"/>
    <w:rsid w:val="00220602"/>
    <w:rsid w:val="002222B4"/>
    <w:rsid w:val="00222416"/>
    <w:rsid w:val="00222581"/>
    <w:rsid w:val="002227DD"/>
    <w:rsid w:val="002230AA"/>
    <w:rsid w:val="002234E3"/>
    <w:rsid w:val="0022367C"/>
    <w:rsid w:val="00223B72"/>
    <w:rsid w:val="00223D00"/>
    <w:rsid w:val="00223D30"/>
    <w:rsid w:val="002240AF"/>
    <w:rsid w:val="00224285"/>
    <w:rsid w:val="0022473C"/>
    <w:rsid w:val="0022492C"/>
    <w:rsid w:val="002250AF"/>
    <w:rsid w:val="00225104"/>
    <w:rsid w:val="00225762"/>
    <w:rsid w:val="00225A2D"/>
    <w:rsid w:val="00225AD0"/>
    <w:rsid w:val="00225EA6"/>
    <w:rsid w:val="002263DD"/>
    <w:rsid w:val="002264DC"/>
    <w:rsid w:val="00226541"/>
    <w:rsid w:val="0022671C"/>
    <w:rsid w:val="00226CFC"/>
    <w:rsid w:val="00226F20"/>
    <w:rsid w:val="002271BF"/>
    <w:rsid w:val="00227F71"/>
    <w:rsid w:val="00230208"/>
    <w:rsid w:val="00230B72"/>
    <w:rsid w:val="00230BCE"/>
    <w:rsid w:val="00230BFD"/>
    <w:rsid w:val="00230F85"/>
    <w:rsid w:val="00231040"/>
    <w:rsid w:val="002312AF"/>
    <w:rsid w:val="00232031"/>
    <w:rsid w:val="00232E47"/>
    <w:rsid w:val="002330BA"/>
    <w:rsid w:val="002334F4"/>
    <w:rsid w:val="00233603"/>
    <w:rsid w:val="00233AB8"/>
    <w:rsid w:val="002348D4"/>
    <w:rsid w:val="002356E0"/>
    <w:rsid w:val="00235B21"/>
    <w:rsid w:val="00235B3C"/>
    <w:rsid w:val="00235DB2"/>
    <w:rsid w:val="00236505"/>
    <w:rsid w:val="00236889"/>
    <w:rsid w:val="00237B4A"/>
    <w:rsid w:val="00237B87"/>
    <w:rsid w:val="00237D50"/>
    <w:rsid w:val="0024001E"/>
    <w:rsid w:val="00240544"/>
    <w:rsid w:val="002405E4"/>
    <w:rsid w:val="002408D8"/>
    <w:rsid w:val="00240C72"/>
    <w:rsid w:val="0024110D"/>
    <w:rsid w:val="0024111E"/>
    <w:rsid w:val="00241238"/>
    <w:rsid w:val="0024142E"/>
    <w:rsid w:val="002417F2"/>
    <w:rsid w:val="00241D10"/>
    <w:rsid w:val="00241DDA"/>
    <w:rsid w:val="00242672"/>
    <w:rsid w:val="002434E8"/>
    <w:rsid w:val="0024376F"/>
    <w:rsid w:val="00243C69"/>
    <w:rsid w:val="00243CE0"/>
    <w:rsid w:val="00243D60"/>
    <w:rsid w:val="00243F9E"/>
    <w:rsid w:val="0024475C"/>
    <w:rsid w:val="002451A2"/>
    <w:rsid w:val="002454D8"/>
    <w:rsid w:val="00245955"/>
    <w:rsid w:val="00245D3A"/>
    <w:rsid w:val="00245EE3"/>
    <w:rsid w:val="002460A6"/>
    <w:rsid w:val="0024641E"/>
    <w:rsid w:val="002466E9"/>
    <w:rsid w:val="002466F4"/>
    <w:rsid w:val="00246713"/>
    <w:rsid w:val="0024688A"/>
    <w:rsid w:val="00246A71"/>
    <w:rsid w:val="00246AD6"/>
    <w:rsid w:val="00246B59"/>
    <w:rsid w:val="00246F38"/>
    <w:rsid w:val="00247013"/>
    <w:rsid w:val="002472CB"/>
    <w:rsid w:val="002472F7"/>
    <w:rsid w:val="00247D59"/>
    <w:rsid w:val="00247E0B"/>
    <w:rsid w:val="002502E6"/>
    <w:rsid w:val="002502ED"/>
    <w:rsid w:val="002503BC"/>
    <w:rsid w:val="00250448"/>
    <w:rsid w:val="00250C14"/>
    <w:rsid w:val="00250C34"/>
    <w:rsid w:val="00250DDF"/>
    <w:rsid w:val="00251340"/>
    <w:rsid w:val="00251CD4"/>
    <w:rsid w:val="00251FDF"/>
    <w:rsid w:val="0025266F"/>
    <w:rsid w:val="002526A6"/>
    <w:rsid w:val="00252F35"/>
    <w:rsid w:val="002538F8"/>
    <w:rsid w:val="00253FFC"/>
    <w:rsid w:val="00254269"/>
    <w:rsid w:val="00254928"/>
    <w:rsid w:val="00254EF6"/>
    <w:rsid w:val="002554C7"/>
    <w:rsid w:val="00255A48"/>
    <w:rsid w:val="00255BF4"/>
    <w:rsid w:val="002569B9"/>
    <w:rsid w:val="002572B5"/>
    <w:rsid w:val="002575BD"/>
    <w:rsid w:val="00257B94"/>
    <w:rsid w:val="00257EAB"/>
    <w:rsid w:val="0026030E"/>
    <w:rsid w:val="0026042D"/>
    <w:rsid w:val="00260444"/>
    <w:rsid w:val="0026093D"/>
    <w:rsid w:val="00260C6D"/>
    <w:rsid w:val="00260D71"/>
    <w:rsid w:val="00260EE9"/>
    <w:rsid w:val="0026107A"/>
    <w:rsid w:val="002610ED"/>
    <w:rsid w:val="00261413"/>
    <w:rsid w:val="0026177B"/>
    <w:rsid w:val="00261A57"/>
    <w:rsid w:val="00261FF4"/>
    <w:rsid w:val="00262389"/>
    <w:rsid w:val="00262997"/>
    <w:rsid w:val="00262A87"/>
    <w:rsid w:val="002638B4"/>
    <w:rsid w:val="00263DF9"/>
    <w:rsid w:val="002648D2"/>
    <w:rsid w:val="002648F6"/>
    <w:rsid w:val="0026527E"/>
    <w:rsid w:val="00266732"/>
    <w:rsid w:val="0026695A"/>
    <w:rsid w:val="002669CB"/>
    <w:rsid w:val="0026703F"/>
    <w:rsid w:val="002677EC"/>
    <w:rsid w:val="0026799B"/>
    <w:rsid w:val="00267CF0"/>
    <w:rsid w:val="00270079"/>
    <w:rsid w:val="002702DC"/>
    <w:rsid w:val="00270BA1"/>
    <w:rsid w:val="00270BD0"/>
    <w:rsid w:val="00270CC6"/>
    <w:rsid w:val="00270E89"/>
    <w:rsid w:val="002711E8"/>
    <w:rsid w:val="0027170F"/>
    <w:rsid w:val="00272265"/>
    <w:rsid w:val="00272374"/>
    <w:rsid w:val="00272414"/>
    <w:rsid w:val="002729B6"/>
    <w:rsid w:val="00272A99"/>
    <w:rsid w:val="00272D21"/>
    <w:rsid w:val="002731BA"/>
    <w:rsid w:val="0027333F"/>
    <w:rsid w:val="0027369C"/>
    <w:rsid w:val="00273B22"/>
    <w:rsid w:val="00274033"/>
    <w:rsid w:val="00274341"/>
    <w:rsid w:val="0027483B"/>
    <w:rsid w:val="00275309"/>
    <w:rsid w:val="00275F29"/>
    <w:rsid w:val="00276048"/>
    <w:rsid w:val="002765FF"/>
    <w:rsid w:val="0027695D"/>
    <w:rsid w:val="00276F2A"/>
    <w:rsid w:val="00277005"/>
    <w:rsid w:val="00277687"/>
    <w:rsid w:val="00277823"/>
    <w:rsid w:val="00277A0E"/>
    <w:rsid w:val="00280651"/>
    <w:rsid w:val="002808AA"/>
    <w:rsid w:val="00281C55"/>
    <w:rsid w:val="002821DD"/>
    <w:rsid w:val="0028270B"/>
    <w:rsid w:val="00282CC4"/>
    <w:rsid w:val="00283042"/>
    <w:rsid w:val="002836C0"/>
    <w:rsid w:val="00283FB4"/>
    <w:rsid w:val="002844A0"/>
    <w:rsid w:val="002844E2"/>
    <w:rsid w:val="00284C3A"/>
    <w:rsid w:val="00284EBA"/>
    <w:rsid w:val="00285605"/>
    <w:rsid w:val="0028610D"/>
    <w:rsid w:val="00286243"/>
    <w:rsid w:val="00286DF5"/>
    <w:rsid w:val="00286F41"/>
    <w:rsid w:val="00286FF6"/>
    <w:rsid w:val="00287579"/>
    <w:rsid w:val="00287739"/>
    <w:rsid w:val="002878A1"/>
    <w:rsid w:val="00290094"/>
    <w:rsid w:val="00290273"/>
    <w:rsid w:val="002902EA"/>
    <w:rsid w:val="00290B7F"/>
    <w:rsid w:val="00290FDD"/>
    <w:rsid w:val="00290FE3"/>
    <w:rsid w:val="002911D4"/>
    <w:rsid w:val="002913DC"/>
    <w:rsid w:val="00291A25"/>
    <w:rsid w:val="00292350"/>
    <w:rsid w:val="00292BED"/>
    <w:rsid w:val="002933B6"/>
    <w:rsid w:val="00294E7C"/>
    <w:rsid w:val="00295261"/>
    <w:rsid w:val="002958D7"/>
    <w:rsid w:val="0029593E"/>
    <w:rsid w:val="00295A41"/>
    <w:rsid w:val="00295BBA"/>
    <w:rsid w:val="00295CD9"/>
    <w:rsid w:val="00295F13"/>
    <w:rsid w:val="00296174"/>
    <w:rsid w:val="0029658E"/>
    <w:rsid w:val="002967B4"/>
    <w:rsid w:val="002968DF"/>
    <w:rsid w:val="00296F73"/>
    <w:rsid w:val="0029778E"/>
    <w:rsid w:val="00297AE3"/>
    <w:rsid w:val="002A0F29"/>
    <w:rsid w:val="002A1084"/>
    <w:rsid w:val="002A13BA"/>
    <w:rsid w:val="002A1602"/>
    <w:rsid w:val="002A2997"/>
    <w:rsid w:val="002A2BCF"/>
    <w:rsid w:val="002A30AC"/>
    <w:rsid w:val="002A321A"/>
    <w:rsid w:val="002A3FAF"/>
    <w:rsid w:val="002A44F3"/>
    <w:rsid w:val="002A4AAF"/>
    <w:rsid w:val="002A4B90"/>
    <w:rsid w:val="002A4DC7"/>
    <w:rsid w:val="002A5279"/>
    <w:rsid w:val="002A52AB"/>
    <w:rsid w:val="002A5477"/>
    <w:rsid w:val="002A5A3B"/>
    <w:rsid w:val="002A61DD"/>
    <w:rsid w:val="002A6390"/>
    <w:rsid w:val="002A6642"/>
    <w:rsid w:val="002A6A84"/>
    <w:rsid w:val="002A6B8B"/>
    <w:rsid w:val="002A6C61"/>
    <w:rsid w:val="002A72E7"/>
    <w:rsid w:val="002A7B74"/>
    <w:rsid w:val="002A7D90"/>
    <w:rsid w:val="002A7F47"/>
    <w:rsid w:val="002A7FA9"/>
    <w:rsid w:val="002B0588"/>
    <w:rsid w:val="002B05ED"/>
    <w:rsid w:val="002B0610"/>
    <w:rsid w:val="002B0827"/>
    <w:rsid w:val="002B0B0C"/>
    <w:rsid w:val="002B0C67"/>
    <w:rsid w:val="002B0D6F"/>
    <w:rsid w:val="002B0DCA"/>
    <w:rsid w:val="002B103E"/>
    <w:rsid w:val="002B12C3"/>
    <w:rsid w:val="002B1341"/>
    <w:rsid w:val="002B1540"/>
    <w:rsid w:val="002B17BB"/>
    <w:rsid w:val="002B2322"/>
    <w:rsid w:val="002B298F"/>
    <w:rsid w:val="002B2A27"/>
    <w:rsid w:val="002B2BA5"/>
    <w:rsid w:val="002B2F7E"/>
    <w:rsid w:val="002B3ADA"/>
    <w:rsid w:val="002B4681"/>
    <w:rsid w:val="002B4A65"/>
    <w:rsid w:val="002B5087"/>
    <w:rsid w:val="002B54F1"/>
    <w:rsid w:val="002B5C29"/>
    <w:rsid w:val="002B6B8A"/>
    <w:rsid w:val="002B6FBA"/>
    <w:rsid w:val="002B7498"/>
    <w:rsid w:val="002B786C"/>
    <w:rsid w:val="002C014D"/>
    <w:rsid w:val="002C0ED6"/>
    <w:rsid w:val="002C12E2"/>
    <w:rsid w:val="002C1314"/>
    <w:rsid w:val="002C18D7"/>
    <w:rsid w:val="002C1B31"/>
    <w:rsid w:val="002C1B5B"/>
    <w:rsid w:val="002C2474"/>
    <w:rsid w:val="002C288A"/>
    <w:rsid w:val="002C2FA4"/>
    <w:rsid w:val="002C37F1"/>
    <w:rsid w:val="002C3D8E"/>
    <w:rsid w:val="002C476C"/>
    <w:rsid w:val="002C4BFA"/>
    <w:rsid w:val="002C4C09"/>
    <w:rsid w:val="002C4C57"/>
    <w:rsid w:val="002C4D68"/>
    <w:rsid w:val="002C5095"/>
    <w:rsid w:val="002C5478"/>
    <w:rsid w:val="002C5605"/>
    <w:rsid w:val="002C5859"/>
    <w:rsid w:val="002C5B98"/>
    <w:rsid w:val="002C5D3A"/>
    <w:rsid w:val="002C5E5D"/>
    <w:rsid w:val="002C64DF"/>
    <w:rsid w:val="002C6501"/>
    <w:rsid w:val="002C675E"/>
    <w:rsid w:val="002C69BD"/>
    <w:rsid w:val="002C69E1"/>
    <w:rsid w:val="002C6D75"/>
    <w:rsid w:val="002C7963"/>
    <w:rsid w:val="002C7DD7"/>
    <w:rsid w:val="002D0034"/>
    <w:rsid w:val="002D1489"/>
    <w:rsid w:val="002D167E"/>
    <w:rsid w:val="002D1F42"/>
    <w:rsid w:val="002D26C6"/>
    <w:rsid w:val="002D299D"/>
    <w:rsid w:val="002D2C10"/>
    <w:rsid w:val="002D2D98"/>
    <w:rsid w:val="002D3269"/>
    <w:rsid w:val="002D3CAB"/>
    <w:rsid w:val="002D4153"/>
    <w:rsid w:val="002D4240"/>
    <w:rsid w:val="002D42A0"/>
    <w:rsid w:val="002D43CB"/>
    <w:rsid w:val="002D46B1"/>
    <w:rsid w:val="002D4DF7"/>
    <w:rsid w:val="002D508E"/>
    <w:rsid w:val="002D571A"/>
    <w:rsid w:val="002D58BB"/>
    <w:rsid w:val="002D5B50"/>
    <w:rsid w:val="002D5D59"/>
    <w:rsid w:val="002D5F29"/>
    <w:rsid w:val="002D61DF"/>
    <w:rsid w:val="002D6882"/>
    <w:rsid w:val="002D6935"/>
    <w:rsid w:val="002D698F"/>
    <w:rsid w:val="002D6A29"/>
    <w:rsid w:val="002D6B12"/>
    <w:rsid w:val="002D6B41"/>
    <w:rsid w:val="002D71A7"/>
    <w:rsid w:val="002E053C"/>
    <w:rsid w:val="002E079E"/>
    <w:rsid w:val="002E09A9"/>
    <w:rsid w:val="002E11E2"/>
    <w:rsid w:val="002E13D9"/>
    <w:rsid w:val="002E165A"/>
    <w:rsid w:val="002E27D5"/>
    <w:rsid w:val="002E2AFC"/>
    <w:rsid w:val="002E31A5"/>
    <w:rsid w:val="002E391E"/>
    <w:rsid w:val="002E3AA2"/>
    <w:rsid w:val="002E3E65"/>
    <w:rsid w:val="002E4208"/>
    <w:rsid w:val="002E427A"/>
    <w:rsid w:val="002E4291"/>
    <w:rsid w:val="002E44B2"/>
    <w:rsid w:val="002E4A1A"/>
    <w:rsid w:val="002E5B2B"/>
    <w:rsid w:val="002E5D90"/>
    <w:rsid w:val="002E606F"/>
    <w:rsid w:val="002E726B"/>
    <w:rsid w:val="002E7380"/>
    <w:rsid w:val="002E7579"/>
    <w:rsid w:val="002E7D23"/>
    <w:rsid w:val="002E7D43"/>
    <w:rsid w:val="002E7FEA"/>
    <w:rsid w:val="002F03E5"/>
    <w:rsid w:val="002F069D"/>
    <w:rsid w:val="002F07A1"/>
    <w:rsid w:val="002F0C72"/>
    <w:rsid w:val="002F11B6"/>
    <w:rsid w:val="002F11F0"/>
    <w:rsid w:val="002F148E"/>
    <w:rsid w:val="002F166E"/>
    <w:rsid w:val="002F1A0D"/>
    <w:rsid w:val="002F1DD0"/>
    <w:rsid w:val="002F1F3A"/>
    <w:rsid w:val="002F22D2"/>
    <w:rsid w:val="002F23E1"/>
    <w:rsid w:val="002F2680"/>
    <w:rsid w:val="002F27E3"/>
    <w:rsid w:val="002F296F"/>
    <w:rsid w:val="002F2AFD"/>
    <w:rsid w:val="002F2D00"/>
    <w:rsid w:val="002F2DB2"/>
    <w:rsid w:val="002F31F7"/>
    <w:rsid w:val="002F3958"/>
    <w:rsid w:val="002F3E40"/>
    <w:rsid w:val="002F4AD1"/>
    <w:rsid w:val="002F53B2"/>
    <w:rsid w:val="002F53D8"/>
    <w:rsid w:val="002F54A6"/>
    <w:rsid w:val="002F551A"/>
    <w:rsid w:val="002F56A5"/>
    <w:rsid w:val="002F57EE"/>
    <w:rsid w:val="002F5F7B"/>
    <w:rsid w:val="002F6258"/>
    <w:rsid w:val="002F6BBB"/>
    <w:rsid w:val="002F6EDE"/>
    <w:rsid w:val="002F6FDE"/>
    <w:rsid w:val="002F791D"/>
    <w:rsid w:val="002F7B4C"/>
    <w:rsid w:val="00300487"/>
    <w:rsid w:val="00300A0A"/>
    <w:rsid w:val="0030124E"/>
    <w:rsid w:val="003013F6"/>
    <w:rsid w:val="00301C41"/>
    <w:rsid w:val="00301E32"/>
    <w:rsid w:val="0030275C"/>
    <w:rsid w:val="003029AC"/>
    <w:rsid w:val="00302BBB"/>
    <w:rsid w:val="00302C4D"/>
    <w:rsid w:val="00302EB7"/>
    <w:rsid w:val="00303847"/>
    <w:rsid w:val="0030388F"/>
    <w:rsid w:val="00303D63"/>
    <w:rsid w:val="0030407E"/>
    <w:rsid w:val="00304325"/>
    <w:rsid w:val="003047B9"/>
    <w:rsid w:val="00304837"/>
    <w:rsid w:val="003049CE"/>
    <w:rsid w:val="003049DF"/>
    <w:rsid w:val="00304B3E"/>
    <w:rsid w:val="00304FC8"/>
    <w:rsid w:val="003050DD"/>
    <w:rsid w:val="003056C3"/>
    <w:rsid w:val="003065F6"/>
    <w:rsid w:val="00306643"/>
    <w:rsid w:val="00306695"/>
    <w:rsid w:val="003069EE"/>
    <w:rsid w:val="00306CBB"/>
    <w:rsid w:val="00306FFD"/>
    <w:rsid w:val="00307103"/>
    <w:rsid w:val="0030771F"/>
    <w:rsid w:val="00307849"/>
    <w:rsid w:val="00307EF5"/>
    <w:rsid w:val="00310A68"/>
    <w:rsid w:val="003112FF"/>
    <w:rsid w:val="00311745"/>
    <w:rsid w:val="00311893"/>
    <w:rsid w:val="00311C79"/>
    <w:rsid w:val="0031213D"/>
    <w:rsid w:val="00312455"/>
    <w:rsid w:val="0031252D"/>
    <w:rsid w:val="00312600"/>
    <w:rsid w:val="00312693"/>
    <w:rsid w:val="0031357C"/>
    <w:rsid w:val="00313B0E"/>
    <w:rsid w:val="00313CED"/>
    <w:rsid w:val="00313FD3"/>
    <w:rsid w:val="0031400D"/>
    <w:rsid w:val="003143CA"/>
    <w:rsid w:val="00314B9B"/>
    <w:rsid w:val="00314D6D"/>
    <w:rsid w:val="00314F80"/>
    <w:rsid w:val="0031501E"/>
    <w:rsid w:val="00315071"/>
    <w:rsid w:val="00315ACF"/>
    <w:rsid w:val="00315D21"/>
    <w:rsid w:val="00315E3C"/>
    <w:rsid w:val="00316D80"/>
    <w:rsid w:val="00316FD8"/>
    <w:rsid w:val="003170DA"/>
    <w:rsid w:val="003171C9"/>
    <w:rsid w:val="00317490"/>
    <w:rsid w:val="00320040"/>
    <w:rsid w:val="0032004B"/>
    <w:rsid w:val="00320CBA"/>
    <w:rsid w:val="003213E5"/>
    <w:rsid w:val="00321A93"/>
    <w:rsid w:val="0032291F"/>
    <w:rsid w:val="0032298B"/>
    <w:rsid w:val="00322C85"/>
    <w:rsid w:val="00323A88"/>
    <w:rsid w:val="00324B07"/>
    <w:rsid w:val="00324EF8"/>
    <w:rsid w:val="00325036"/>
    <w:rsid w:val="003256A8"/>
    <w:rsid w:val="003258B8"/>
    <w:rsid w:val="00325DB3"/>
    <w:rsid w:val="00326179"/>
    <w:rsid w:val="00326826"/>
    <w:rsid w:val="00326B34"/>
    <w:rsid w:val="00326D44"/>
    <w:rsid w:val="00326DC5"/>
    <w:rsid w:val="00327D49"/>
    <w:rsid w:val="0033013B"/>
    <w:rsid w:val="00330152"/>
    <w:rsid w:val="003303B6"/>
    <w:rsid w:val="003306AF"/>
    <w:rsid w:val="00330727"/>
    <w:rsid w:val="00330E1F"/>
    <w:rsid w:val="00330EF6"/>
    <w:rsid w:val="00330F4E"/>
    <w:rsid w:val="00331A21"/>
    <w:rsid w:val="003320C9"/>
    <w:rsid w:val="00332266"/>
    <w:rsid w:val="003327CC"/>
    <w:rsid w:val="00332DFF"/>
    <w:rsid w:val="00332F0E"/>
    <w:rsid w:val="00333009"/>
    <w:rsid w:val="00333309"/>
    <w:rsid w:val="00333B76"/>
    <w:rsid w:val="003351B4"/>
    <w:rsid w:val="0033547F"/>
    <w:rsid w:val="00335521"/>
    <w:rsid w:val="003358D0"/>
    <w:rsid w:val="0033637F"/>
    <w:rsid w:val="00336762"/>
    <w:rsid w:val="00336B35"/>
    <w:rsid w:val="00336D86"/>
    <w:rsid w:val="00337037"/>
    <w:rsid w:val="00337055"/>
    <w:rsid w:val="003371B9"/>
    <w:rsid w:val="003372B7"/>
    <w:rsid w:val="0033747D"/>
    <w:rsid w:val="003374AD"/>
    <w:rsid w:val="00337C8B"/>
    <w:rsid w:val="00337D0D"/>
    <w:rsid w:val="003400AC"/>
    <w:rsid w:val="0034045E"/>
    <w:rsid w:val="0034081B"/>
    <w:rsid w:val="00340A2C"/>
    <w:rsid w:val="00340F3E"/>
    <w:rsid w:val="00341053"/>
    <w:rsid w:val="003410BC"/>
    <w:rsid w:val="00341881"/>
    <w:rsid w:val="003423D0"/>
    <w:rsid w:val="00342828"/>
    <w:rsid w:val="003428A1"/>
    <w:rsid w:val="003428AA"/>
    <w:rsid w:val="003429A8"/>
    <w:rsid w:val="00343589"/>
    <w:rsid w:val="00343A6A"/>
    <w:rsid w:val="00343AC5"/>
    <w:rsid w:val="00343B2B"/>
    <w:rsid w:val="00343CB6"/>
    <w:rsid w:val="00343D77"/>
    <w:rsid w:val="00344699"/>
    <w:rsid w:val="00344FD4"/>
    <w:rsid w:val="00345639"/>
    <w:rsid w:val="003459D9"/>
    <w:rsid w:val="00345D4C"/>
    <w:rsid w:val="00345DE1"/>
    <w:rsid w:val="003462C4"/>
    <w:rsid w:val="00346485"/>
    <w:rsid w:val="003465C8"/>
    <w:rsid w:val="003467A7"/>
    <w:rsid w:val="00346B7D"/>
    <w:rsid w:val="00346C4E"/>
    <w:rsid w:val="0034704A"/>
    <w:rsid w:val="00350482"/>
    <w:rsid w:val="00350579"/>
    <w:rsid w:val="0035076F"/>
    <w:rsid w:val="003508C6"/>
    <w:rsid w:val="00350BFB"/>
    <w:rsid w:val="00350CE9"/>
    <w:rsid w:val="00350D35"/>
    <w:rsid w:val="00350DFC"/>
    <w:rsid w:val="00350E7F"/>
    <w:rsid w:val="003515AA"/>
    <w:rsid w:val="00351995"/>
    <w:rsid w:val="00351DF2"/>
    <w:rsid w:val="00351EDB"/>
    <w:rsid w:val="00351F3D"/>
    <w:rsid w:val="003522C2"/>
    <w:rsid w:val="00352422"/>
    <w:rsid w:val="003527C0"/>
    <w:rsid w:val="003530BA"/>
    <w:rsid w:val="003534C9"/>
    <w:rsid w:val="0035352D"/>
    <w:rsid w:val="00353687"/>
    <w:rsid w:val="00353B70"/>
    <w:rsid w:val="00353D55"/>
    <w:rsid w:val="00353DEE"/>
    <w:rsid w:val="00353F0A"/>
    <w:rsid w:val="00354034"/>
    <w:rsid w:val="003541BC"/>
    <w:rsid w:val="00354484"/>
    <w:rsid w:val="00354B64"/>
    <w:rsid w:val="00354BF9"/>
    <w:rsid w:val="00354CE4"/>
    <w:rsid w:val="00354F66"/>
    <w:rsid w:val="00355647"/>
    <w:rsid w:val="00355BC0"/>
    <w:rsid w:val="00355BE1"/>
    <w:rsid w:val="00355FE9"/>
    <w:rsid w:val="0035676B"/>
    <w:rsid w:val="00356B7D"/>
    <w:rsid w:val="00356BE3"/>
    <w:rsid w:val="00357025"/>
    <w:rsid w:val="003572C2"/>
    <w:rsid w:val="003579DC"/>
    <w:rsid w:val="00357C7B"/>
    <w:rsid w:val="00357CD6"/>
    <w:rsid w:val="00360CA4"/>
    <w:rsid w:val="00361C8F"/>
    <w:rsid w:val="00362D19"/>
    <w:rsid w:val="00362FC3"/>
    <w:rsid w:val="0036339D"/>
    <w:rsid w:val="003634B0"/>
    <w:rsid w:val="003638E9"/>
    <w:rsid w:val="003646BB"/>
    <w:rsid w:val="00364B70"/>
    <w:rsid w:val="00364CED"/>
    <w:rsid w:val="0036500A"/>
    <w:rsid w:val="00365193"/>
    <w:rsid w:val="00365264"/>
    <w:rsid w:val="00365701"/>
    <w:rsid w:val="003657B5"/>
    <w:rsid w:val="00365D5B"/>
    <w:rsid w:val="00366453"/>
    <w:rsid w:val="00366637"/>
    <w:rsid w:val="00366B97"/>
    <w:rsid w:val="00366C5A"/>
    <w:rsid w:val="00366D0D"/>
    <w:rsid w:val="00366D49"/>
    <w:rsid w:val="00366E3D"/>
    <w:rsid w:val="00367134"/>
    <w:rsid w:val="003672C6"/>
    <w:rsid w:val="0036731B"/>
    <w:rsid w:val="003676EB"/>
    <w:rsid w:val="00367F26"/>
    <w:rsid w:val="003703E3"/>
    <w:rsid w:val="003705BA"/>
    <w:rsid w:val="00370662"/>
    <w:rsid w:val="003706B0"/>
    <w:rsid w:val="003707C6"/>
    <w:rsid w:val="00370D39"/>
    <w:rsid w:val="00370EA1"/>
    <w:rsid w:val="003716D7"/>
    <w:rsid w:val="00371C80"/>
    <w:rsid w:val="00371E33"/>
    <w:rsid w:val="003722D5"/>
    <w:rsid w:val="0037347A"/>
    <w:rsid w:val="003734D8"/>
    <w:rsid w:val="00373823"/>
    <w:rsid w:val="00373840"/>
    <w:rsid w:val="0037388A"/>
    <w:rsid w:val="003738C7"/>
    <w:rsid w:val="003738D4"/>
    <w:rsid w:val="003739A1"/>
    <w:rsid w:val="00373A17"/>
    <w:rsid w:val="00373BBE"/>
    <w:rsid w:val="003741A0"/>
    <w:rsid w:val="003741E1"/>
    <w:rsid w:val="00375033"/>
    <w:rsid w:val="00375132"/>
    <w:rsid w:val="00375647"/>
    <w:rsid w:val="003761B7"/>
    <w:rsid w:val="00376D31"/>
    <w:rsid w:val="00376EB6"/>
    <w:rsid w:val="00376EFD"/>
    <w:rsid w:val="00377029"/>
    <w:rsid w:val="00377733"/>
    <w:rsid w:val="00377790"/>
    <w:rsid w:val="00377FAF"/>
    <w:rsid w:val="003801BC"/>
    <w:rsid w:val="003805A0"/>
    <w:rsid w:val="0038090F"/>
    <w:rsid w:val="003809EB"/>
    <w:rsid w:val="00380BE3"/>
    <w:rsid w:val="00380DAD"/>
    <w:rsid w:val="00381318"/>
    <w:rsid w:val="003814FC"/>
    <w:rsid w:val="003819FD"/>
    <w:rsid w:val="0038206D"/>
    <w:rsid w:val="003823F1"/>
    <w:rsid w:val="003826AD"/>
    <w:rsid w:val="00382F01"/>
    <w:rsid w:val="00382F18"/>
    <w:rsid w:val="00382FBA"/>
    <w:rsid w:val="0038302A"/>
    <w:rsid w:val="00383589"/>
    <w:rsid w:val="00383608"/>
    <w:rsid w:val="00383DDD"/>
    <w:rsid w:val="003844C9"/>
    <w:rsid w:val="00384678"/>
    <w:rsid w:val="0038473C"/>
    <w:rsid w:val="00384BF5"/>
    <w:rsid w:val="00384FAA"/>
    <w:rsid w:val="003855E6"/>
    <w:rsid w:val="003863F7"/>
    <w:rsid w:val="003868B8"/>
    <w:rsid w:val="003874E4"/>
    <w:rsid w:val="00387691"/>
    <w:rsid w:val="00387738"/>
    <w:rsid w:val="003900C8"/>
    <w:rsid w:val="00390329"/>
    <w:rsid w:val="00390995"/>
    <w:rsid w:val="003911FB"/>
    <w:rsid w:val="0039180E"/>
    <w:rsid w:val="00392432"/>
    <w:rsid w:val="003924B7"/>
    <w:rsid w:val="003924C4"/>
    <w:rsid w:val="003924DC"/>
    <w:rsid w:val="00392610"/>
    <w:rsid w:val="003926D4"/>
    <w:rsid w:val="003929B9"/>
    <w:rsid w:val="00392B22"/>
    <w:rsid w:val="00392E6D"/>
    <w:rsid w:val="0039329A"/>
    <w:rsid w:val="003939B8"/>
    <w:rsid w:val="00393CD1"/>
    <w:rsid w:val="00393CF1"/>
    <w:rsid w:val="00393DCA"/>
    <w:rsid w:val="00394485"/>
    <w:rsid w:val="00394690"/>
    <w:rsid w:val="00394739"/>
    <w:rsid w:val="00394F2A"/>
    <w:rsid w:val="0039521D"/>
    <w:rsid w:val="003952F7"/>
    <w:rsid w:val="003954B4"/>
    <w:rsid w:val="003960AB"/>
    <w:rsid w:val="0039692A"/>
    <w:rsid w:val="00397832"/>
    <w:rsid w:val="00397980"/>
    <w:rsid w:val="003979F4"/>
    <w:rsid w:val="003A0195"/>
    <w:rsid w:val="003A060B"/>
    <w:rsid w:val="003A0796"/>
    <w:rsid w:val="003A0AC5"/>
    <w:rsid w:val="003A0CBA"/>
    <w:rsid w:val="003A1E02"/>
    <w:rsid w:val="003A2D4C"/>
    <w:rsid w:val="003A3932"/>
    <w:rsid w:val="003A3968"/>
    <w:rsid w:val="003A3E03"/>
    <w:rsid w:val="003A3FA3"/>
    <w:rsid w:val="003A4167"/>
    <w:rsid w:val="003A46E7"/>
    <w:rsid w:val="003A498E"/>
    <w:rsid w:val="003A4DB4"/>
    <w:rsid w:val="003A586D"/>
    <w:rsid w:val="003A5C18"/>
    <w:rsid w:val="003A5E5B"/>
    <w:rsid w:val="003A668C"/>
    <w:rsid w:val="003A66A2"/>
    <w:rsid w:val="003A6E0D"/>
    <w:rsid w:val="003A764B"/>
    <w:rsid w:val="003A7A51"/>
    <w:rsid w:val="003A7E12"/>
    <w:rsid w:val="003B041A"/>
    <w:rsid w:val="003B0C6D"/>
    <w:rsid w:val="003B0D90"/>
    <w:rsid w:val="003B0EA9"/>
    <w:rsid w:val="003B10AE"/>
    <w:rsid w:val="003B1979"/>
    <w:rsid w:val="003B228E"/>
    <w:rsid w:val="003B237D"/>
    <w:rsid w:val="003B2395"/>
    <w:rsid w:val="003B274C"/>
    <w:rsid w:val="003B2BE8"/>
    <w:rsid w:val="003B2D9E"/>
    <w:rsid w:val="003B3082"/>
    <w:rsid w:val="003B3276"/>
    <w:rsid w:val="003B334F"/>
    <w:rsid w:val="003B398C"/>
    <w:rsid w:val="003B3CE3"/>
    <w:rsid w:val="003B3D2B"/>
    <w:rsid w:val="003B3EB3"/>
    <w:rsid w:val="003B43B5"/>
    <w:rsid w:val="003B4546"/>
    <w:rsid w:val="003B49AF"/>
    <w:rsid w:val="003B4CBC"/>
    <w:rsid w:val="003B4F49"/>
    <w:rsid w:val="003B572C"/>
    <w:rsid w:val="003B58E1"/>
    <w:rsid w:val="003B5CBD"/>
    <w:rsid w:val="003B60E2"/>
    <w:rsid w:val="003B6C53"/>
    <w:rsid w:val="003B6D6D"/>
    <w:rsid w:val="003B70EF"/>
    <w:rsid w:val="003B78FD"/>
    <w:rsid w:val="003B7EA6"/>
    <w:rsid w:val="003C0821"/>
    <w:rsid w:val="003C0C9B"/>
    <w:rsid w:val="003C0E82"/>
    <w:rsid w:val="003C130C"/>
    <w:rsid w:val="003C1496"/>
    <w:rsid w:val="003C151E"/>
    <w:rsid w:val="003C17DF"/>
    <w:rsid w:val="003C1900"/>
    <w:rsid w:val="003C1D4F"/>
    <w:rsid w:val="003C2118"/>
    <w:rsid w:val="003C2180"/>
    <w:rsid w:val="003C28E2"/>
    <w:rsid w:val="003C2ACD"/>
    <w:rsid w:val="003C3529"/>
    <w:rsid w:val="003C358E"/>
    <w:rsid w:val="003C36F1"/>
    <w:rsid w:val="003C3E00"/>
    <w:rsid w:val="003C3F9B"/>
    <w:rsid w:val="003C4916"/>
    <w:rsid w:val="003C4A10"/>
    <w:rsid w:val="003C4B84"/>
    <w:rsid w:val="003C4C15"/>
    <w:rsid w:val="003C5055"/>
    <w:rsid w:val="003C5357"/>
    <w:rsid w:val="003C548A"/>
    <w:rsid w:val="003C54F8"/>
    <w:rsid w:val="003C5580"/>
    <w:rsid w:val="003C5BEA"/>
    <w:rsid w:val="003C60F6"/>
    <w:rsid w:val="003C67C4"/>
    <w:rsid w:val="003C6E24"/>
    <w:rsid w:val="003C7987"/>
    <w:rsid w:val="003C7C6D"/>
    <w:rsid w:val="003C7F20"/>
    <w:rsid w:val="003C7F2C"/>
    <w:rsid w:val="003C7FD7"/>
    <w:rsid w:val="003D070A"/>
    <w:rsid w:val="003D0852"/>
    <w:rsid w:val="003D0C0A"/>
    <w:rsid w:val="003D0D3B"/>
    <w:rsid w:val="003D1207"/>
    <w:rsid w:val="003D14F1"/>
    <w:rsid w:val="003D1F1E"/>
    <w:rsid w:val="003D2532"/>
    <w:rsid w:val="003D25EC"/>
    <w:rsid w:val="003D278D"/>
    <w:rsid w:val="003D2A67"/>
    <w:rsid w:val="003D2AD1"/>
    <w:rsid w:val="003D31A3"/>
    <w:rsid w:val="003D3380"/>
    <w:rsid w:val="003D3462"/>
    <w:rsid w:val="003D4017"/>
    <w:rsid w:val="003D41A3"/>
    <w:rsid w:val="003D45A5"/>
    <w:rsid w:val="003D4A1D"/>
    <w:rsid w:val="003D4C52"/>
    <w:rsid w:val="003D4CDB"/>
    <w:rsid w:val="003D4EE6"/>
    <w:rsid w:val="003D5004"/>
    <w:rsid w:val="003D54C1"/>
    <w:rsid w:val="003D591A"/>
    <w:rsid w:val="003D5C34"/>
    <w:rsid w:val="003D5C54"/>
    <w:rsid w:val="003D6043"/>
    <w:rsid w:val="003D6E14"/>
    <w:rsid w:val="003D70C2"/>
    <w:rsid w:val="003D7A09"/>
    <w:rsid w:val="003D7DB0"/>
    <w:rsid w:val="003E0017"/>
    <w:rsid w:val="003E03FA"/>
    <w:rsid w:val="003E0A40"/>
    <w:rsid w:val="003E0D2C"/>
    <w:rsid w:val="003E18A3"/>
    <w:rsid w:val="003E22B9"/>
    <w:rsid w:val="003E23B9"/>
    <w:rsid w:val="003E2426"/>
    <w:rsid w:val="003E261A"/>
    <w:rsid w:val="003E2D04"/>
    <w:rsid w:val="003E2D53"/>
    <w:rsid w:val="003E336C"/>
    <w:rsid w:val="003E3800"/>
    <w:rsid w:val="003E43B9"/>
    <w:rsid w:val="003E5001"/>
    <w:rsid w:val="003E510F"/>
    <w:rsid w:val="003E52C7"/>
    <w:rsid w:val="003E5377"/>
    <w:rsid w:val="003E59D5"/>
    <w:rsid w:val="003E68B1"/>
    <w:rsid w:val="003E6AFD"/>
    <w:rsid w:val="003E6C80"/>
    <w:rsid w:val="003E6DD7"/>
    <w:rsid w:val="003E6E21"/>
    <w:rsid w:val="003E7158"/>
    <w:rsid w:val="003E73D3"/>
    <w:rsid w:val="003E7A50"/>
    <w:rsid w:val="003F05D1"/>
    <w:rsid w:val="003F0A39"/>
    <w:rsid w:val="003F16F9"/>
    <w:rsid w:val="003F19A1"/>
    <w:rsid w:val="003F1C17"/>
    <w:rsid w:val="003F1E2C"/>
    <w:rsid w:val="003F1ECA"/>
    <w:rsid w:val="003F21F9"/>
    <w:rsid w:val="003F272D"/>
    <w:rsid w:val="003F2A77"/>
    <w:rsid w:val="003F2EE1"/>
    <w:rsid w:val="003F2EE5"/>
    <w:rsid w:val="003F3974"/>
    <w:rsid w:val="003F4116"/>
    <w:rsid w:val="003F4201"/>
    <w:rsid w:val="003F440A"/>
    <w:rsid w:val="003F4A5D"/>
    <w:rsid w:val="003F51BC"/>
    <w:rsid w:val="003F52D6"/>
    <w:rsid w:val="003F563C"/>
    <w:rsid w:val="003F58E1"/>
    <w:rsid w:val="003F58EA"/>
    <w:rsid w:val="003F5DCB"/>
    <w:rsid w:val="003F5EC0"/>
    <w:rsid w:val="003F6199"/>
    <w:rsid w:val="003F61BC"/>
    <w:rsid w:val="003F63D7"/>
    <w:rsid w:val="003F643F"/>
    <w:rsid w:val="003F67C7"/>
    <w:rsid w:val="003F69BC"/>
    <w:rsid w:val="003F722F"/>
    <w:rsid w:val="003F7304"/>
    <w:rsid w:val="003F769A"/>
    <w:rsid w:val="003F797C"/>
    <w:rsid w:val="003F7A8D"/>
    <w:rsid w:val="003F7C16"/>
    <w:rsid w:val="003F7C29"/>
    <w:rsid w:val="003F7C56"/>
    <w:rsid w:val="003F7DDA"/>
    <w:rsid w:val="003F7E15"/>
    <w:rsid w:val="004007EB"/>
    <w:rsid w:val="0040132C"/>
    <w:rsid w:val="0040187B"/>
    <w:rsid w:val="0040192E"/>
    <w:rsid w:val="00401A07"/>
    <w:rsid w:val="004028FB"/>
    <w:rsid w:val="00402C4A"/>
    <w:rsid w:val="00403245"/>
    <w:rsid w:val="004033D2"/>
    <w:rsid w:val="00403598"/>
    <w:rsid w:val="00403789"/>
    <w:rsid w:val="0040450B"/>
    <w:rsid w:val="00404A38"/>
    <w:rsid w:val="00404C42"/>
    <w:rsid w:val="00404D58"/>
    <w:rsid w:val="004050C5"/>
    <w:rsid w:val="004052C7"/>
    <w:rsid w:val="00405A60"/>
    <w:rsid w:val="00405EDC"/>
    <w:rsid w:val="00405FA4"/>
    <w:rsid w:val="0040607A"/>
    <w:rsid w:val="004062D8"/>
    <w:rsid w:val="004062EF"/>
    <w:rsid w:val="00406486"/>
    <w:rsid w:val="00406639"/>
    <w:rsid w:val="00406C12"/>
    <w:rsid w:val="00406CB7"/>
    <w:rsid w:val="00406EB9"/>
    <w:rsid w:val="00406FF0"/>
    <w:rsid w:val="00407279"/>
    <w:rsid w:val="00407300"/>
    <w:rsid w:val="00407347"/>
    <w:rsid w:val="00407A59"/>
    <w:rsid w:val="00407F3D"/>
    <w:rsid w:val="004103FB"/>
    <w:rsid w:val="004108F3"/>
    <w:rsid w:val="00410AA4"/>
    <w:rsid w:val="00410C36"/>
    <w:rsid w:val="004118FD"/>
    <w:rsid w:val="00411D05"/>
    <w:rsid w:val="00411E65"/>
    <w:rsid w:val="00411EDB"/>
    <w:rsid w:val="00412207"/>
    <w:rsid w:val="0041229B"/>
    <w:rsid w:val="004122AB"/>
    <w:rsid w:val="004125C6"/>
    <w:rsid w:val="004129ED"/>
    <w:rsid w:val="00412BB2"/>
    <w:rsid w:val="00412FE7"/>
    <w:rsid w:val="00413253"/>
    <w:rsid w:val="00413B4F"/>
    <w:rsid w:val="00413C08"/>
    <w:rsid w:val="00413C88"/>
    <w:rsid w:val="004143DE"/>
    <w:rsid w:val="00414CFA"/>
    <w:rsid w:val="00415011"/>
    <w:rsid w:val="0041521B"/>
    <w:rsid w:val="004155CE"/>
    <w:rsid w:val="00415F36"/>
    <w:rsid w:val="00416429"/>
    <w:rsid w:val="00416C07"/>
    <w:rsid w:val="00416E36"/>
    <w:rsid w:val="0041735D"/>
    <w:rsid w:val="0041760F"/>
    <w:rsid w:val="004179E0"/>
    <w:rsid w:val="00417FA1"/>
    <w:rsid w:val="00417FBF"/>
    <w:rsid w:val="00420763"/>
    <w:rsid w:val="0042099B"/>
    <w:rsid w:val="00420DC0"/>
    <w:rsid w:val="00420F18"/>
    <w:rsid w:val="00420F9C"/>
    <w:rsid w:val="0042175D"/>
    <w:rsid w:val="00421856"/>
    <w:rsid w:val="00421979"/>
    <w:rsid w:val="004219BD"/>
    <w:rsid w:val="00421FAA"/>
    <w:rsid w:val="00422788"/>
    <w:rsid w:val="004228D9"/>
    <w:rsid w:val="004230D1"/>
    <w:rsid w:val="004232F1"/>
    <w:rsid w:val="00423658"/>
    <w:rsid w:val="004236EA"/>
    <w:rsid w:val="00423817"/>
    <w:rsid w:val="00423B9B"/>
    <w:rsid w:val="00423CFC"/>
    <w:rsid w:val="0042435A"/>
    <w:rsid w:val="004245ED"/>
    <w:rsid w:val="00424898"/>
    <w:rsid w:val="00424A41"/>
    <w:rsid w:val="00424C27"/>
    <w:rsid w:val="004250EE"/>
    <w:rsid w:val="004255E2"/>
    <w:rsid w:val="00425B54"/>
    <w:rsid w:val="00425FDC"/>
    <w:rsid w:val="00427296"/>
    <w:rsid w:val="00427442"/>
    <w:rsid w:val="00427D89"/>
    <w:rsid w:val="00427F9C"/>
    <w:rsid w:val="004300B5"/>
    <w:rsid w:val="00430A3E"/>
    <w:rsid w:val="00430C15"/>
    <w:rsid w:val="00430CB0"/>
    <w:rsid w:val="00431C92"/>
    <w:rsid w:val="00432547"/>
    <w:rsid w:val="0043350A"/>
    <w:rsid w:val="00433D73"/>
    <w:rsid w:val="0043404D"/>
    <w:rsid w:val="00434DD2"/>
    <w:rsid w:val="0043567B"/>
    <w:rsid w:val="00436152"/>
    <w:rsid w:val="00436328"/>
    <w:rsid w:val="0043649E"/>
    <w:rsid w:val="00436CFF"/>
    <w:rsid w:val="00436E0E"/>
    <w:rsid w:val="00436E2B"/>
    <w:rsid w:val="00436ED1"/>
    <w:rsid w:val="00436F07"/>
    <w:rsid w:val="0043761F"/>
    <w:rsid w:val="004377D7"/>
    <w:rsid w:val="00440638"/>
    <w:rsid w:val="00441621"/>
    <w:rsid w:val="004419B9"/>
    <w:rsid w:val="00441BE0"/>
    <w:rsid w:val="00441D49"/>
    <w:rsid w:val="00441DC2"/>
    <w:rsid w:val="0044257C"/>
    <w:rsid w:val="00442A7C"/>
    <w:rsid w:val="00442AE7"/>
    <w:rsid w:val="00442F71"/>
    <w:rsid w:val="00443683"/>
    <w:rsid w:val="004438B6"/>
    <w:rsid w:val="00444227"/>
    <w:rsid w:val="004444B4"/>
    <w:rsid w:val="004446A7"/>
    <w:rsid w:val="004448A4"/>
    <w:rsid w:val="00444BAC"/>
    <w:rsid w:val="00445289"/>
    <w:rsid w:val="004452B2"/>
    <w:rsid w:val="004454E0"/>
    <w:rsid w:val="00445B5A"/>
    <w:rsid w:val="00445BFA"/>
    <w:rsid w:val="00445C93"/>
    <w:rsid w:val="00445E17"/>
    <w:rsid w:val="00445FDA"/>
    <w:rsid w:val="0044618A"/>
    <w:rsid w:val="00447380"/>
    <w:rsid w:val="00450250"/>
    <w:rsid w:val="004503EF"/>
    <w:rsid w:val="00450C46"/>
    <w:rsid w:val="00451ACC"/>
    <w:rsid w:val="00451AF4"/>
    <w:rsid w:val="00452E06"/>
    <w:rsid w:val="00453261"/>
    <w:rsid w:val="004537FF"/>
    <w:rsid w:val="00453E52"/>
    <w:rsid w:val="004547AC"/>
    <w:rsid w:val="00454E46"/>
    <w:rsid w:val="00455303"/>
    <w:rsid w:val="00455401"/>
    <w:rsid w:val="00455CF0"/>
    <w:rsid w:val="00455DB4"/>
    <w:rsid w:val="00456540"/>
    <w:rsid w:val="00456772"/>
    <w:rsid w:val="004567B9"/>
    <w:rsid w:val="00456A0B"/>
    <w:rsid w:val="00456AC0"/>
    <w:rsid w:val="00456CD4"/>
    <w:rsid w:val="0045721F"/>
    <w:rsid w:val="0045761B"/>
    <w:rsid w:val="00457C1D"/>
    <w:rsid w:val="0046100B"/>
    <w:rsid w:val="00461038"/>
    <w:rsid w:val="00461434"/>
    <w:rsid w:val="004618A8"/>
    <w:rsid w:val="0046197F"/>
    <w:rsid w:val="0046205B"/>
    <w:rsid w:val="00462104"/>
    <w:rsid w:val="0046240C"/>
    <w:rsid w:val="00462A11"/>
    <w:rsid w:val="00463748"/>
    <w:rsid w:val="004639FD"/>
    <w:rsid w:val="004642A9"/>
    <w:rsid w:val="00464E7F"/>
    <w:rsid w:val="00464F9D"/>
    <w:rsid w:val="0046598B"/>
    <w:rsid w:val="00465E0F"/>
    <w:rsid w:val="00465ED3"/>
    <w:rsid w:val="0046603E"/>
    <w:rsid w:val="00466541"/>
    <w:rsid w:val="00466881"/>
    <w:rsid w:val="00466E71"/>
    <w:rsid w:val="00467C1F"/>
    <w:rsid w:val="0047030D"/>
    <w:rsid w:val="00470D8C"/>
    <w:rsid w:val="00471042"/>
    <w:rsid w:val="004717DF"/>
    <w:rsid w:val="00471D0E"/>
    <w:rsid w:val="00471F19"/>
    <w:rsid w:val="00472223"/>
    <w:rsid w:val="00472F43"/>
    <w:rsid w:val="004730F3"/>
    <w:rsid w:val="004734ED"/>
    <w:rsid w:val="004736EB"/>
    <w:rsid w:val="004739B5"/>
    <w:rsid w:val="00473B36"/>
    <w:rsid w:val="00473C49"/>
    <w:rsid w:val="00474174"/>
    <w:rsid w:val="00474497"/>
    <w:rsid w:val="004744B9"/>
    <w:rsid w:val="0047491D"/>
    <w:rsid w:val="00474E6A"/>
    <w:rsid w:val="00474EBB"/>
    <w:rsid w:val="0047558D"/>
    <w:rsid w:val="00475BCA"/>
    <w:rsid w:val="00475F7B"/>
    <w:rsid w:val="004766AF"/>
    <w:rsid w:val="00476AB5"/>
    <w:rsid w:val="00476C02"/>
    <w:rsid w:val="004776C1"/>
    <w:rsid w:val="00477761"/>
    <w:rsid w:val="00477ACB"/>
    <w:rsid w:val="00477BE0"/>
    <w:rsid w:val="00477EE1"/>
    <w:rsid w:val="00477F2C"/>
    <w:rsid w:val="00480CAC"/>
    <w:rsid w:val="00480E71"/>
    <w:rsid w:val="0048127F"/>
    <w:rsid w:val="004812D8"/>
    <w:rsid w:val="00481576"/>
    <w:rsid w:val="004817A6"/>
    <w:rsid w:val="00481DE4"/>
    <w:rsid w:val="00483266"/>
    <w:rsid w:val="004834B7"/>
    <w:rsid w:val="00483628"/>
    <w:rsid w:val="00483EF1"/>
    <w:rsid w:val="00484051"/>
    <w:rsid w:val="004848F8"/>
    <w:rsid w:val="00484957"/>
    <w:rsid w:val="00484B6A"/>
    <w:rsid w:val="0048509A"/>
    <w:rsid w:val="004852B2"/>
    <w:rsid w:val="004853EA"/>
    <w:rsid w:val="0048595C"/>
    <w:rsid w:val="00485DDE"/>
    <w:rsid w:val="00485FBD"/>
    <w:rsid w:val="00486697"/>
    <w:rsid w:val="00486F0D"/>
    <w:rsid w:val="0048745F"/>
    <w:rsid w:val="00487D14"/>
    <w:rsid w:val="004901B4"/>
    <w:rsid w:val="00490572"/>
    <w:rsid w:val="00490C47"/>
    <w:rsid w:val="00490E0B"/>
    <w:rsid w:val="00490FBB"/>
    <w:rsid w:val="00491733"/>
    <w:rsid w:val="00491960"/>
    <w:rsid w:val="00491BCA"/>
    <w:rsid w:val="00491E90"/>
    <w:rsid w:val="00491EE4"/>
    <w:rsid w:val="00492622"/>
    <w:rsid w:val="00492D80"/>
    <w:rsid w:val="0049346A"/>
    <w:rsid w:val="004935F5"/>
    <w:rsid w:val="00493C93"/>
    <w:rsid w:val="00493EC6"/>
    <w:rsid w:val="00493FB8"/>
    <w:rsid w:val="00494133"/>
    <w:rsid w:val="004942A9"/>
    <w:rsid w:val="0049463A"/>
    <w:rsid w:val="00495147"/>
    <w:rsid w:val="00495244"/>
    <w:rsid w:val="0049583D"/>
    <w:rsid w:val="004959DF"/>
    <w:rsid w:val="004960E0"/>
    <w:rsid w:val="00496B32"/>
    <w:rsid w:val="0049706D"/>
    <w:rsid w:val="004970B5"/>
    <w:rsid w:val="00497557"/>
    <w:rsid w:val="00497CFE"/>
    <w:rsid w:val="004A0366"/>
    <w:rsid w:val="004A03D0"/>
    <w:rsid w:val="004A05BC"/>
    <w:rsid w:val="004A0611"/>
    <w:rsid w:val="004A06A7"/>
    <w:rsid w:val="004A1806"/>
    <w:rsid w:val="004A18D9"/>
    <w:rsid w:val="004A1A89"/>
    <w:rsid w:val="004A2033"/>
    <w:rsid w:val="004A296B"/>
    <w:rsid w:val="004A29B2"/>
    <w:rsid w:val="004A29BF"/>
    <w:rsid w:val="004A2F69"/>
    <w:rsid w:val="004A3528"/>
    <w:rsid w:val="004A39B0"/>
    <w:rsid w:val="004A3E71"/>
    <w:rsid w:val="004A43C4"/>
    <w:rsid w:val="004A463A"/>
    <w:rsid w:val="004A4D3D"/>
    <w:rsid w:val="004A528D"/>
    <w:rsid w:val="004A5740"/>
    <w:rsid w:val="004A5A41"/>
    <w:rsid w:val="004A6BEB"/>
    <w:rsid w:val="004A6EA6"/>
    <w:rsid w:val="004A735D"/>
    <w:rsid w:val="004A75E8"/>
    <w:rsid w:val="004A763B"/>
    <w:rsid w:val="004A78BF"/>
    <w:rsid w:val="004A7B76"/>
    <w:rsid w:val="004A7CEC"/>
    <w:rsid w:val="004A7DEE"/>
    <w:rsid w:val="004A7F26"/>
    <w:rsid w:val="004B0364"/>
    <w:rsid w:val="004B0539"/>
    <w:rsid w:val="004B128A"/>
    <w:rsid w:val="004B1422"/>
    <w:rsid w:val="004B1FA5"/>
    <w:rsid w:val="004B214C"/>
    <w:rsid w:val="004B2404"/>
    <w:rsid w:val="004B2606"/>
    <w:rsid w:val="004B2C9D"/>
    <w:rsid w:val="004B420B"/>
    <w:rsid w:val="004B44A9"/>
    <w:rsid w:val="004B4794"/>
    <w:rsid w:val="004B4CFF"/>
    <w:rsid w:val="004B4D65"/>
    <w:rsid w:val="004B53C8"/>
    <w:rsid w:val="004B5AAC"/>
    <w:rsid w:val="004B5CA3"/>
    <w:rsid w:val="004B61DB"/>
    <w:rsid w:val="004B7118"/>
    <w:rsid w:val="004B72F8"/>
    <w:rsid w:val="004B7A12"/>
    <w:rsid w:val="004B7BF9"/>
    <w:rsid w:val="004B7C55"/>
    <w:rsid w:val="004B7E1E"/>
    <w:rsid w:val="004C0459"/>
    <w:rsid w:val="004C0EC8"/>
    <w:rsid w:val="004C1974"/>
    <w:rsid w:val="004C1C33"/>
    <w:rsid w:val="004C1D3A"/>
    <w:rsid w:val="004C1DB1"/>
    <w:rsid w:val="004C254B"/>
    <w:rsid w:val="004C263F"/>
    <w:rsid w:val="004C27EF"/>
    <w:rsid w:val="004C2980"/>
    <w:rsid w:val="004C2AD3"/>
    <w:rsid w:val="004C2C5E"/>
    <w:rsid w:val="004C2D62"/>
    <w:rsid w:val="004C3438"/>
    <w:rsid w:val="004C3C22"/>
    <w:rsid w:val="004C3CE4"/>
    <w:rsid w:val="004C3E8F"/>
    <w:rsid w:val="004C41E1"/>
    <w:rsid w:val="004C43E7"/>
    <w:rsid w:val="004C4736"/>
    <w:rsid w:val="004C4DCF"/>
    <w:rsid w:val="004C537C"/>
    <w:rsid w:val="004C54DA"/>
    <w:rsid w:val="004C5799"/>
    <w:rsid w:val="004C58A7"/>
    <w:rsid w:val="004C5A4F"/>
    <w:rsid w:val="004C5B51"/>
    <w:rsid w:val="004C5F63"/>
    <w:rsid w:val="004C608C"/>
    <w:rsid w:val="004C636D"/>
    <w:rsid w:val="004C669F"/>
    <w:rsid w:val="004C6A29"/>
    <w:rsid w:val="004C6B43"/>
    <w:rsid w:val="004C721C"/>
    <w:rsid w:val="004C7458"/>
    <w:rsid w:val="004C7743"/>
    <w:rsid w:val="004C7810"/>
    <w:rsid w:val="004D01B9"/>
    <w:rsid w:val="004D0781"/>
    <w:rsid w:val="004D0C08"/>
    <w:rsid w:val="004D0F69"/>
    <w:rsid w:val="004D1135"/>
    <w:rsid w:val="004D1583"/>
    <w:rsid w:val="004D1893"/>
    <w:rsid w:val="004D254C"/>
    <w:rsid w:val="004D2748"/>
    <w:rsid w:val="004D2791"/>
    <w:rsid w:val="004D2B15"/>
    <w:rsid w:val="004D2E4C"/>
    <w:rsid w:val="004D2FDE"/>
    <w:rsid w:val="004D30AB"/>
    <w:rsid w:val="004D3534"/>
    <w:rsid w:val="004D3B53"/>
    <w:rsid w:val="004D4083"/>
    <w:rsid w:val="004D4625"/>
    <w:rsid w:val="004D4847"/>
    <w:rsid w:val="004D4BDC"/>
    <w:rsid w:val="004D4C12"/>
    <w:rsid w:val="004D4F91"/>
    <w:rsid w:val="004D578C"/>
    <w:rsid w:val="004D5A1D"/>
    <w:rsid w:val="004D62A6"/>
    <w:rsid w:val="004D7204"/>
    <w:rsid w:val="004D7458"/>
    <w:rsid w:val="004D7895"/>
    <w:rsid w:val="004D7ACA"/>
    <w:rsid w:val="004D7BF5"/>
    <w:rsid w:val="004D7F51"/>
    <w:rsid w:val="004D7FCF"/>
    <w:rsid w:val="004E0174"/>
    <w:rsid w:val="004E044C"/>
    <w:rsid w:val="004E04AE"/>
    <w:rsid w:val="004E0781"/>
    <w:rsid w:val="004E09E2"/>
    <w:rsid w:val="004E0A23"/>
    <w:rsid w:val="004E0C8E"/>
    <w:rsid w:val="004E0FAB"/>
    <w:rsid w:val="004E172B"/>
    <w:rsid w:val="004E1FD2"/>
    <w:rsid w:val="004E20C5"/>
    <w:rsid w:val="004E25C6"/>
    <w:rsid w:val="004E2ACF"/>
    <w:rsid w:val="004E2B22"/>
    <w:rsid w:val="004E31F6"/>
    <w:rsid w:val="004E3478"/>
    <w:rsid w:val="004E35B9"/>
    <w:rsid w:val="004E3ABF"/>
    <w:rsid w:val="004E4064"/>
    <w:rsid w:val="004E45EC"/>
    <w:rsid w:val="004E4752"/>
    <w:rsid w:val="004E49CC"/>
    <w:rsid w:val="004E4EA9"/>
    <w:rsid w:val="004E501E"/>
    <w:rsid w:val="004E56EA"/>
    <w:rsid w:val="004E5822"/>
    <w:rsid w:val="004E6298"/>
    <w:rsid w:val="004E63BD"/>
    <w:rsid w:val="004E65B4"/>
    <w:rsid w:val="004E689E"/>
    <w:rsid w:val="004E725E"/>
    <w:rsid w:val="004E7CD0"/>
    <w:rsid w:val="004F0431"/>
    <w:rsid w:val="004F089C"/>
    <w:rsid w:val="004F0E6D"/>
    <w:rsid w:val="004F1155"/>
    <w:rsid w:val="004F1415"/>
    <w:rsid w:val="004F158D"/>
    <w:rsid w:val="004F15D2"/>
    <w:rsid w:val="004F17D2"/>
    <w:rsid w:val="004F241C"/>
    <w:rsid w:val="004F24D9"/>
    <w:rsid w:val="004F26E6"/>
    <w:rsid w:val="004F27A6"/>
    <w:rsid w:val="004F2A55"/>
    <w:rsid w:val="004F37EA"/>
    <w:rsid w:val="004F3DF8"/>
    <w:rsid w:val="004F3E21"/>
    <w:rsid w:val="004F3EE6"/>
    <w:rsid w:val="004F401F"/>
    <w:rsid w:val="004F4174"/>
    <w:rsid w:val="004F448F"/>
    <w:rsid w:val="004F528A"/>
    <w:rsid w:val="004F579C"/>
    <w:rsid w:val="004F5AD6"/>
    <w:rsid w:val="004F5DC6"/>
    <w:rsid w:val="004F5E8A"/>
    <w:rsid w:val="004F5FE7"/>
    <w:rsid w:val="004F647B"/>
    <w:rsid w:val="004F6482"/>
    <w:rsid w:val="004F73E7"/>
    <w:rsid w:val="004F7D57"/>
    <w:rsid w:val="00500AED"/>
    <w:rsid w:val="00500EE3"/>
    <w:rsid w:val="00500F5A"/>
    <w:rsid w:val="005010F5"/>
    <w:rsid w:val="00501B07"/>
    <w:rsid w:val="00501D5A"/>
    <w:rsid w:val="0050247B"/>
    <w:rsid w:val="005025B8"/>
    <w:rsid w:val="005025FA"/>
    <w:rsid w:val="0050266D"/>
    <w:rsid w:val="0050297D"/>
    <w:rsid w:val="005032C2"/>
    <w:rsid w:val="005035B2"/>
    <w:rsid w:val="00503AC3"/>
    <w:rsid w:val="00504600"/>
    <w:rsid w:val="005052CE"/>
    <w:rsid w:val="005056EC"/>
    <w:rsid w:val="00505A8C"/>
    <w:rsid w:val="00505C28"/>
    <w:rsid w:val="00505C4E"/>
    <w:rsid w:val="00505FAF"/>
    <w:rsid w:val="00506467"/>
    <w:rsid w:val="005109DB"/>
    <w:rsid w:val="00510FC5"/>
    <w:rsid w:val="00511314"/>
    <w:rsid w:val="005116EE"/>
    <w:rsid w:val="0051178F"/>
    <w:rsid w:val="00511A0B"/>
    <w:rsid w:val="00512220"/>
    <w:rsid w:val="005122C5"/>
    <w:rsid w:val="005122CB"/>
    <w:rsid w:val="0051294A"/>
    <w:rsid w:val="00512D60"/>
    <w:rsid w:val="00513117"/>
    <w:rsid w:val="00513820"/>
    <w:rsid w:val="00514241"/>
    <w:rsid w:val="00514340"/>
    <w:rsid w:val="00514473"/>
    <w:rsid w:val="005145A1"/>
    <w:rsid w:val="005149C1"/>
    <w:rsid w:val="00514B3A"/>
    <w:rsid w:val="00514E53"/>
    <w:rsid w:val="0051509D"/>
    <w:rsid w:val="0051521B"/>
    <w:rsid w:val="005154A3"/>
    <w:rsid w:val="005157EC"/>
    <w:rsid w:val="00515894"/>
    <w:rsid w:val="005158CF"/>
    <w:rsid w:val="00515ABD"/>
    <w:rsid w:val="00515E12"/>
    <w:rsid w:val="00517018"/>
    <w:rsid w:val="00517063"/>
    <w:rsid w:val="00517819"/>
    <w:rsid w:val="00517A16"/>
    <w:rsid w:val="00517DA1"/>
    <w:rsid w:val="005200CF"/>
    <w:rsid w:val="005201C0"/>
    <w:rsid w:val="0052020F"/>
    <w:rsid w:val="00520299"/>
    <w:rsid w:val="00520ECD"/>
    <w:rsid w:val="00521ED2"/>
    <w:rsid w:val="00521F8E"/>
    <w:rsid w:val="0052235D"/>
    <w:rsid w:val="0052237A"/>
    <w:rsid w:val="005223F2"/>
    <w:rsid w:val="005226F0"/>
    <w:rsid w:val="005227CE"/>
    <w:rsid w:val="00523188"/>
    <w:rsid w:val="005231A1"/>
    <w:rsid w:val="00523248"/>
    <w:rsid w:val="005234DA"/>
    <w:rsid w:val="00523543"/>
    <w:rsid w:val="0052368E"/>
    <w:rsid w:val="0052369C"/>
    <w:rsid w:val="00523CD6"/>
    <w:rsid w:val="00524167"/>
    <w:rsid w:val="00524174"/>
    <w:rsid w:val="005246FF"/>
    <w:rsid w:val="005249F0"/>
    <w:rsid w:val="00524D98"/>
    <w:rsid w:val="005254A0"/>
    <w:rsid w:val="005254F4"/>
    <w:rsid w:val="00525678"/>
    <w:rsid w:val="00525F87"/>
    <w:rsid w:val="0052638D"/>
    <w:rsid w:val="0052683A"/>
    <w:rsid w:val="00526ADC"/>
    <w:rsid w:val="00527335"/>
    <w:rsid w:val="00527550"/>
    <w:rsid w:val="005279A8"/>
    <w:rsid w:val="00527D67"/>
    <w:rsid w:val="00527DBD"/>
    <w:rsid w:val="0053000A"/>
    <w:rsid w:val="005300B6"/>
    <w:rsid w:val="005302E3"/>
    <w:rsid w:val="005303F8"/>
    <w:rsid w:val="0053060E"/>
    <w:rsid w:val="00530C1A"/>
    <w:rsid w:val="00530E1B"/>
    <w:rsid w:val="00531713"/>
    <w:rsid w:val="00531AB2"/>
    <w:rsid w:val="00531AB8"/>
    <w:rsid w:val="005325BA"/>
    <w:rsid w:val="00532A49"/>
    <w:rsid w:val="00532B3E"/>
    <w:rsid w:val="00532F9D"/>
    <w:rsid w:val="00533474"/>
    <w:rsid w:val="0053364F"/>
    <w:rsid w:val="005336B8"/>
    <w:rsid w:val="0053392A"/>
    <w:rsid w:val="00533BD1"/>
    <w:rsid w:val="00533E2B"/>
    <w:rsid w:val="00534C31"/>
    <w:rsid w:val="00535042"/>
    <w:rsid w:val="00535304"/>
    <w:rsid w:val="0053558C"/>
    <w:rsid w:val="0053560B"/>
    <w:rsid w:val="00536048"/>
    <w:rsid w:val="005361DB"/>
    <w:rsid w:val="005362F1"/>
    <w:rsid w:val="00536977"/>
    <w:rsid w:val="00536A1F"/>
    <w:rsid w:val="00537073"/>
    <w:rsid w:val="00537419"/>
    <w:rsid w:val="005376D8"/>
    <w:rsid w:val="005405B4"/>
    <w:rsid w:val="00540B61"/>
    <w:rsid w:val="00540F2F"/>
    <w:rsid w:val="0054107C"/>
    <w:rsid w:val="0054157E"/>
    <w:rsid w:val="00541DC8"/>
    <w:rsid w:val="00542846"/>
    <w:rsid w:val="00542E32"/>
    <w:rsid w:val="005438D1"/>
    <w:rsid w:val="00544961"/>
    <w:rsid w:val="00544DA8"/>
    <w:rsid w:val="00544DD5"/>
    <w:rsid w:val="0054561A"/>
    <w:rsid w:val="005458C5"/>
    <w:rsid w:val="00546098"/>
    <w:rsid w:val="00546378"/>
    <w:rsid w:val="00546BDD"/>
    <w:rsid w:val="00546C87"/>
    <w:rsid w:val="00546FDD"/>
    <w:rsid w:val="00547069"/>
    <w:rsid w:val="0054707E"/>
    <w:rsid w:val="0054737B"/>
    <w:rsid w:val="0054744C"/>
    <w:rsid w:val="00547525"/>
    <w:rsid w:val="00550400"/>
    <w:rsid w:val="005504B8"/>
    <w:rsid w:val="00550D24"/>
    <w:rsid w:val="00550D2E"/>
    <w:rsid w:val="00550F5F"/>
    <w:rsid w:val="005514F7"/>
    <w:rsid w:val="00551879"/>
    <w:rsid w:val="00551FCC"/>
    <w:rsid w:val="0055268A"/>
    <w:rsid w:val="0055284B"/>
    <w:rsid w:val="00552A8C"/>
    <w:rsid w:val="00552B90"/>
    <w:rsid w:val="00552D82"/>
    <w:rsid w:val="00552D93"/>
    <w:rsid w:val="005532BE"/>
    <w:rsid w:val="00553568"/>
    <w:rsid w:val="00554777"/>
    <w:rsid w:val="00554839"/>
    <w:rsid w:val="00554A3F"/>
    <w:rsid w:val="00554A4B"/>
    <w:rsid w:val="00554FCF"/>
    <w:rsid w:val="005551E8"/>
    <w:rsid w:val="005561F5"/>
    <w:rsid w:val="0055636D"/>
    <w:rsid w:val="00556461"/>
    <w:rsid w:val="00556968"/>
    <w:rsid w:val="00556997"/>
    <w:rsid w:val="005570D1"/>
    <w:rsid w:val="0055765E"/>
    <w:rsid w:val="00557C45"/>
    <w:rsid w:val="005602D2"/>
    <w:rsid w:val="00560694"/>
    <w:rsid w:val="005607DC"/>
    <w:rsid w:val="00560A24"/>
    <w:rsid w:val="00560F03"/>
    <w:rsid w:val="00560F5B"/>
    <w:rsid w:val="0056143D"/>
    <w:rsid w:val="00561542"/>
    <w:rsid w:val="005615BF"/>
    <w:rsid w:val="00561B3E"/>
    <w:rsid w:val="005620FC"/>
    <w:rsid w:val="0056237F"/>
    <w:rsid w:val="005623BF"/>
    <w:rsid w:val="005626F0"/>
    <w:rsid w:val="0056277F"/>
    <w:rsid w:val="00562D85"/>
    <w:rsid w:val="00563724"/>
    <w:rsid w:val="005637B9"/>
    <w:rsid w:val="00563AD1"/>
    <w:rsid w:val="0056456A"/>
    <w:rsid w:val="00564647"/>
    <w:rsid w:val="0056531E"/>
    <w:rsid w:val="005656E3"/>
    <w:rsid w:val="00565985"/>
    <w:rsid w:val="00565C58"/>
    <w:rsid w:val="00565D0B"/>
    <w:rsid w:val="00566107"/>
    <w:rsid w:val="0056612F"/>
    <w:rsid w:val="0056641F"/>
    <w:rsid w:val="00566493"/>
    <w:rsid w:val="005666C0"/>
    <w:rsid w:val="00566968"/>
    <w:rsid w:val="00566B22"/>
    <w:rsid w:val="00566C65"/>
    <w:rsid w:val="00566EF6"/>
    <w:rsid w:val="005672AE"/>
    <w:rsid w:val="00570C8C"/>
    <w:rsid w:val="005710F4"/>
    <w:rsid w:val="005716BD"/>
    <w:rsid w:val="00572C59"/>
    <w:rsid w:val="00572D06"/>
    <w:rsid w:val="00572E97"/>
    <w:rsid w:val="00572E9A"/>
    <w:rsid w:val="0057319A"/>
    <w:rsid w:val="00573622"/>
    <w:rsid w:val="0057385E"/>
    <w:rsid w:val="00573AAE"/>
    <w:rsid w:val="00574619"/>
    <w:rsid w:val="00574690"/>
    <w:rsid w:val="005748BC"/>
    <w:rsid w:val="00574913"/>
    <w:rsid w:val="005752C3"/>
    <w:rsid w:val="005754F3"/>
    <w:rsid w:val="0057586F"/>
    <w:rsid w:val="00575C1E"/>
    <w:rsid w:val="00575CD8"/>
    <w:rsid w:val="00575FEF"/>
    <w:rsid w:val="00576032"/>
    <w:rsid w:val="0057605F"/>
    <w:rsid w:val="00576F43"/>
    <w:rsid w:val="005771DC"/>
    <w:rsid w:val="005771FA"/>
    <w:rsid w:val="00577688"/>
    <w:rsid w:val="00577DD4"/>
    <w:rsid w:val="00580603"/>
    <w:rsid w:val="00580D36"/>
    <w:rsid w:val="00581022"/>
    <w:rsid w:val="00581777"/>
    <w:rsid w:val="005817D6"/>
    <w:rsid w:val="00582DF9"/>
    <w:rsid w:val="00582F9E"/>
    <w:rsid w:val="0058340E"/>
    <w:rsid w:val="005840C7"/>
    <w:rsid w:val="00584C87"/>
    <w:rsid w:val="00584D59"/>
    <w:rsid w:val="005852CD"/>
    <w:rsid w:val="0058533B"/>
    <w:rsid w:val="00585530"/>
    <w:rsid w:val="00585AB2"/>
    <w:rsid w:val="00585C1B"/>
    <w:rsid w:val="00585FAC"/>
    <w:rsid w:val="005870A1"/>
    <w:rsid w:val="005872B7"/>
    <w:rsid w:val="0058792F"/>
    <w:rsid w:val="00587C54"/>
    <w:rsid w:val="00590736"/>
    <w:rsid w:val="0059093D"/>
    <w:rsid w:val="00590A52"/>
    <w:rsid w:val="00590A8F"/>
    <w:rsid w:val="00590F21"/>
    <w:rsid w:val="005910EB"/>
    <w:rsid w:val="00591781"/>
    <w:rsid w:val="005922E0"/>
    <w:rsid w:val="00592719"/>
    <w:rsid w:val="00592738"/>
    <w:rsid w:val="00592824"/>
    <w:rsid w:val="00592B12"/>
    <w:rsid w:val="00592D02"/>
    <w:rsid w:val="005938DB"/>
    <w:rsid w:val="00594282"/>
    <w:rsid w:val="005944A6"/>
    <w:rsid w:val="0059450D"/>
    <w:rsid w:val="0059469C"/>
    <w:rsid w:val="00594CA5"/>
    <w:rsid w:val="00595046"/>
    <w:rsid w:val="005950A0"/>
    <w:rsid w:val="0059595C"/>
    <w:rsid w:val="00596362"/>
    <w:rsid w:val="005968E6"/>
    <w:rsid w:val="0059702A"/>
    <w:rsid w:val="005972B1"/>
    <w:rsid w:val="005973E3"/>
    <w:rsid w:val="00597981"/>
    <w:rsid w:val="005979D4"/>
    <w:rsid w:val="00597B33"/>
    <w:rsid w:val="005A0087"/>
    <w:rsid w:val="005A0303"/>
    <w:rsid w:val="005A05BE"/>
    <w:rsid w:val="005A0C40"/>
    <w:rsid w:val="005A0C7D"/>
    <w:rsid w:val="005A0E0B"/>
    <w:rsid w:val="005A1014"/>
    <w:rsid w:val="005A1333"/>
    <w:rsid w:val="005A24CB"/>
    <w:rsid w:val="005A252E"/>
    <w:rsid w:val="005A290E"/>
    <w:rsid w:val="005A2C63"/>
    <w:rsid w:val="005A3170"/>
    <w:rsid w:val="005A33FA"/>
    <w:rsid w:val="005A3D61"/>
    <w:rsid w:val="005A4014"/>
    <w:rsid w:val="005A4198"/>
    <w:rsid w:val="005A4259"/>
    <w:rsid w:val="005A4540"/>
    <w:rsid w:val="005A5289"/>
    <w:rsid w:val="005A5A8D"/>
    <w:rsid w:val="005A61A5"/>
    <w:rsid w:val="005A6B61"/>
    <w:rsid w:val="005A7124"/>
    <w:rsid w:val="005A7129"/>
    <w:rsid w:val="005A7199"/>
    <w:rsid w:val="005A7BD6"/>
    <w:rsid w:val="005A7D19"/>
    <w:rsid w:val="005B00EF"/>
    <w:rsid w:val="005B08FD"/>
    <w:rsid w:val="005B0D73"/>
    <w:rsid w:val="005B0E2F"/>
    <w:rsid w:val="005B127B"/>
    <w:rsid w:val="005B13C0"/>
    <w:rsid w:val="005B1BF2"/>
    <w:rsid w:val="005B1F28"/>
    <w:rsid w:val="005B20CA"/>
    <w:rsid w:val="005B22FA"/>
    <w:rsid w:val="005B2996"/>
    <w:rsid w:val="005B2B27"/>
    <w:rsid w:val="005B2DC3"/>
    <w:rsid w:val="005B36F9"/>
    <w:rsid w:val="005B379C"/>
    <w:rsid w:val="005B3CB0"/>
    <w:rsid w:val="005B3E0F"/>
    <w:rsid w:val="005B3E2D"/>
    <w:rsid w:val="005B3EE5"/>
    <w:rsid w:val="005B3F16"/>
    <w:rsid w:val="005B41C9"/>
    <w:rsid w:val="005B4E09"/>
    <w:rsid w:val="005B51DF"/>
    <w:rsid w:val="005B540E"/>
    <w:rsid w:val="005B5718"/>
    <w:rsid w:val="005B5895"/>
    <w:rsid w:val="005B59C2"/>
    <w:rsid w:val="005B5D90"/>
    <w:rsid w:val="005B5E04"/>
    <w:rsid w:val="005B64B2"/>
    <w:rsid w:val="005B671F"/>
    <w:rsid w:val="005B698B"/>
    <w:rsid w:val="005B7264"/>
    <w:rsid w:val="005B7323"/>
    <w:rsid w:val="005B7691"/>
    <w:rsid w:val="005B7CD9"/>
    <w:rsid w:val="005C00C1"/>
    <w:rsid w:val="005C050C"/>
    <w:rsid w:val="005C061F"/>
    <w:rsid w:val="005C0CB1"/>
    <w:rsid w:val="005C0DA8"/>
    <w:rsid w:val="005C102D"/>
    <w:rsid w:val="005C10BE"/>
    <w:rsid w:val="005C1166"/>
    <w:rsid w:val="005C12B7"/>
    <w:rsid w:val="005C1C9E"/>
    <w:rsid w:val="005C1E1F"/>
    <w:rsid w:val="005C20FB"/>
    <w:rsid w:val="005C27D5"/>
    <w:rsid w:val="005C2B6B"/>
    <w:rsid w:val="005C2F24"/>
    <w:rsid w:val="005C2F5E"/>
    <w:rsid w:val="005C3781"/>
    <w:rsid w:val="005C3DCB"/>
    <w:rsid w:val="005C5074"/>
    <w:rsid w:val="005C51E7"/>
    <w:rsid w:val="005C54EF"/>
    <w:rsid w:val="005C5902"/>
    <w:rsid w:val="005C5F1A"/>
    <w:rsid w:val="005C62F1"/>
    <w:rsid w:val="005C634F"/>
    <w:rsid w:val="005C6FA3"/>
    <w:rsid w:val="005C71C8"/>
    <w:rsid w:val="005C729A"/>
    <w:rsid w:val="005C7792"/>
    <w:rsid w:val="005C77C1"/>
    <w:rsid w:val="005D01B5"/>
    <w:rsid w:val="005D082C"/>
    <w:rsid w:val="005D0898"/>
    <w:rsid w:val="005D0C28"/>
    <w:rsid w:val="005D0E25"/>
    <w:rsid w:val="005D0F38"/>
    <w:rsid w:val="005D0F82"/>
    <w:rsid w:val="005D0FA6"/>
    <w:rsid w:val="005D11D3"/>
    <w:rsid w:val="005D135E"/>
    <w:rsid w:val="005D1C16"/>
    <w:rsid w:val="005D1EAB"/>
    <w:rsid w:val="005D1F70"/>
    <w:rsid w:val="005D3051"/>
    <w:rsid w:val="005D307B"/>
    <w:rsid w:val="005D30CA"/>
    <w:rsid w:val="005D358D"/>
    <w:rsid w:val="005D4640"/>
    <w:rsid w:val="005D494B"/>
    <w:rsid w:val="005D5495"/>
    <w:rsid w:val="005D5622"/>
    <w:rsid w:val="005D564E"/>
    <w:rsid w:val="005D5DC3"/>
    <w:rsid w:val="005D6089"/>
    <w:rsid w:val="005D6134"/>
    <w:rsid w:val="005D6235"/>
    <w:rsid w:val="005D645D"/>
    <w:rsid w:val="005D673E"/>
    <w:rsid w:val="005D6893"/>
    <w:rsid w:val="005D6B8B"/>
    <w:rsid w:val="005D6ED6"/>
    <w:rsid w:val="005D6FAE"/>
    <w:rsid w:val="005D70E0"/>
    <w:rsid w:val="005D717C"/>
    <w:rsid w:val="005D71AB"/>
    <w:rsid w:val="005D729C"/>
    <w:rsid w:val="005D76D8"/>
    <w:rsid w:val="005D779F"/>
    <w:rsid w:val="005D7CBF"/>
    <w:rsid w:val="005D7E45"/>
    <w:rsid w:val="005E001C"/>
    <w:rsid w:val="005E0236"/>
    <w:rsid w:val="005E036A"/>
    <w:rsid w:val="005E04AF"/>
    <w:rsid w:val="005E09F0"/>
    <w:rsid w:val="005E0AE1"/>
    <w:rsid w:val="005E0B0D"/>
    <w:rsid w:val="005E11DE"/>
    <w:rsid w:val="005E11FA"/>
    <w:rsid w:val="005E13A9"/>
    <w:rsid w:val="005E140D"/>
    <w:rsid w:val="005E199D"/>
    <w:rsid w:val="005E1AC4"/>
    <w:rsid w:val="005E1EA6"/>
    <w:rsid w:val="005E22F6"/>
    <w:rsid w:val="005E2354"/>
    <w:rsid w:val="005E2468"/>
    <w:rsid w:val="005E27DE"/>
    <w:rsid w:val="005E2C81"/>
    <w:rsid w:val="005E388B"/>
    <w:rsid w:val="005E3E47"/>
    <w:rsid w:val="005E3ED8"/>
    <w:rsid w:val="005E47F8"/>
    <w:rsid w:val="005E4AA3"/>
    <w:rsid w:val="005E509D"/>
    <w:rsid w:val="005E53BC"/>
    <w:rsid w:val="005E5CA7"/>
    <w:rsid w:val="005E5DE7"/>
    <w:rsid w:val="005E5F18"/>
    <w:rsid w:val="005E62E6"/>
    <w:rsid w:val="005E67A3"/>
    <w:rsid w:val="005E68B9"/>
    <w:rsid w:val="005E6967"/>
    <w:rsid w:val="005E6E52"/>
    <w:rsid w:val="005E702C"/>
    <w:rsid w:val="005E70C8"/>
    <w:rsid w:val="005E72A6"/>
    <w:rsid w:val="005E73E5"/>
    <w:rsid w:val="005E7F6C"/>
    <w:rsid w:val="005E7F6E"/>
    <w:rsid w:val="005F0615"/>
    <w:rsid w:val="005F06EC"/>
    <w:rsid w:val="005F09A4"/>
    <w:rsid w:val="005F1206"/>
    <w:rsid w:val="005F1D85"/>
    <w:rsid w:val="005F2983"/>
    <w:rsid w:val="005F2E67"/>
    <w:rsid w:val="005F33B0"/>
    <w:rsid w:val="005F3D0D"/>
    <w:rsid w:val="005F3D5C"/>
    <w:rsid w:val="005F4297"/>
    <w:rsid w:val="005F42B5"/>
    <w:rsid w:val="005F4C25"/>
    <w:rsid w:val="005F5664"/>
    <w:rsid w:val="005F578E"/>
    <w:rsid w:val="005F5AEA"/>
    <w:rsid w:val="005F5B4B"/>
    <w:rsid w:val="005F5B74"/>
    <w:rsid w:val="005F6141"/>
    <w:rsid w:val="005F61E9"/>
    <w:rsid w:val="005F64E6"/>
    <w:rsid w:val="005F67C1"/>
    <w:rsid w:val="005F6982"/>
    <w:rsid w:val="005F6E39"/>
    <w:rsid w:val="005F7026"/>
    <w:rsid w:val="005F729F"/>
    <w:rsid w:val="005F73FE"/>
    <w:rsid w:val="005F7B02"/>
    <w:rsid w:val="00600245"/>
    <w:rsid w:val="0060082D"/>
    <w:rsid w:val="006013A9"/>
    <w:rsid w:val="0060195F"/>
    <w:rsid w:val="00601B12"/>
    <w:rsid w:val="00601D75"/>
    <w:rsid w:val="00602131"/>
    <w:rsid w:val="006022A1"/>
    <w:rsid w:val="0060268B"/>
    <w:rsid w:val="0060361F"/>
    <w:rsid w:val="0060384D"/>
    <w:rsid w:val="00604221"/>
    <w:rsid w:val="00604F22"/>
    <w:rsid w:val="00605888"/>
    <w:rsid w:val="00605D56"/>
    <w:rsid w:val="006060AD"/>
    <w:rsid w:val="00606123"/>
    <w:rsid w:val="00606BA0"/>
    <w:rsid w:val="0060726F"/>
    <w:rsid w:val="006074BA"/>
    <w:rsid w:val="00607647"/>
    <w:rsid w:val="006077D3"/>
    <w:rsid w:val="00607883"/>
    <w:rsid w:val="00607E6E"/>
    <w:rsid w:val="00607FDB"/>
    <w:rsid w:val="0061094A"/>
    <w:rsid w:val="00610AF9"/>
    <w:rsid w:val="00610BD6"/>
    <w:rsid w:val="0061115F"/>
    <w:rsid w:val="006111A0"/>
    <w:rsid w:val="00611733"/>
    <w:rsid w:val="00611768"/>
    <w:rsid w:val="006117FB"/>
    <w:rsid w:val="006118EF"/>
    <w:rsid w:val="0061190E"/>
    <w:rsid w:val="00611938"/>
    <w:rsid w:val="00612723"/>
    <w:rsid w:val="0061290E"/>
    <w:rsid w:val="006130F3"/>
    <w:rsid w:val="0061336C"/>
    <w:rsid w:val="00613A6F"/>
    <w:rsid w:val="00613DC9"/>
    <w:rsid w:val="00613EB2"/>
    <w:rsid w:val="00613FB6"/>
    <w:rsid w:val="00615764"/>
    <w:rsid w:val="00615EA3"/>
    <w:rsid w:val="00616DF6"/>
    <w:rsid w:val="00617601"/>
    <w:rsid w:val="00617E5E"/>
    <w:rsid w:val="00620739"/>
    <w:rsid w:val="00622270"/>
    <w:rsid w:val="0062237A"/>
    <w:rsid w:val="00622756"/>
    <w:rsid w:val="00622BE3"/>
    <w:rsid w:val="006234A1"/>
    <w:rsid w:val="00623611"/>
    <w:rsid w:val="00623889"/>
    <w:rsid w:val="00623AF7"/>
    <w:rsid w:val="0062438B"/>
    <w:rsid w:val="00624A72"/>
    <w:rsid w:val="00624BE5"/>
    <w:rsid w:val="00625060"/>
    <w:rsid w:val="00625062"/>
    <w:rsid w:val="006251A8"/>
    <w:rsid w:val="006255B8"/>
    <w:rsid w:val="006259C9"/>
    <w:rsid w:val="00625D80"/>
    <w:rsid w:val="00625FE7"/>
    <w:rsid w:val="00626791"/>
    <w:rsid w:val="00626A0C"/>
    <w:rsid w:val="00626DF9"/>
    <w:rsid w:val="0062745C"/>
    <w:rsid w:val="00627826"/>
    <w:rsid w:val="0063092F"/>
    <w:rsid w:val="006309C4"/>
    <w:rsid w:val="00630B2C"/>
    <w:rsid w:val="00630EFE"/>
    <w:rsid w:val="006313B1"/>
    <w:rsid w:val="0063184B"/>
    <w:rsid w:val="00631E62"/>
    <w:rsid w:val="0063208F"/>
    <w:rsid w:val="0063228D"/>
    <w:rsid w:val="00632327"/>
    <w:rsid w:val="00632B45"/>
    <w:rsid w:val="00632C8D"/>
    <w:rsid w:val="00632EA0"/>
    <w:rsid w:val="00633163"/>
    <w:rsid w:val="0063387D"/>
    <w:rsid w:val="00633E31"/>
    <w:rsid w:val="0063402E"/>
    <w:rsid w:val="00634143"/>
    <w:rsid w:val="006341BC"/>
    <w:rsid w:val="006343B5"/>
    <w:rsid w:val="0063452B"/>
    <w:rsid w:val="0063465D"/>
    <w:rsid w:val="0063495E"/>
    <w:rsid w:val="00635023"/>
    <w:rsid w:val="0063532F"/>
    <w:rsid w:val="00635A87"/>
    <w:rsid w:val="00635AF7"/>
    <w:rsid w:val="00636338"/>
    <w:rsid w:val="006363C8"/>
    <w:rsid w:val="006365A3"/>
    <w:rsid w:val="006367C5"/>
    <w:rsid w:val="00636E1B"/>
    <w:rsid w:val="006370B7"/>
    <w:rsid w:val="0063745D"/>
    <w:rsid w:val="006378F5"/>
    <w:rsid w:val="00637AB3"/>
    <w:rsid w:val="006400ED"/>
    <w:rsid w:val="006401D4"/>
    <w:rsid w:val="006401DE"/>
    <w:rsid w:val="00640FEB"/>
    <w:rsid w:val="0064122A"/>
    <w:rsid w:val="00641534"/>
    <w:rsid w:val="00641C6F"/>
    <w:rsid w:val="00641FBE"/>
    <w:rsid w:val="006427DC"/>
    <w:rsid w:val="006428B8"/>
    <w:rsid w:val="00642B5F"/>
    <w:rsid w:val="00642BEE"/>
    <w:rsid w:val="00642DF5"/>
    <w:rsid w:val="00643576"/>
    <w:rsid w:val="006437D1"/>
    <w:rsid w:val="00643817"/>
    <w:rsid w:val="00643A4C"/>
    <w:rsid w:val="00643DA5"/>
    <w:rsid w:val="00644486"/>
    <w:rsid w:val="00644C6A"/>
    <w:rsid w:val="00645DE1"/>
    <w:rsid w:val="00646045"/>
    <w:rsid w:val="00646448"/>
    <w:rsid w:val="006466FA"/>
    <w:rsid w:val="00646742"/>
    <w:rsid w:val="00646945"/>
    <w:rsid w:val="00646BFD"/>
    <w:rsid w:val="00647802"/>
    <w:rsid w:val="0064786D"/>
    <w:rsid w:val="006478E7"/>
    <w:rsid w:val="00647E59"/>
    <w:rsid w:val="00647F9E"/>
    <w:rsid w:val="0065017E"/>
    <w:rsid w:val="006510A6"/>
    <w:rsid w:val="00651721"/>
    <w:rsid w:val="00651811"/>
    <w:rsid w:val="00651FF9"/>
    <w:rsid w:val="0065205D"/>
    <w:rsid w:val="0065280B"/>
    <w:rsid w:val="00652C91"/>
    <w:rsid w:val="006531D0"/>
    <w:rsid w:val="006535C0"/>
    <w:rsid w:val="00653A57"/>
    <w:rsid w:val="0065402C"/>
    <w:rsid w:val="00654B1F"/>
    <w:rsid w:val="00655206"/>
    <w:rsid w:val="006558EF"/>
    <w:rsid w:val="00656810"/>
    <w:rsid w:val="00656AE1"/>
    <w:rsid w:val="0065701D"/>
    <w:rsid w:val="0065708B"/>
    <w:rsid w:val="0065740B"/>
    <w:rsid w:val="00657C04"/>
    <w:rsid w:val="00657EE7"/>
    <w:rsid w:val="0066047F"/>
    <w:rsid w:val="00660594"/>
    <w:rsid w:val="00660F31"/>
    <w:rsid w:val="006611D5"/>
    <w:rsid w:val="006618AC"/>
    <w:rsid w:val="00661BCD"/>
    <w:rsid w:val="00661E2D"/>
    <w:rsid w:val="00661F12"/>
    <w:rsid w:val="00662840"/>
    <w:rsid w:val="00662979"/>
    <w:rsid w:val="00662A14"/>
    <w:rsid w:val="00662A96"/>
    <w:rsid w:val="00663A6E"/>
    <w:rsid w:val="00663A9E"/>
    <w:rsid w:val="00663F7D"/>
    <w:rsid w:val="00663FE1"/>
    <w:rsid w:val="00664795"/>
    <w:rsid w:val="00664BAB"/>
    <w:rsid w:val="00664F6D"/>
    <w:rsid w:val="00665044"/>
    <w:rsid w:val="006654AA"/>
    <w:rsid w:val="006654DC"/>
    <w:rsid w:val="006657C6"/>
    <w:rsid w:val="006658B8"/>
    <w:rsid w:val="00665B39"/>
    <w:rsid w:val="00665BA4"/>
    <w:rsid w:val="00665E2E"/>
    <w:rsid w:val="00666395"/>
    <w:rsid w:val="006663A7"/>
    <w:rsid w:val="00666A2C"/>
    <w:rsid w:val="00666B26"/>
    <w:rsid w:val="00666B67"/>
    <w:rsid w:val="00667031"/>
    <w:rsid w:val="006674DF"/>
    <w:rsid w:val="00667B98"/>
    <w:rsid w:val="00667D1F"/>
    <w:rsid w:val="00667F49"/>
    <w:rsid w:val="00670117"/>
    <w:rsid w:val="00670853"/>
    <w:rsid w:val="00670E05"/>
    <w:rsid w:val="00670F92"/>
    <w:rsid w:val="0067120A"/>
    <w:rsid w:val="00671767"/>
    <w:rsid w:val="00671EB0"/>
    <w:rsid w:val="0067270F"/>
    <w:rsid w:val="006727A9"/>
    <w:rsid w:val="00673828"/>
    <w:rsid w:val="00673DFA"/>
    <w:rsid w:val="00673EDA"/>
    <w:rsid w:val="00673F2E"/>
    <w:rsid w:val="006740AE"/>
    <w:rsid w:val="00674406"/>
    <w:rsid w:val="006751EB"/>
    <w:rsid w:val="00675ABD"/>
    <w:rsid w:val="00675F3F"/>
    <w:rsid w:val="0067640F"/>
    <w:rsid w:val="00676558"/>
    <w:rsid w:val="006766F1"/>
    <w:rsid w:val="00676AAC"/>
    <w:rsid w:val="00676CEF"/>
    <w:rsid w:val="006771CA"/>
    <w:rsid w:val="006774F6"/>
    <w:rsid w:val="006779FA"/>
    <w:rsid w:val="00677AE3"/>
    <w:rsid w:val="00677D31"/>
    <w:rsid w:val="0068028A"/>
    <w:rsid w:val="006802CB"/>
    <w:rsid w:val="00680409"/>
    <w:rsid w:val="00680464"/>
    <w:rsid w:val="006805A2"/>
    <w:rsid w:val="0068080F"/>
    <w:rsid w:val="0068093F"/>
    <w:rsid w:val="00680C35"/>
    <w:rsid w:val="00680C53"/>
    <w:rsid w:val="00681580"/>
    <w:rsid w:val="0068173A"/>
    <w:rsid w:val="00681ACB"/>
    <w:rsid w:val="0068241A"/>
    <w:rsid w:val="006824F0"/>
    <w:rsid w:val="00682BB4"/>
    <w:rsid w:val="00682D56"/>
    <w:rsid w:val="00682E7C"/>
    <w:rsid w:val="00683592"/>
    <w:rsid w:val="006839FE"/>
    <w:rsid w:val="006840D7"/>
    <w:rsid w:val="00685355"/>
    <w:rsid w:val="00686111"/>
    <w:rsid w:val="0068618D"/>
    <w:rsid w:val="006866F7"/>
    <w:rsid w:val="00686B33"/>
    <w:rsid w:val="00686CEB"/>
    <w:rsid w:val="00686E3E"/>
    <w:rsid w:val="00686EED"/>
    <w:rsid w:val="00687487"/>
    <w:rsid w:val="00687A88"/>
    <w:rsid w:val="00687E7C"/>
    <w:rsid w:val="00690170"/>
    <w:rsid w:val="006917C4"/>
    <w:rsid w:val="00691AA5"/>
    <w:rsid w:val="00691BB9"/>
    <w:rsid w:val="00691C9F"/>
    <w:rsid w:val="00691E9E"/>
    <w:rsid w:val="00691F74"/>
    <w:rsid w:val="006920C2"/>
    <w:rsid w:val="0069251A"/>
    <w:rsid w:val="0069276A"/>
    <w:rsid w:val="00692A0F"/>
    <w:rsid w:val="0069308E"/>
    <w:rsid w:val="00693DFE"/>
    <w:rsid w:val="006943CB"/>
    <w:rsid w:val="0069460A"/>
    <w:rsid w:val="006948A1"/>
    <w:rsid w:val="00694CB3"/>
    <w:rsid w:val="00695C92"/>
    <w:rsid w:val="00695C99"/>
    <w:rsid w:val="006960CE"/>
    <w:rsid w:val="006966F5"/>
    <w:rsid w:val="006966F6"/>
    <w:rsid w:val="00696D0F"/>
    <w:rsid w:val="00697783"/>
    <w:rsid w:val="00697A87"/>
    <w:rsid w:val="00697D4E"/>
    <w:rsid w:val="006A098C"/>
    <w:rsid w:val="006A0E86"/>
    <w:rsid w:val="006A11EC"/>
    <w:rsid w:val="006A12B0"/>
    <w:rsid w:val="006A1853"/>
    <w:rsid w:val="006A1FA1"/>
    <w:rsid w:val="006A218A"/>
    <w:rsid w:val="006A285D"/>
    <w:rsid w:val="006A2D82"/>
    <w:rsid w:val="006A3001"/>
    <w:rsid w:val="006A3F03"/>
    <w:rsid w:val="006A4217"/>
    <w:rsid w:val="006A467F"/>
    <w:rsid w:val="006A4702"/>
    <w:rsid w:val="006A4B4C"/>
    <w:rsid w:val="006A4BC7"/>
    <w:rsid w:val="006A5328"/>
    <w:rsid w:val="006A532F"/>
    <w:rsid w:val="006A55C4"/>
    <w:rsid w:val="006A56AA"/>
    <w:rsid w:val="006A5855"/>
    <w:rsid w:val="006A5D00"/>
    <w:rsid w:val="006A5DD9"/>
    <w:rsid w:val="006A6A1C"/>
    <w:rsid w:val="006A6BFB"/>
    <w:rsid w:val="006A705D"/>
    <w:rsid w:val="006A71AE"/>
    <w:rsid w:val="006A71FF"/>
    <w:rsid w:val="006A726B"/>
    <w:rsid w:val="006A785D"/>
    <w:rsid w:val="006B02E9"/>
    <w:rsid w:val="006B04A8"/>
    <w:rsid w:val="006B069D"/>
    <w:rsid w:val="006B0D59"/>
    <w:rsid w:val="006B14FA"/>
    <w:rsid w:val="006B1704"/>
    <w:rsid w:val="006B1D1A"/>
    <w:rsid w:val="006B2253"/>
    <w:rsid w:val="006B325F"/>
    <w:rsid w:val="006B3631"/>
    <w:rsid w:val="006B3790"/>
    <w:rsid w:val="006B3831"/>
    <w:rsid w:val="006B3926"/>
    <w:rsid w:val="006B4D21"/>
    <w:rsid w:val="006B53ED"/>
    <w:rsid w:val="006B5B66"/>
    <w:rsid w:val="006B5F03"/>
    <w:rsid w:val="006B62EB"/>
    <w:rsid w:val="006B635E"/>
    <w:rsid w:val="006B6602"/>
    <w:rsid w:val="006B668B"/>
    <w:rsid w:val="006B6AB0"/>
    <w:rsid w:val="006B7433"/>
    <w:rsid w:val="006B748C"/>
    <w:rsid w:val="006B756F"/>
    <w:rsid w:val="006B7DAF"/>
    <w:rsid w:val="006C0125"/>
    <w:rsid w:val="006C0DBE"/>
    <w:rsid w:val="006C0FCB"/>
    <w:rsid w:val="006C121E"/>
    <w:rsid w:val="006C140D"/>
    <w:rsid w:val="006C15F5"/>
    <w:rsid w:val="006C1A39"/>
    <w:rsid w:val="006C1B67"/>
    <w:rsid w:val="006C2455"/>
    <w:rsid w:val="006C25DE"/>
    <w:rsid w:val="006C2DE5"/>
    <w:rsid w:val="006C2E83"/>
    <w:rsid w:val="006C2ECD"/>
    <w:rsid w:val="006C3647"/>
    <w:rsid w:val="006C3788"/>
    <w:rsid w:val="006C3B2A"/>
    <w:rsid w:val="006C3E6D"/>
    <w:rsid w:val="006C478E"/>
    <w:rsid w:val="006C489F"/>
    <w:rsid w:val="006C57E5"/>
    <w:rsid w:val="006C64B6"/>
    <w:rsid w:val="006C6BD8"/>
    <w:rsid w:val="006C6FE4"/>
    <w:rsid w:val="006C7171"/>
    <w:rsid w:val="006C76CD"/>
    <w:rsid w:val="006C78CE"/>
    <w:rsid w:val="006C7CBB"/>
    <w:rsid w:val="006D0356"/>
    <w:rsid w:val="006D0B39"/>
    <w:rsid w:val="006D13CF"/>
    <w:rsid w:val="006D1B02"/>
    <w:rsid w:val="006D1F68"/>
    <w:rsid w:val="006D2367"/>
    <w:rsid w:val="006D287B"/>
    <w:rsid w:val="006D2D1D"/>
    <w:rsid w:val="006D37AB"/>
    <w:rsid w:val="006D3949"/>
    <w:rsid w:val="006D3B13"/>
    <w:rsid w:val="006D3C6F"/>
    <w:rsid w:val="006D3DD0"/>
    <w:rsid w:val="006D3EA6"/>
    <w:rsid w:val="006D3EE1"/>
    <w:rsid w:val="006D4B60"/>
    <w:rsid w:val="006D4E9C"/>
    <w:rsid w:val="006D5065"/>
    <w:rsid w:val="006D5365"/>
    <w:rsid w:val="006D5431"/>
    <w:rsid w:val="006D54FB"/>
    <w:rsid w:val="006D57E5"/>
    <w:rsid w:val="006D5B17"/>
    <w:rsid w:val="006D60F9"/>
    <w:rsid w:val="006D6BAB"/>
    <w:rsid w:val="006D7111"/>
    <w:rsid w:val="006D7B15"/>
    <w:rsid w:val="006D7BB1"/>
    <w:rsid w:val="006E0416"/>
    <w:rsid w:val="006E06E1"/>
    <w:rsid w:val="006E077D"/>
    <w:rsid w:val="006E085F"/>
    <w:rsid w:val="006E0A27"/>
    <w:rsid w:val="006E0E30"/>
    <w:rsid w:val="006E148B"/>
    <w:rsid w:val="006E15F7"/>
    <w:rsid w:val="006E1BAA"/>
    <w:rsid w:val="006E2151"/>
    <w:rsid w:val="006E2552"/>
    <w:rsid w:val="006E2A74"/>
    <w:rsid w:val="006E30A2"/>
    <w:rsid w:val="006E347E"/>
    <w:rsid w:val="006E379D"/>
    <w:rsid w:val="006E390D"/>
    <w:rsid w:val="006E3BF1"/>
    <w:rsid w:val="006E3CD9"/>
    <w:rsid w:val="006E3CDA"/>
    <w:rsid w:val="006E42A4"/>
    <w:rsid w:val="006E4852"/>
    <w:rsid w:val="006E546B"/>
    <w:rsid w:val="006E54F6"/>
    <w:rsid w:val="006E5BB5"/>
    <w:rsid w:val="006E5D77"/>
    <w:rsid w:val="006E5F16"/>
    <w:rsid w:val="006E634F"/>
    <w:rsid w:val="006E6E28"/>
    <w:rsid w:val="006E71BC"/>
    <w:rsid w:val="006E7413"/>
    <w:rsid w:val="006E749B"/>
    <w:rsid w:val="006E777E"/>
    <w:rsid w:val="006E7D89"/>
    <w:rsid w:val="006F0112"/>
    <w:rsid w:val="006F01C4"/>
    <w:rsid w:val="006F04E2"/>
    <w:rsid w:val="006F0684"/>
    <w:rsid w:val="006F0BFB"/>
    <w:rsid w:val="006F0FD5"/>
    <w:rsid w:val="006F184E"/>
    <w:rsid w:val="006F1B72"/>
    <w:rsid w:val="006F2050"/>
    <w:rsid w:val="006F22F5"/>
    <w:rsid w:val="006F26A1"/>
    <w:rsid w:val="006F2D56"/>
    <w:rsid w:val="006F319D"/>
    <w:rsid w:val="006F3276"/>
    <w:rsid w:val="006F3B3C"/>
    <w:rsid w:val="006F3D8C"/>
    <w:rsid w:val="006F3DC5"/>
    <w:rsid w:val="006F4B1B"/>
    <w:rsid w:val="006F4CCF"/>
    <w:rsid w:val="006F4CE4"/>
    <w:rsid w:val="006F5228"/>
    <w:rsid w:val="006F591A"/>
    <w:rsid w:val="006F5BB1"/>
    <w:rsid w:val="006F5BFF"/>
    <w:rsid w:val="006F5D9A"/>
    <w:rsid w:val="006F600F"/>
    <w:rsid w:val="006F6360"/>
    <w:rsid w:val="006F63E3"/>
    <w:rsid w:val="006F6ABE"/>
    <w:rsid w:val="006F73CF"/>
    <w:rsid w:val="007000F9"/>
    <w:rsid w:val="00700C70"/>
    <w:rsid w:val="00700DC8"/>
    <w:rsid w:val="007012DC"/>
    <w:rsid w:val="00701480"/>
    <w:rsid w:val="0070188E"/>
    <w:rsid w:val="007018CA"/>
    <w:rsid w:val="00701C3C"/>
    <w:rsid w:val="00701D55"/>
    <w:rsid w:val="00702FCD"/>
    <w:rsid w:val="0070313E"/>
    <w:rsid w:val="007032B8"/>
    <w:rsid w:val="007033F7"/>
    <w:rsid w:val="007037D8"/>
    <w:rsid w:val="00703FAE"/>
    <w:rsid w:val="00704223"/>
    <w:rsid w:val="00704359"/>
    <w:rsid w:val="00704D1A"/>
    <w:rsid w:val="00704D9D"/>
    <w:rsid w:val="00705278"/>
    <w:rsid w:val="007052DC"/>
    <w:rsid w:val="007053DF"/>
    <w:rsid w:val="0070585E"/>
    <w:rsid w:val="00705964"/>
    <w:rsid w:val="00705CA9"/>
    <w:rsid w:val="00705FBB"/>
    <w:rsid w:val="00705FBC"/>
    <w:rsid w:val="007064F4"/>
    <w:rsid w:val="00706D55"/>
    <w:rsid w:val="007074D0"/>
    <w:rsid w:val="0071012D"/>
    <w:rsid w:val="0071091F"/>
    <w:rsid w:val="00710CEC"/>
    <w:rsid w:val="00710EA5"/>
    <w:rsid w:val="00710EF4"/>
    <w:rsid w:val="00711265"/>
    <w:rsid w:val="00711CBF"/>
    <w:rsid w:val="00711FDF"/>
    <w:rsid w:val="0071236F"/>
    <w:rsid w:val="00712B6C"/>
    <w:rsid w:val="0071312A"/>
    <w:rsid w:val="00713517"/>
    <w:rsid w:val="0071359F"/>
    <w:rsid w:val="00713724"/>
    <w:rsid w:val="00713728"/>
    <w:rsid w:val="00713C09"/>
    <w:rsid w:val="00713C61"/>
    <w:rsid w:val="007140F8"/>
    <w:rsid w:val="00714817"/>
    <w:rsid w:val="0071499B"/>
    <w:rsid w:val="00714F51"/>
    <w:rsid w:val="00714F7B"/>
    <w:rsid w:val="00714FC6"/>
    <w:rsid w:val="0071546E"/>
    <w:rsid w:val="00715646"/>
    <w:rsid w:val="00715DF6"/>
    <w:rsid w:val="00715E18"/>
    <w:rsid w:val="00716435"/>
    <w:rsid w:val="007164E7"/>
    <w:rsid w:val="007165F3"/>
    <w:rsid w:val="007166A3"/>
    <w:rsid w:val="00716988"/>
    <w:rsid w:val="00716DB2"/>
    <w:rsid w:val="00717197"/>
    <w:rsid w:val="00717286"/>
    <w:rsid w:val="00717403"/>
    <w:rsid w:val="00717443"/>
    <w:rsid w:val="0071746D"/>
    <w:rsid w:val="007175C9"/>
    <w:rsid w:val="00717B0F"/>
    <w:rsid w:val="00720248"/>
    <w:rsid w:val="007211F0"/>
    <w:rsid w:val="007213A1"/>
    <w:rsid w:val="007217CC"/>
    <w:rsid w:val="00721EE0"/>
    <w:rsid w:val="00721F4D"/>
    <w:rsid w:val="007221F2"/>
    <w:rsid w:val="007228EB"/>
    <w:rsid w:val="00722B4C"/>
    <w:rsid w:val="007234C7"/>
    <w:rsid w:val="0072372B"/>
    <w:rsid w:val="00723BB3"/>
    <w:rsid w:val="00723DF2"/>
    <w:rsid w:val="0072424D"/>
    <w:rsid w:val="00724500"/>
    <w:rsid w:val="00724544"/>
    <w:rsid w:val="007249AD"/>
    <w:rsid w:val="00724FAD"/>
    <w:rsid w:val="00725742"/>
    <w:rsid w:val="00725A20"/>
    <w:rsid w:val="00725CD0"/>
    <w:rsid w:val="00725D14"/>
    <w:rsid w:val="007265C8"/>
    <w:rsid w:val="00726A59"/>
    <w:rsid w:val="00727614"/>
    <w:rsid w:val="007277B0"/>
    <w:rsid w:val="00727F99"/>
    <w:rsid w:val="0073049E"/>
    <w:rsid w:val="007305F0"/>
    <w:rsid w:val="00731207"/>
    <w:rsid w:val="00731234"/>
    <w:rsid w:val="0073123A"/>
    <w:rsid w:val="007318ED"/>
    <w:rsid w:val="00731C7C"/>
    <w:rsid w:val="0073208E"/>
    <w:rsid w:val="007325A3"/>
    <w:rsid w:val="00732B57"/>
    <w:rsid w:val="00732C9A"/>
    <w:rsid w:val="00733A74"/>
    <w:rsid w:val="00733CD4"/>
    <w:rsid w:val="00733ED7"/>
    <w:rsid w:val="00733F55"/>
    <w:rsid w:val="00734153"/>
    <w:rsid w:val="00734756"/>
    <w:rsid w:val="00734A47"/>
    <w:rsid w:val="00734FC0"/>
    <w:rsid w:val="00735000"/>
    <w:rsid w:val="00735C92"/>
    <w:rsid w:val="00735DFE"/>
    <w:rsid w:val="00735FDC"/>
    <w:rsid w:val="00736740"/>
    <w:rsid w:val="00736742"/>
    <w:rsid w:val="00736C3F"/>
    <w:rsid w:val="00736DEA"/>
    <w:rsid w:val="0073720E"/>
    <w:rsid w:val="0073777C"/>
    <w:rsid w:val="00737EB5"/>
    <w:rsid w:val="00740100"/>
    <w:rsid w:val="007401E5"/>
    <w:rsid w:val="00740871"/>
    <w:rsid w:val="00740942"/>
    <w:rsid w:val="00740B65"/>
    <w:rsid w:val="00740BF8"/>
    <w:rsid w:val="00740E66"/>
    <w:rsid w:val="00740F82"/>
    <w:rsid w:val="00740FA7"/>
    <w:rsid w:val="00741700"/>
    <w:rsid w:val="007422F1"/>
    <w:rsid w:val="00742625"/>
    <w:rsid w:val="00742A4F"/>
    <w:rsid w:val="00742E89"/>
    <w:rsid w:val="00742EEC"/>
    <w:rsid w:val="00743F07"/>
    <w:rsid w:val="007442AE"/>
    <w:rsid w:val="00744370"/>
    <w:rsid w:val="007445DF"/>
    <w:rsid w:val="00744E75"/>
    <w:rsid w:val="00745CD6"/>
    <w:rsid w:val="007461C8"/>
    <w:rsid w:val="007465CA"/>
    <w:rsid w:val="00746C86"/>
    <w:rsid w:val="007476FD"/>
    <w:rsid w:val="0074777C"/>
    <w:rsid w:val="00747868"/>
    <w:rsid w:val="0074799E"/>
    <w:rsid w:val="00747B52"/>
    <w:rsid w:val="0075006D"/>
    <w:rsid w:val="007501AA"/>
    <w:rsid w:val="0075058F"/>
    <w:rsid w:val="00751452"/>
    <w:rsid w:val="007514FC"/>
    <w:rsid w:val="00751D4B"/>
    <w:rsid w:val="007521D9"/>
    <w:rsid w:val="00752426"/>
    <w:rsid w:val="007531A5"/>
    <w:rsid w:val="007534A1"/>
    <w:rsid w:val="00753545"/>
    <w:rsid w:val="00753653"/>
    <w:rsid w:val="0075378D"/>
    <w:rsid w:val="007537CA"/>
    <w:rsid w:val="007537D9"/>
    <w:rsid w:val="00754054"/>
    <w:rsid w:val="007549F5"/>
    <w:rsid w:val="00754C12"/>
    <w:rsid w:val="00754ECE"/>
    <w:rsid w:val="00755253"/>
    <w:rsid w:val="00755966"/>
    <w:rsid w:val="00755B51"/>
    <w:rsid w:val="00756B0E"/>
    <w:rsid w:val="00756B7D"/>
    <w:rsid w:val="00756CC1"/>
    <w:rsid w:val="00756D59"/>
    <w:rsid w:val="00756FBF"/>
    <w:rsid w:val="007573FF"/>
    <w:rsid w:val="007574C8"/>
    <w:rsid w:val="00757511"/>
    <w:rsid w:val="0075782C"/>
    <w:rsid w:val="0075788E"/>
    <w:rsid w:val="007608CC"/>
    <w:rsid w:val="00761E28"/>
    <w:rsid w:val="00762026"/>
    <w:rsid w:val="007622D1"/>
    <w:rsid w:val="0076267A"/>
    <w:rsid w:val="007626FA"/>
    <w:rsid w:val="00762A54"/>
    <w:rsid w:val="00762C7F"/>
    <w:rsid w:val="00762CAA"/>
    <w:rsid w:val="00762D31"/>
    <w:rsid w:val="007633C9"/>
    <w:rsid w:val="00763BD0"/>
    <w:rsid w:val="007643C5"/>
    <w:rsid w:val="00764740"/>
    <w:rsid w:val="00764BDD"/>
    <w:rsid w:val="0076547B"/>
    <w:rsid w:val="00765728"/>
    <w:rsid w:val="007659C4"/>
    <w:rsid w:val="00765CA9"/>
    <w:rsid w:val="00765DFE"/>
    <w:rsid w:val="007669CC"/>
    <w:rsid w:val="00767292"/>
    <w:rsid w:val="00767356"/>
    <w:rsid w:val="0076740E"/>
    <w:rsid w:val="007677BA"/>
    <w:rsid w:val="00767A98"/>
    <w:rsid w:val="007704C1"/>
    <w:rsid w:val="0077087B"/>
    <w:rsid w:val="00770A67"/>
    <w:rsid w:val="00770AB4"/>
    <w:rsid w:val="00770E43"/>
    <w:rsid w:val="007711A2"/>
    <w:rsid w:val="0077122A"/>
    <w:rsid w:val="00771606"/>
    <w:rsid w:val="00771B9D"/>
    <w:rsid w:val="00771D69"/>
    <w:rsid w:val="007720C2"/>
    <w:rsid w:val="00772702"/>
    <w:rsid w:val="00772936"/>
    <w:rsid w:val="00772B55"/>
    <w:rsid w:val="00772C78"/>
    <w:rsid w:val="007732C4"/>
    <w:rsid w:val="00773AFD"/>
    <w:rsid w:val="00773B8D"/>
    <w:rsid w:val="00773C2F"/>
    <w:rsid w:val="00773C4D"/>
    <w:rsid w:val="00774130"/>
    <w:rsid w:val="00774284"/>
    <w:rsid w:val="0077446A"/>
    <w:rsid w:val="00774473"/>
    <w:rsid w:val="00774516"/>
    <w:rsid w:val="00774DFE"/>
    <w:rsid w:val="00775144"/>
    <w:rsid w:val="0077538E"/>
    <w:rsid w:val="00775840"/>
    <w:rsid w:val="0077607F"/>
    <w:rsid w:val="007760D0"/>
    <w:rsid w:val="007761EB"/>
    <w:rsid w:val="0077643D"/>
    <w:rsid w:val="00776C2F"/>
    <w:rsid w:val="00776CD0"/>
    <w:rsid w:val="00776F1F"/>
    <w:rsid w:val="007771DC"/>
    <w:rsid w:val="007776E7"/>
    <w:rsid w:val="0078027F"/>
    <w:rsid w:val="00780557"/>
    <w:rsid w:val="00780FD5"/>
    <w:rsid w:val="0078203C"/>
    <w:rsid w:val="0078210C"/>
    <w:rsid w:val="00782BD0"/>
    <w:rsid w:val="00782E57"/>
    <w:rsid w:val="00783185"/>
    <w:rsid w:val="00783527"/>
    <w:rsid w:val="00783554"/>
    <w:rsid w:val="007838F3"/>
    <w:rsid w:val="00783F1A"/>
    <w:rsid w:val="007840B6"/>
    <w:rsid w:val="00784781"/>
    <w:rsid w:val="007849E7"/>
    <w:rsid w:val="007851F0"/>
    <w:rsid w:val="0078542F"/>
    <w:rsid w:val="00785C42"/>
    <w:rsid w:val="00785DF4"/>
    <w:rsid w:val="00786129"/>
    <w:rsid w:val="007862F5"/>
    <w:rsid w:val="00786412"/>
    <w:rsid w:val="00786BA3"/>
    <w:rsid w:val="00786EC4"/>
    <w:rsid w:val="00786F6D"/>
    <w:rsid w:val="0078748B"/>
    <w:rsid w:val="0078797C"/>
    <w:rsid w:val="00787B02"/>
    <w:rsid w:val="00787FE4"/>
    <w:rsid w:val="007900AA"/>
    <w:rsid w:val="00790729"/>
    <w:rsid w:val="00790738"/>
    <w:rsid w:val="00790E55"/>
    <w:rsid w:val="00790EB2"/>
    <w:rsid w:val="00790FD9"/>
    <w:rsid w:val="007911F3"/>
    <w:rsid w:val="00791346"/>
    <w:rsid w:val="0079144B"/>
    <w:rsid w:val="007915A8"/>
    <w:rsid w:val="007917BD"/>
    <w:rsid w:val="007919B8"/>
    <w:rsid w:val="00791A60"/>
    <w:rsid w:val="00792ABF"/>
    <w:rsid w:val="00792B88"/>
    <w:rsid w:val="007931AC"/>
    <w:rsid w:val="00793A07"/>
    <w:rsid w:val="00794DDA"/>
    <w:rsid w:val="0079523B"/>
    <w:rsid w:val="00795760"/>
    <w:rsid w:val="00795BED"/>
    <w:rsid w:val="00795D62"/>
    <w:rsid w:val="00796446"/>
    <w:rsid w:val="00796503"/>
    <w:rsid w:val="00796513"/>
    <w:rsid w:val="00796FA9"/>
    <w:rsid w:val="007976F3"/>
    <w:rsid w:val="00797BCD"/>
    <w:rsid w:val="007A0778"/>
    <w:rsid w:val="007A0CBF"/>
    <w:rsid w:val="007A0CEA"/>
    <w:rsid w:val="007A0E06"/>
    <w:rsid w:val="007A1B81"/>
    <w:rsid w:val="007A276F"/>
    <w:rsid w:val="007A2D57"/>
    <w:rsid w:val="007A32E1"/>
    <w:rsid w:val="007A33FC"/>
    <w:rsid w:val="007A3667"/>
    <w:rsid w:val="007A4293"/>
    <w:rsid w:val="007A4780"/>
    <w:rsid w:val="007A4A84"/>
    <w:rsid w:val="007A4CF5"/>
    <w:rsid w:val="007A4E10"/>
    <w:rsid w:val="007A4EBE"/>
    <w:rsid w:val="007A510A"/>
    <w:rsid w:val="007A600E"/>
    <w:rsid w:val="007A66C8"/>
    <w:rsid w:val="007A6979"/>
    <w:rsid w:val="007A7E5F"/>
    <w:rsid w:val="007B015E"/>
    <w:rsid w:val="007B0227"/>
    <w:rsid w:val="007B041D"/>
    <w:rsid w:val="007B0556"/>
    <w:rsid w:val="007B0794"/>
    <w:rsid w:val="007B0E46"/>
    <w:rsid w:val="007B0F12"/>
    <w:rsid w:val="007B162C"/>
    <w:rsid w:val="007B1EFC"/>
    <w:rsid w:val="007B2CCD"/>
    <w:rsid w:val="007B2D20"/>
    <w:rsid w:val="007B2DDD"/>
    <w:rsid w:val="007B2DDE"/>
    <w:rsid w:val="007B2EE9"/>
    <w:rsid w:val="007B318F"/>
    <w:rsid w:val="007B31F2"/>
    <w:rsid w:val="007B34FA"/>
    <w:rsid w:val="007B36AD"/>
    <w:rsid w:val="007B3786"/>
    <w:rsid w:val="007B4575"/>
    <w:rsid w:val="007B4829"/>
    <w:rsid w:val="007B4E3B"/>
    <w:rsid w:val="007B52DB"/>
    <w:rsid w:val="007B547A"/>
    <w:rsid w:val="007B5851"/>
    <w:rsid w:val="007B586D"/>
    <w:rsid w:val="007B5B19"/>
    <w:rsid w:val="007B5CFC"/>
    <w:rsid w:val="007B6028"/>
    <w:rsid w:val="007B6325"/>
    <w:rsid w:val="007B6A58"/>
    <w:rsid w:val="007B6DE7"/>
    <w:rsid w:val="007B7EEB"/>
    <w:rsid w:val="007B7F6C"/>
    <w:rsid w:val="007C03AB"/>
    <w:rsid w:val="007C05C9"/>
    <w:rsid w:val="007C0AFD"/>
    <w:rsid w:val="007C0D27"/>
    <w:rsid w:val="007C1336"/>
    <w:rsid w:val="007C144F"/>
    <w:rsid w:val="007C1CAF"/>
    <w:rsid w:val="007C2CEF"/>
    <w:rsid w:val="007C2EBB"/>
    <w:rsid w:val="007C3063"/>
    <w:rsid w:val="007C3548"/>
    <w:rsid w:val="007C3F67"/>
    <w:rsid w:val="007C4932"/>
    <w:rsid w:val="007C49D0"/>
    <w:rsid w:val="007C4CD8"/>
    <w:rsid w:val="007C5F0E"/>
    <w:rsid w:val="007C6762"/>
    <w:rsid w:val="007C6EE4"/>
    <w:rsid w:val="007C7068"/>
    <w:rsid w:val="007C72A0"/>
    <w:rsid w:val="007C7F3E"/>
    <w:rsid w:val="007C7FC0"/>
    <w:rsid w:val="007D0329"/>
    <w:rsid w:val="007D06E1"/>
    <w:rsid w:val="007D0882"/>
    <w:rsid w:val="007D0A5A"/>
    <w:rsid w:val="007D0B2B"/>
    <w:rsid w:val="007D0CAC"/>
    <w:rsid w:val="007D10E1"/>
    <w:rsid w:val="007D1177"/>
    <w:rsid w:val="007D1A13"/>
    <w:rsid w:val="007D1D9B"/>
    <w:rsid w:val="007D27D0"/>
    <w:rsid w:val="007D2C42"/>
    <w:rsid w:val="007D3B18"/>
    <w:rsid w:val="007D3FC5"/>
    <w:rsid w:val="007D4219"/>
    <w:rsid w:val="007D426E"/>
    <w:rsid w:val="007D4455"/>
    <w:rsid w:val="007D4492"/>
    <w:rsid w:val="007D471F"/>
    <w:rsid w:val="007D50B0"/>
    <w:rsid w:val="007D52CA"/>
    <w:rsid w:val="007D576B"/>
    <w:rsid w:val="007D57BD"/>
    <w:rsid w:val="007D5D10"/>
    <w:rsid w:val="007D5FDC"/>
    <w:rsid w:val="007D676B"/>
    <w:rsid w:val="007D6B83"/>
    <w:rsid w:val="007D6FE0"/>
    <w:rsid w:val="007D73D8"/>
    <w:rsid w:val="007D7420"/>
    <w:rsid w:val="007D778F"/>
    <w:rsid w:val="007D7916"/>
    <w:rsid w:val="007D7B0A"/>
    <w:rsid w:val="007D7DB8"/>
    <w:rsid w:val="007E074C"/>
    <w:rsid w:val="007E0A71"/>
    <w:rsid w:val="007E0A96"/>
    <w:rsid w:val="007E0ABE"/>
    <w:rsid w:val="007E11E6"/>
    <w:rsid w:val="007E13FD"/>
    <w:rsid w:val="007E16B3"/>
    <w:rsid w:val="007E2325"/>
    <w:rsid w:val="007E288D"/>
    <w:rsid w:val="007E2897"/>
    <w:rsid w:val="007E28DD"/>
    <w:rsid w:val="007E2941"/>
    <w:rsid w:val="007E2B3C"/>
    <w:rsid w:val="007E2F59"/>
    <w:rsid w:val="007E308D"/>
    <w:rsid w:val="007E30C6"/>
    <w:rsid w:val="007E33D3"/>
    <w:rsid w:val="007E3860"/>
    <w:rsid w:val="007E3F67"/>
    <w:rsid w:val="007E433B"/>
    <w:rsid w:val="007E44EF"/>
    <w:rsid w:val="007E473E"/>
    <w:rsid w:val="007E4816"/>
    <w:rsid w:val="007E4A90"/>
    <w:rsid w:val="007E4AEF"/>
    <w:rsid w:val="007E4D26"/>
    <w:rsid w:val="007E5283"/>
    <w:rsid w:val="007E5DC3"/>
    <w:rsid w:val="007E6096"/>
    <w:rsid w:val="007E61F0"/>
    <w:rsid w:val="007E63A3"/>
    <w:rsid w:val="007E6D18"/>
    <w:rsid w:val="007E6E05"/>
    <w:rsid w:val="007E6E80"/>
    <w:rsid w:val="007E6E81"/>
    <w:rsid w:val="007E6EDE"/>
    <w:rsid w:val="007E705C"/>
    <w:rsid w:val="007E7249"/>
    <w:rsid w:val="007E7819"/>
    <w:rsid w:val="007E79FC"/>
    <w:rsid w:val="007E7AED"/>
    <w:rsid w:val="007E7CBB"/>
    <w:rsid w:val="007E7DB9"/>
    <w:rsid w:val="007E7F4B"/>
    <w:rsid w:val="007F0595"/>
    <w:rsid w:val="007F0596"/>
    <w:rsid w:val="007F0B66"/>
    <w:rsid w:val="007F0DE8"/>
    <w:rsid w:val="007F1470"/>
    <w:rsid w:val="007F152B"/>
    <w:rsid w:val="007F161F"/>
    <w:rsid w:val="007F17EF"/>
    <w:rsid w:val="007F1CFC"/>
    <w:rsid w:val="007F1D21"/>
    <w:rsid w:val="007F1EC7"/>
    <w:rsid w:val="007F1F57"/>
    <w:rsid w:val="007F22C8"/>
    <w:rsid w:val="007F3014"/>
    <w:rsid w:val="007F3860"/>
    <w:rsid w:val="007F4568"/>
    <w:rsid w:val="007F4910"/>
    <w:rsid w:val="007F4B44"/>
    <w:rsid w:val="007F4E02"/>
    <w:rsid w:val="007F4EA7"/>
    <w:rsid w:val="007F5555"/>
    <w:rsid w:val="007F5678"/>
    <w:rsid w:val="007F5AAC"/>
    <w:rsid w:val="007F5F3D"/>
    <w:rsid w:val="007F608E"/>
    <w:rsid w:val="007F62E3"/>
    <w:rsid w:val="007F66E0"/>
    <w:rsid w:val="007F69AD"/>
    <w:rsid w:val="007F6DAF"/>
    <w:rsid w:val="007F73B8"/>
    <w:rsid w:val="00800003"/>
    <w:rsid w:val="0080015E"/>
    <w:rsid w:val="00800407"/>
    <w:rsid w:val="00801212"/>
    <w:rsid w:val="008012E7"/>
    <w:rsid w:val="008028E6"/>
    <w:rsid w:val="00802A79"/>
    <w:rsid w:val="00802AC7"/>
    <w:rsid w:val="00802BEB"/>
    <w:rsid w:val="00802CA9"/>
    <w:rsid w:val="0080302F"/>
    <w:rsid w:val="00803794"/>
    <w:rsid w:val="00803913"/>
    <w:rsid w:val="00803EDF"/>
    <w:rsid w:val="008043A1"/>
    <w:rsid w:val="008048C4"/>
    <w:rsid w:val="00804A45"/>
    <w:rsid w:val="00804EED"/>
    <w:rsid w:val="00805A1B"/>
    <w:rsid w:val="00805ABC"/>
    <w:rsid w:val="00805D4A"/>
    <w:rsid w:val="00806367"/>
    <w:rsid w:val="00806524"/>
    <w:rsid w:val="00806897"/>
    <w:rsid w:val="00806ECD"/>
    <w:rsid w:val="0080755D"/>
    <w:rsid w:val="008076B6"/>
    <w:rsid w:val="00807730"/>
    <w:rsid w:val="00807881"/>
    <w:rsid w:val="008078E4"/>
    <w:rsid w:val="00807B21"/>
    <w:rsid w:val="008105E5"/>
    <w:rsid w:val="00810608"/>
    <w:rsid w:val="0081077B"/>
    <w:rsid w:val="00810893"/>
    <w:rsid w:val="008108B1"/>
    <w:rsid w:val="00810B0E"/>
    <w:rsid w:val="00810E17"/>
    <w:rsid w:val="00811121"/>
    <w:rsid w:val="00811148"/>
    <w:rsid w:val="0081117E"/>
    <w:rsid w:val="008114BD"/>
    <w:rsid w:val="00811584"/>
    <w:rsid w:val="00811B00"/>
    <w:rsid w:val="00811E1D"/>
    <w:rsid w:val="008122CD"/>
    <w:rsid w:val="008127ED"/>
    <w:rsid w:val="00812849"/>
    <w:rsid w:val="008128B3"/>
    <w:rsid w:val="00812DB0"/>
    <w:rsid w:val="00812FDC"/>
    <w:rsid w:val="00813108"/>
    <w:rsid w:val="0081330B"/>
    <w:rsid w:val="0081377A"/>
    <w:rsid w:val="00813E6E"/>
    <w:rsid w:val="00814116"/>
    <w:rsid w:val="00814AE4"/>
    <w:rsid w:val="008153B4"/>
    <w:rsid w:val="00815459"/>
    <w:rsid w:val="008154E6"/>
    <w:rsid w:val="0081574A"/>
    <w:rsid w:val="00815773"/>
    <w:rsid w:val="008157E8"/>
    <w:rsid w:val="0081639E"/>
    <w:rsid w:val="00816485"/>
    <w:rsid w:val="008166C9"/>
    <w:rsid w:val="008168EE"/>
    <w:rsid w:val="00816A77"/>
    <w:rsid w:val="00817106"/>
    <w:rsid w:val="00817210"/>
    <w:rsid w:val="00817427"/>
    <w:rsid w:val="008174E0"/>
    <w:rsid w:val="00817548"/>
    <w:rsid w:val="00817C12"/>
    <w:rsid w:val="008206C8"/>
    <w:rsid w:val="00820A94"/>
    <w:rsid w:val="00820B88"/>
    <w:rsid w:val="00820C54"/>
    <w:rsid w:val="00821375"/>
    <w:rsid w:val="00821781"/>
    <w:rsid w:val="008219C9"/>
    <w:rsid w:val="00821B9D"/>
    <w:rsid w:val="00821BA5"/>
    <w:rsid w:val="0082232B"/>
    <w:rsid w:val="0082292E"/>
    <w:rsid w:val="00822968"/>
    <w:rsid w:val="00822D99"/>
    <w:rsid w:val="0082338C"/>
    <w:rsid w:val="00823414"/>
    <w:rsid w:val="008235FC"/>
    <w:rsid w:val="00823836"/>
    <w:rsid w:val="00823A0B"/>
    <w:rsid w:val="00823B7E"/>
    <w:rsid w:val="00823E95"/>
    <w:rsid w:val="008243CF"/>
    <w:rsid w:val="0082454C"/>
    <w:rsid w:val="0082499B"/>
    <w:rsid w:val="008262C6"/>
    <w:rsid w:val="00826E5D"/>
    <w:rsid w:val="008306DD"/>
    <w:rsid w:val="00830738"/>
    <w:rsid w:val="0083089A"/>
    <w:rsid w:val="00830B61"/>
    <w:rsid w:val="00830D34"/>
    <w:rsid w:val="00830D4F"/>
    <w:rsid w:val="00830FCF"/>
    <w:rsid w:val="0083165C"/>
    <w:rsid w:val="008318EF"/>
    <w:rsid w:val="00831B89"/>
    <w:rsid w:val="008326C4"/>
    <w:rsid w:val="0083336F"/>
    <w:rsid w:val="0083394D"/>
    <w:rsid w:val="00833DAB"/>
    <w:rsid w:val="00834266"/>
    <w:rsid w:val="00834743"/>
    <w:rsid w:val="00834D58"/>
    <w:rsid w:val="00834E05"/>
    <w:rsid w:val="00835023"/>
    <w:rsid w:val="008350D7"/>
    <w:rsid w:val="0083558A"/>
    <w:rsid w:val="00835891"/>
    <w:rsid w:val="008366CC"/>
    <w:rsid w:val="00837111"/>
    <w:rsid w:val="00837FC7"/>
    <w:rsid w:val="00840159"/>
    <w:rsid w:val="008406BC"/>
    <w:rsid w:val="00840944"/>
    <w:rsid w:val="008417E8"/>
    <w:rsid w:val="008426E7"/>
    <w:rsid w:val="00842A15"/>
    <w:rsid w:val="00842F90"/>
    <w:rsid w:val="00843CA4"/>
    <w:rsid w:val="00843EBA"/>
    <w:rsid w:val="0084438E"/>
    <w:rsid w:val="00844679"/>
    <w:rsid w:val="00844B05"/>
    <w:rsid w:val="0084520D"/>
    <w:rsid w:val="0084523F"/>
    <w:rsid w:val="00845596"/>
    <w:rsid w:val="0084586C"/>
    <w:rsid w:val="00845A95"/>
    <w:rsid w:val="00845F3C"/>
    <w:rsid w:val="00846761"/>
    <w:rsid w:val="00846B21"/>
    <w:rsid w:val="00847334"/>
    <w:rsid w:val="0084766E"/>
    <w:rsid w:val="008476AC"/>
    <w:rsid w:val="00847FCC"/>
    <w:rsid w:val="0085012F"/>
    <w:rsid w:val="00850235"/>
    <w:rsid w:val="00850276"/>
    <w:rsid w:val="00850DAB"/>
    <w:rsid w:val="00850E5D"/>
    <w:rsid w:val="00850FE2"/>
    <w:rsid w:val="0085133F"/>
    <w:rsid w:val="00851515"/>
    <w:rsid w:val="00851672"/>
    <w:rsid w:val="00851C7A"/>
    <w:rsid w:val="00851C91"/>
    <w:rsid w:val="00851EBF"/>
    <w:rsid w:val="00851F23"/>
    <w:rsid w:val="00852090"/>
    <w:rsid w:val="008521B0"/>
    <w:rsid w:val="008524CA"/>
    <w:rsid w:val="0085258D"/>
    <w:rsid w:val="00852746"/>
    <w:rsid w:val="00852759"/>
    <w:rsid w:val="00852C26"/>
    <w:rsid w:val="00852C87"/>
    <w:rsid w:val="0085329F"/>
    <w:rsid w:val="00853A5D"/>
    <w:rsid w:val="008540D7"/>
    <w:rsid w:val="00854BFE"/>
    <w:rsid w:val="00855713"/>
    <w:rsid w:val="00855BEC"/>
    <w:rsid w:val="00855C98"/>
    <w:rsid w:val="00855EF7"/>
    <w:rsid w:val="00856096"/>
    <w:rsid w:val="008567F0"/>
    <w:rsid w:val="00856AC5"/>
    <w:rsid w:val="00856B00"/>
    <w:rsid w:val="00857163"/>
    <w:rsid w:val="00857230"/>
    <w:rsid w:val="008574A1"/>
    <w:rsid w:val="00857866"/>
    <w:rsid w:val="00860718"/>
    <w:rsid w:val="0086093A"/>
    <w:rsid w:val="008611CF"/>
    <w:rsid w:val="00861EB0"/>
    <w:rsid w:val="00862094"/>
    <w:rsid w:val="008621CB"/>
    <w:rsid w:val="00862366"/>
    <w:rsid w:val="00862C4E"/>
    <w:rsid w:val="00862DEE"/>
    <w:rsid w:val="0086335C"/>
    <w:rsid w:val="00863454"/>
    <w:rsid w:val="00863E83"/>
    <w:rsid w:val="0086474F"/>
    <w:rsid w:val="008647E6"/>
    <w:rsid w:val="008649BE"/>
    <w:rsid w:val="00864BFB"/>
    <w:rsid w:val="008651F3"/>
    <w:rsid w:val="008652B4"/>
    <w:rsid w:val="008653CE"/>
    <w:rsid w:val="00865E66"/>
    <w:rsid w:val="00865EFB"/>
    <w:rsid w:val="008662AC"/>
    <w:rsid w:val="0086645B"/>
    <w:rsid w:val="0086707E"/>
    <w:rsid w:val="0086719A"/>
    <w:rsid w:val="0086771C"/>
    <w:rsid w:val="00867F01"/>
    <w:rsid w:val="008702CA"/>
    <w:rsid w:val="008702CE"/>
    <w:rsid w:val="00870493"/>
    <w:rsid w:val="00870A86"/>
    <w:rsid w:val="00871045"/>
    <w:rsid w:val="0087113B"/>
    <w:rsid w:val="00871205"/>
    <w:rsid w:val="00871364"/>
    <w:rsid w:val="0087186F"/>
    <w:rsid w:val="0087239C"/>
    <w:rsid w:val="00872495"/>
    <w:rsid w:val="008729AE"/>
    <w:rsid w:val="008729F0"/>
    <w:rsid w:val="008732EC"/>
    <w:rsid w:val="00873AE9"/>
    <w:rsid w:val="00873C33"/>
    <w:rsid w:val="00873DEC"/>
    <w:rsid w:val="0087424B"/>
    <w:rsid w:val="008742C0"/>
    <w:rsid w:val="0087438B"/>
    <w:rsid w:val="008744CE"/>
    <w:rsid w:val="00874806"/>
    <w:rsid w:val="00874B0E"/>
    <w:rsid w:val="00874B70"/>
    <w:rsid w:val="00874E64"/>
    <w:rsid w:val="0087501A"/>
    <w:rsid w:val="0087509C"/>
    <w:rsid w:val="00875361"/>
    <w:rsid w:val="00875421"/>
    <w:rsid w:val="008754E7"/>
    <w:rsid w:val="00875DEE"/>
    <w:rsid w:val="00876060"/>
    <w:rsid w:val="008773D5"/>
    <w:rsid w:val="0088047C"/>
    <w:rsid w:val="0088048A"/>
    <w:rsid w:val="0088054C"/>
    <w:rsid w:val="008806CA"/>
    <w:rsid w:val="00880939"/>
    <w:rsid w:val="00880CEF"/>
    <w:rsid w:val="00881363"/>
    <w:rsid w:val="00881422"/>
    <w:rsid w:val="0088158E"/>
    <w:rsid w:val="00881593"/>
    <w:rsid w:val="008815DD"/>
    <w:rsid w:val="008816D3"/>
    <w:rsid w:val="00881875"/>
    <w:rsid w:val="00882151"/>
    <w:rsid w:val="008821AF"/>
    <w:rsid w:val="00882369"/>
    <w:rsid w:val="008829EF"/>
    <w:rsid w:val="00882D64"/>
    <w:rsid w:val="008831F5"/>
    <w:rsid w:val="0088326E"/>
    <w:rsid w:val="008836FD"/>
    <w:rsid w:val="00883A1D"/>
    <w:rsid w:val="00883F9B"/>
    <w:rsid w:val="0088462B"/>
    <w:rsid w:val="008846E0"/>
    <w:rsid w:val="00884AC6"/>
    <w:rsid w:val="00884D16"/>
    <w:rsid w:val="008851EA"/>
    <w:rsid w:val="00885530"/>
    <w:rsid w:val="008855AF"/>
    <w:rsid w:val="0088572C"/>
    <w:rsid w:val="00885D38"/>
    <w:rsid w:val="00885E8F"/>
    <w:rsid w:val="00886283"/>
    <w:rsid w:val="008862EF"/>
    <w:rsid w:val="0088712F"/>
    <w:rsid w:val="00887AE5"/>
    <w:rsid w:val="00887B13"/>
    <w:rsid w:val="0089002D"/>
    <w:rsid w:val="008904C8"/>
    <w:rsid w:val="008907E4"/>
    <w:rsid w:val="0089084D"/>
    <w:rsid w:val="00890AF1"/>
    <w:rsid w:val="00890D72"/>
    <w:rsid w:val="00890F9E"/>
    <w:rsid w:val="0089147E"/>
    <w:rsid w:val="00891488"/>
    <w:rsid w:val="0089161C"/>
    <w:rsid w:val="0089247F"/>
    <w:rsid w:val="00892CFF"/>
    <w:rsid w:val="008933F8"/>
    <w:rsid w:val="008934A3"/>
    <w:rsid w:val="00893F13"/>
    <w:rsid w:val="00894100"/>
    <w:rsid w:val="00894309"/>
    <w:rsid w:val="00894473"/>
    <w:rsid w:val="008946D1"/>
    <w:rsid w:val="008947CA"/>
    <w:rsid w:val="00894B8C"/>
    <w:rsid w:val="00894D4D"/>
    <w:rsid w:val="00894D8D"/>
    <w:rsid w:val="00895632"/>
    <w:rsid w:val="0089693E"/>
    <w:rsid w:val="00897555"/>
    <w:rsid w:val="00897933"/>
    <w:rsid w:val="008A0081"/>
    <w:rsid w:val="008A054C"/>
    <w:rsid w:val="008A06E2"/>
    <w:rsid w:val="008A0770"/>
    <w:rsid w:val="008A0802"/>
    <w:rsid w:val="008A0DF6"/>
    <w:rsid w:val="008A0E96"/>
    <w:rsid w:val="008A10B3"/>
    <w:rsid w:val="008A152F"/>
    <w:rsid w:val="008A1BEC"/>
    <w:rsid w:val="008A2328"/>
    <w:rsid w:val="008A23F5"/>
    <w:rsid w:val="008A244F"/>
    <w:rsid w:val="008A255F"/>
    <w:rsid w:val="008A26CE"/>
    <w:rsid w:val="008A2C33"/>
    <w:rsid w:val="008A2C64"/>
    <w:rsid w:val="008A3586"/>
    <w:rsid w:val="008A3DA7"/>
    <w:rsid w:val="008A3E5F"/>
    <w:rsid w:val="008A3F44"/>
    <w:rsid w:val="008A4130"/>
    <w:rsid w:val="008A4ABF"/>
    <w:rsid w:val="008A4C85"/>
    <w:rsid w:val="008A5253"/>
    <w:rsid w:val="008A5926"/>
    <w:rsid w:val="008A59B4"/>
    <w:rsid w:val="008A5B48"/>
    <w:rsid w:val="008A62A6"/>
    <w:rsid w:val="008A63B9"/>
    <w:rsid w:val="008A6E88"/>
    <w:rsid w:val="008A748D"/>
    <w:rsid w:val="008A754F"/>
    <w:rsid w:val="008A7B7F"/>
    <w:rsid w:val="008B0254"/>
    <w:rsid w:val="008B1048"/>
    <w:rsid w:val="008B10B7"/>
    <w:rsid w:val="008B1465"/>
    <w:rsid w:val="008B1719"/>
    <w:rsid w:val="008B1867"/>
    <w:rsid w:val="008B1C2F"/>
    <w:rsid w:val="008B1E2F"/>
    <w:rsid w:val="008B2233"/>
    <w:rsid w:val="008B2325"/>
    <w:rsid w:val="008B24C4"/>
    <w:rsid w:val="008B2730"/>
    <w:rsid w:val="008B2A44"/>
    <w:rsid w:val="008B2A51"/>
    <w:rsid w:val="008B2D07"/>
    <w:rsid w:val="008B3079"/>
    <w:rsid w:val="008B3375"/>
    <w:rsid w:val="008B35C2"/>
    <w:rsid w:val="008B3E36"/>
    <w:rsid w:val="008B403A"/>
    <w:rsid w:val="008B4C57"/>
    <w:rsid w:val="008B4E27"/>
    <w:rsid w:val="008B5305"/>
    <w:rsid w:val="008B59FB"/>
    <w:rsid w:val="008B638C"/>
    <w:rsid w:val="008B6437"/>
    <w:rsid w:val="008B6591"/>
    <w:rsid w:val="008B72B1"/>
    <w:rsid w:val="008C076C"/>
    <w:rsid w:val="008C10B4"/>
    <w:rsid w:val="008C14DD"/>
    <w:rsid w:val="008C16CA"/>
    <w:rsid w:val="008C179C"/>
    <w:rsid w:val="008C19B8"/>
    <w:rsid w:val="008C1C93"/>
    <w:rsid w:val="008C1EBB"/>
    <w:rsid w:val="008C214A"/>
    <w:rsid w:val="008C2245"/>
    <w:rsid w:val="008C256C"/>
    <w:rsid w:val="008C267C"/>
    <w:rsid w:val="008C2A04"/>
    <w:rsid w:val="008C2C21"/>
    <w:rsid w:val="008C313A"/>
    <w:rsid w:val="008C33EA"/>
    <w:rsid w:val="008C3759"/>
    <w:rsid w:val="008C3AF6"/>
    <w:rsid w:val="008C3BC7"/>
    <w:rsid w:val="008C3C07"/>
    <w:rsid w:val="008C3C27"/>
    <w:rsid w:val="008C412A"/>
    <w:rsid w:val="008C4174"/>
    <w:rsid w:val="008C44D8"/>
    <w:rsid w:val="008C4898"/>
    <w:rsid w:val="008C4A18"/>
    <w:rsid w:val="008C4B3C"/>
    <w:rsid w:val="008C4CB9"/>
    <w:rsid w:val="008C4E19"/>
    <w:rsid w:val="008C4EE1"/>
    <w:rsid w:val="008C542D"/>
    <w:rsid w:val="008C59FC"/>
    <w:rsid w:val="008C5C2F"/>
    <w:rsid w:val="008C654D"/>
    <w:rsid w:val="008C67D9"/>
    <w:rsid w:val="008C7806"/>
    <w:rsid w:val="008D01EB"/>
    <w:rsid w:val="008D0554"/>
    <w:rsid w:val="008D0834"/>
    <w:rsid w:val="008D0A36"/>
    <w:rsid w:val="008D0FCE"/>
    <w:rsid w:val="008D1382"/>
    <w:rsid w:val="008D1B0E"/>
    <w:rsid w:val="008D1E5E"/>
    <w:rsid w:val="008D22A7"/>
    <w:rsid w:val="008D2612"/>
    <w:rsid w:val="008D2683"/>
    <w:rsid w:val="008D26FF"/>
    <w:rsid w:val="008D27DC"/>
    <w:rsid w:val="008D28C4"/>
    <w:rsid w:val="008D2EF0"/>
    <w:rsid w:val="008D3441"/>
    <w:rsid w:val="008D37E0"/>
    <w:rsid w:val="008D3C9E"/>
    <w:rsid w:val="008D40A9"/>
    <w:rsid w:val="008D4305"/>
    <w:rsid w:val="008D4A73"/>
    <w:rsid w:val="008D5046"/>
    <w:rsid w:val="008D5B67"/>
    <w:rsid w:val="008D77B1"/>
    <w:rsid w:val="008D7C77"/>
    <w:rsid w:val="008D7E0B"/>
    <w:rsid w:val="008D7FC1"/>
    <w:rsid w:val="008E06C3"/>
    <w:rsid w:val="008E0701"/>
    <w:rsid w:val="008E0734"/>
    <w:rsid w:val="008E0D52"/>
    <w:rsid w:val="008E140C"/>
    <w:rsid w:val="008E1A5B"/>
    <w:rsid w:val="008E1BB8"/>
    <w:rsid w:val="008E21C6"/>
    <w:rsid w:val="008E26A3"/>
    <w:rsid w:val="008E298F"/>
    <w:rsid w:val="008E3076"/>
    <w:rsid w:val="008E3D30"/>
    <w:rsid w:val="008E4268"/>
    <w:rsid w:val="008E58FF"/>
    <w:rsid w:val="008E63BF"/>
    <w:rsid w:val="008E6A37"/>
    <w:rsid w:val="008E6A4B"/>
    <w:rsid w:val="008E6C72"/>
    <w:rsid w:val="008E6DF5"/>
    <w:rsid w:val="008E6E33"/>
    <w:rsid w:val="008E7154"/>
    <w:rsid w:val="008E7AD7"/>
    <w:rsid w:val="008E7E7D"/>
    <w:rsid w:val="008F0036"/>
    <w:rsid w:val="008F0580"/>
    <w:rsid w:val="008F0665"/>
    <w:rsid w:val="008F10E9"/>
    <w:rsid w:val="008F14E5"/>
    <w:rsid w:val="008F1532"/>
    <w:rsid w:val="008F191D"/>
    <w:rsid w:val="008F1BD6"/>
    <w:rsid w:val="008F1D3D"/>
    <w:rsid w:val="008F1DF8"/>
    <w:rsid w:val="008F1E5A"/>
    <w:rsid w:val="008F2D37"/>
    <w:rsid w:val="008F3137"/>
    <w:rsid w:val="008F368A"/>
    <w:rsid w:val="008F3C5D"/>
    <w:rsid w:val="008F3FBA"/>
    <w:rsid w:val="008F4719"/>
    <w:rsid w:val="008F48F3"/>
    <w:rsid w:val="008F5786"/>
    <w:rsid w:val="008F583F"/>
    <w:rsid w:val="008F5C04"/>
    <w:rsid w:val="008F5C40"/>
    <w:rsid w:val="008F5D36"/>
    <w:rsid w:val="008F5D3C"/>
    <w:rsid w:val="008F5EA0"/>
    <w:rsid w:val="008F66B2"/>
    <w:rsid w:val="008F6775"/>
    <w:rsid w:val="008F682B"/>
    <w:rsid w:val="008F6970"/>
    <w:rsid w:val="008F6A9A"/>
    <w:rsid w:val="008F73F2"/>
    <w:rsid w:val="008F756D"/>
    <w:rsid w:val="008F775D"/>
    <w:rsid w:val="008F7B92"/>
    <w:rsid w:val="008F7D59"/>
    <w:rsid w:val="009005A6"/>
    <w:rsid w:val="00900A28"/>
    <w:rsid w:val="00900C85"/>
    <w:rsid w:val="00901414"/>
    <w:rsid w:val="00901497"/>
    <w:rsid w:val="009014B2"/>
    <w:rsid w:val="009021FE"/>
    <w:rsid w:val="009022FB"/>
    <w:rsid w:val="00902873"/>
    <w:rsid w:val="00902B26"/>
    <w:rsid w:val="00902B4F"/>
    <w:rsid w:val="009031E9"/>
    <w:rsid w:val="00903E0A"/>
    <w:rsid w:val="00903F2A"/>
    <w:rsid w:val="00904065"/>
    <w:rsid w:val="00904612"/>
    <w:rsid w:val="00904AFF"/>
    <w:rsid w:val="00904B0D"/>
    <w:rsid w:val="00904C10"/>
    <w:rsid w:val="00904EFB"/>
    <w:rsid w:val="00904F00"/>
    <w:rsid w:val="00905188"/>
    <w:rsid w:val="009055F3"/>
    <w:rsid w:val="0090561A"/>
    <w:rsid w:val="0090591E"/>
    <w:rsid w:val="009059B3"/>
    <w:rsid w:val="009059F9"/>
    <w:rsid w:val="00905DBA"/>
    <w:rsid w:val="00906A86"/>
    <w:rsid w:val="00906DA2"/>
    <w:rsid w:val="0090745A"/>
    <w:rsid w:val="0091024B"/>
    <w:rsid w:val="00910FB6"/>
    <w:rsid w:val="0091153C"/>
    <w:rsid w:val="00911559"/>
    <w:rsid w:val="00911C26"/>
    <w:rsid w:val="00912660"/>
    <w:rsid w:val="00912807"/>
    <w:rsid w:val="00912809"/>
    <w:rsid w:val="00912CD0"/>
    <w:rsid w:val="00912DE1"/>
    <w:rsid w:val="0091334D"/>
    <w:rsid w:val="00914093"/>
    <w:rsid w:val="009140C5"/>
    <w:rsid w:val="009141CE"/>
    <w:rsid w:val="009149C2"/>
    <w:rsid w:val="009149CF"/>
    <w:rsid w:val="00914A01"/>
    <w:rsid w:val="00914BE0"/>
    <w:rsid w:val="00914FB4"/>
    <w:rsid w:val="009157C9"/>
    <w:rsid w:val="00915BC2"/>
    <w:rsid w:val="009163B1"/>
    <w:rsid w:val="009167A6"/>
    <w:rsid w:val="00916CDD"/>
    <w:rsid w:val="00916FC4"/>
    <w:rsid w:val="009172F7"/>
    <w:rsid w:val="00917656"/>
    <w:rsid w:val="0091770C"/>
    <w:rsid w:val="009179BB"/>
    <w:rsid w:val="00920557"/>
    <w:rsid w:val="00921083"/>
    <w:rsid w:val="00921372"/>
    <w:rsid w:val="00921679"/>
    <w:rsid w:val="0092182B"/>
    <w:rsid w:val="00921A85"/>
    <w:rsid w:val="00921CFB"/>
    <w:rsid w:val="00922341"/>
    <w:rsid w:val="00922759"/>
    <w:rsid w:val="00922933"/>
    <w:rsid w:val="00922A91"/>
    <w:rsid w:val="00922C5C"/>
    <w:rsid w:val="00922F87"/>
    <w:rsid w:val="00923639"/>
    <w:rsid w:val="00923CD6"/>
    <w:rsid w:val="009249C7"/>
    <w:rsid w:val="00924DF4"/>
    <w:rsid w:val="00924E25"/>
    <w:rsid w:val="00925619"/>
    <w:rsid w:val="00925A9F"/>
    <w:rsid w:val="00925E8A"/>
    <w:rsid w:val="00926089"/>
    <w:rsid w:val="00926262"/>
    <w:rsid w:val="009273A4"/>
    <w:rsid w:val="009273DD"/>
    <w:rsid w:val="00927688"/>
    <w:rsid w:val="00927BEC"/>
    <w:rsid w:val="0093018C"/>
    <w:rsid w:val="009304D8"/>
    <w:rsid w:val="009317E9"/>
    <w:rsid w:val="00931F1A"/>
    <w:rsid w:val="00932F1D"/>
    <w:rsid w:val="00933151"/>
    <w:rsid w:val="0093319E"/>
    <w:rsid w:val="00933734"/>
    <w:rsid w:val="00933860"/>
    <w:rsid w:val="00933B3E"/>
    <w:rsid w:val="00933D9C"/>
    <w:rsid w:val="00933DB6"/>
    <w:rsid w:val="00934702"/>
    <w:rsid w:val="0093493B"/>
    <w:rsid w:val="00934C75"/>
    <w:rsid w:val="0093557D"/>
    <w:rsid w:val="00935580"/>
    <w:rsid w:val="0093588E"/>
    <w:rsid w:val="00935A21"/>
    <w:rsid w:val="00935C78"/>
    <w:rsid w:val="009361AA"/>
    <w:rsid w:val="009366A8"/>
    <w:rsid w:val="009369EB"/>
    <w:rsid w:val="00937027"/>
    <w:rsid w:val="009376E6"/>
    <w:rsid w:val="00937A47"/>
    <w:rsid w:val="00937A50"/>
    <w:rsid w:val="009408EB"/>
    <w:rsid w:val="00940C1C"/>
    <w:rsid w:val="0094160E"/>
    <w:rsid w:val="009419E7"/>
    <w:rsid w:val="00941A78"/>
    <w:rsid w:val="0094203A"/>
    <w:rsid w:val="00942042"/>
    <w:rsid w:val="00942566"/>
    <w:rsid w:val="00942674"/>
    <w:rsid w:val="0094287B"/>
    <w:rsid w:val="00942A76"/>
    <w:rsid w:val="00942E64"/>
    <w:rsid w:val="009430B9"/>
    <w:rsid w:val="009433BB"/>
    <w:rsid w:val="009433E3"/>
    <w:rsid w:val="00943401"/>
    <w:rsid w:val="00943496"/>
    <w:rsid w:val="009435FB"/>
    <w:rsid w:val="00943A76"/>
    <w:rsid w:val="00944127"/>
    <w:rsid w:val="0094472F"/>
    <w:rsid w:val="0094495B"/>
    <w:rsid w:val="00945424"/>
    <w:rsid w:val="00945D12"/>
    <w:rsid w:val="00945FA9"/>
    <w:rsid w:val="00946072"/>
    <w:rsid w:val="009461A3"/>
    <w:rsid w:val="0094636A"/>
    <w:rsid w:val="00946CA5"/>
    <w:rsid w:val="00947594"/>
    <w:rsid w:val="009476B4"/>
    <w:rsid w:val="00947B0A"/>
    <w:rsid w:val="009502A8"/>
    <w:rsid w:val="00950728"/>
    <w:rsid w:val="00950AD2"/>
    <w:rsid w:val="00950F77"/>
    <w:rsid w:val="0095176F"/>
    <w:rsid w:val="009517A4"/>
    <w:rsid w:val="00951806"/>
    <w:rsid w:val="00951898"/>
    <w:rsid w:val="009518C2"/>
    <w:rsid w:val="00951EF0"/>
    <w:rsid w:val="009529D7"/>
    <w:rsid w:val="009529DC"/>
    <w:rsid w:val="00952C2D"/>
    <w:rsid w:val="00952D60"/>
    <w:rsid w:val="00952D67"/>
    <w:rsid w:val="00952D9D"/>
    <w:rsid w:val="00953003"/>
    <w:rsid w:val="009533BE"/>
    <w:rsid w:val="00953679"/>
    <w:rsid w:val="0095375B"/>
    <w:rsid w:val="0095385E"/>
    <w:rsid w:val="00954D0B"/>
    <w:rsid w:val="009550CD"/>
    <w:rsid w:val="009552BB"/>
    <w:rsid w:val="00955D8E"/>
    <w:rsid w:val="00956305"/>
    <w:rsid w:val="009563A0"/>
    <w:rsid w:val="00956A08"/>
    <w:rsid w:val="0095742D"/>
    <w:rsid w:val="009578CF"/>
    <w:rsid w:val="00960178"/>
    <w:rsid w:val="00960B94"/>
    <w:rsid w:val="00960B9C"/>
    <w:rsid w:val="00960BA0"/>
    <w:rsid w:val="00960DAE"/>
    <w:rsid w:val="0096178F"/>
    <w:rsid w:val="00961977"/>
    <w:rsid w:val="00961EAC"/>
    <w:rsid w:val="009625DA"/>
    <w:rsid w:val="00963125"/>
    <w:rsid w:val="00963425"/>
    <w:rsid w:val="0096342F"/>
    <w:rsid w:val="00964E65"/>
    <w:rsid w:val="00964E9D"/>
    <w:rsid w:val="00964EFE"/>
    <w:rsid w:val="00964F3D"/>
    <w:rsid w:val="009651E4"/>
    <w:rsid w:val="009653D0"/>
    <w:rsid w:val="00965546"/>
    <w:rsid w:val="00965E6B"/>
    <w:rsid w:val="0096617C"/>
    <w:rsid w:val="009666C5"/>
    <w:rsid w:val="00966F08"/>
    <w:rsid w:val="009671CE"/>
    <w:rsid w:val="009674B7"/>
    <w:rsid w:val="00967881"/>
    <w:rsid w:val="00967C52"/>
    <w:rsid w:val="0097049F"/>
    <w:rsid w:val="00970571"/>
    <w:rsid w:val="00970BF0"/>
    <w:rsid w:val="00970D77"/>
    <w:rsid w:val="0097112A"/>
    <w:rsid w:val="00971BF7"/>
    <w:rsid w:val="0097324C"/>
    <w:rsid w:val="0097333C"/>
    <w:rsid w:val="0097334C"/>
    <w:rsid w:val="009733D2"/>
    <w:rsid w:val="009735A2"/>
    <w:rsid w:val="00973A95"/>
    <w:rsid w:val="009748C7"/>
    <w:rsid w:val="00974E0A"/>
    <w:rsid w:val="00975369"/>
    <w:rsid w:val="009754CE"/>
    <w:rsid w:val="0097562E"/>
    <w:rsid w:val="009759E8"/>
    <w:rsid w:val="00975CCE"/>
    <w:rsid w:val="00976376"/>
    <w:rsid w:val="00976453"/>
    <w:rsid w:val="00976493"/>
    <w:rsid w:val="00976510"/>
    <w:rsid w:val="009765C1"/>
    <w:rsid w:val="00976CAC"/>
    <w:rsid w:val="00976F6A"/>
    <w:rsid w:val="00977128"/>
    <w:rsid w:val="009771D3"/>
    <w:rsid w:val="009774E8"/>
    <w:rsid w:val="00977620"/>
    <w:rsid w:val="00977895"/>
    <w:rsid w:val="009778FB"/>
    <w:rsid w:val="009802C9"/>
    <w:rsid w:val="009802ED"/>
    <w:rsid w:val="0098046F"/>
    <w:rsid w:val="00980AB8"/>
    <w:rsid w:val="00981021"/>
    <w:rsid w:val="0098102C"/>
    <w:rsid w:val="0098134D"/>
    <w:rsid w:val="00981768"/>
    <w:rsid w:val="009820DE"/>
    <w:rsid w:val="00982BF4"/>
    <w:rsid w:val="00982F19"/>
    <w:rsid w:val="009830CC"/>
    <w:rsid w:val="00983108"/>
    <w:rsid w:val="00983754"/>
    <w:rsid w:val="00983938"/>
    <w:rsid w:val="00983A47"/>
    <w:rsid w:val="009842ED"/>
    <w:rsid w:val="009845E8"/>
    <w:rsid w:val="00984703"/>
    <w:rsid w:val="00984989"/>
    <w:rsid w:val="0098498A"/>
    <w:rsid w:val="00984E16"/>
    <w:rsid w:val="009851BF"/>
    <w:rsid w:val="00985D65"/>
    <w:rsid w:val="009868E6"/>
    <w:rsid w:val="00986D13"/>
    <w:rsid w:val="00986DBE"/>
    <w:rsid w:val="0098798A"/>
    <w:rsid w:val="00987A45"/>
    <w:rsid w:val="00990287"/>
    <w:rsid w:val="00990B05"/>
    <w:rsid w:val="00990BB9"/>
    <w:rsid w:val="00991334"/>
    <w:rsid w:val="00991749"/>
    <w:rsid w:val="0099181E"/>
    <w:rsid w:val="00991893"/>
    <w:rsid w:val="00991B46"/>
    <w:rsid w:val="00991BAE"/>
    <w:rsid w:val="00991DF4"/>
    <w:rsid w:val="0099239F"/>
    <w:rsid w:val="009923DA"/>
    <w:rsid w:val="009924C4"/>
    <w:rsid w:val="00992592"/>
    <w:rsid w:val="00993538"/>
    <w:rsid w:val="00993918"/>
    <w:rsid w:val="00993B6D"/>
    <w:rsid w:val="00993D46"/>
    <w:rsid w:val="00993E75"/>
    <w:rsid w:val="00993FA7"/>
    <w:rsid w:val="00994383"/>
    <w:rsid w:val="00994C58"/>
    <w:rsid w:val="009953DE"/>
    <w:rsid w:val="009954F7"/>
    <w:rsid w:val="0099569F"/>
    <w:rsid w:val="00995B73"/>
    <w:rsid w:val="00995B7E"/>
    <w:rsid w:val="00995CE9"/>
    <w:rsid w:val="00995EBD"/>
    <w:rsid w:val="0099607B"/>
    <w:rsid w:val="009961EC"/>
    <w:rsid w:val="009967BB"/>
    <w:rsid w:val="009968B8"/>
    <w:rsid w:val="00997ABC"/>
    <w:rsid w:val="00997F55"/>
    <w:rsid w:val="00997FA1"/>
    <w:rsid w:val="00997FAA"/>
    <w:rsid w:val="009A0068"/>
    <w:rsid w:val="009A0299"/>
    <w:rsid w:val="009A03AB"/>
    <w:rsid w:val="009A0957"/>
    <w:rsid w:val="009A0DF4"/>
    <w:rsid w:val="009A1234"/>
    <w:rsid w:val="009A12A2"/>
    <w:rsid w:val="009A1413"/>
    <w:rsid w:val="009A14E4"/>
    <w:rsid w:val="009A1520"/>
    <w:rsid w:val="009A1E8B"/>
    <w:rsid w:val="009A1FA8"/>
    <w:rsid w:val="009A2273"/>
    <w:rsid w:val="009A26B2"/>
    <w:rsid w:val="009A2B6B"/>
    <w:rsid w:val="009A2FB7"/>
    <w:rsid w:val="009A3634"/>
    <w:rsid w:val="009A3B7D"/>
    <w:rsid w:val="009A3CB5"/>
    <w:rsid w:val="009A3DEF"/>
    <w:rsid w:val="009A3E2F"/>
    <w:rsid w:val="009A3F8A"/>
    <w:rsid w:val="009A4FFB"/>
    <w:rsid w:val="009A5304"/>
    <w:rsid w:val="009A5480"/>
    <w:rsid w:val="009A5552"/>
    <w:rsid w:val="009A5C06"/>
    <w:rsid w:val="009A5D0A"/>
    <w:rsid w:val="009A612D"/>
    <w:rsid w:val="009A6F3E"/>
    <w:rsid w:val="009A73B6"/>
    <w:rsid w:val="009A74EC"/>
    <w:rsid w:val="009A77AD"/>
    <w:rsid w:val="009A7AB0"/>
    <w:rsid w:val="009B0710"/>
    <w:rsid w:val="009B087A"/>
    <w:rsid w:val="009B1331"/>
    <w:rsid w:val="009B14ED"/>
    <w:rsid w:val="009B14FF"/>
    <w:rsid w:val="009B156B"/>
    <w:rsid w:val="009B17C5"/>
    <w:rsid w:val="009B1B05"/>
    <w:rsid w:val="009B1FAA"/>
    <w:rsid w:val="009B23D3"/>
    <w:rsid w:val="009B2749"/>
    <w:rsid w:val="009B27E5"/>
    <w:rsid w:val="009B2AB0"/>
    <w:rsid w:val="009B2EA4"/>
    <w:rsid w:val="009B31CC"/>
    <w:rsid w:val="009B34D1"/>
    <w:rsid w:val="009B3986"/>
    <w:rsid w:val="009B3E0B"/>
    <w:rsid w:val="009B40D2"/>
    <w:rsid w:val="009B4418"/>
    <w:rsid w:val="009B444B"/>
    <w:rsid w:val="009B55DA"/>
    <w:rsid w:val="009B57D9"/>
    <w:rsid w:val="009B5B4B"/>
    <w:rsid w:val="009B635A"/>
    <w:rsid w:val="009B7007"/>
    <w:rsid w:val="009B70EC"/>
    <w:rsid w:val="009B778B"/>
    <w:rsid w:val="009B7BB3"/>
    <w:rsid w:val="009C035C"/>
    <w:rsid w:val="009C08F3"/>
    <w:rsid w:val="009C0A3C"/>
    <w:rsid w:val="009C0B4A"/>
    <w:rsid w:val="009C1188"/>
    <w:rsid w:val="009C14F8"/>
    <w:rsid w:val="009C24F5"/>
    <w:rsid w:val="009C2FEE"/>
    <w:rsid w:val="009C329A"/>
    <w:rsid w:val="009C3EE2"/>
    <w:rsid w:val="009C4229"/>
    <w:rsid w:val="009C43C0"/>
    <w:rsid w:val="009C43CC"/>
    <w:rsid w:val="009C43FE"/>
    <w:rsid w:val="009C4AF2"/>
    <w:rsid w:val="009C5087"/>
    <w:rsid w:val="009C515D"/>
    <w:rsid w:val="009C5220"/>
    <w:rsid w:val="009C52C3"/>
    <w:rsid w:val="009C5585"/>
    <w:rsid w:val="009C55DB"/>
    <w:rsid w:val="009C56E2"/>
    <w:rsid w:val="009C58C5"/>
    <w:rsid w:val="009C5A01"/>
    <w:rsid w:val="009C5B46"/>
    <w:rsid w:val="009C5D9B"/>
    <w:rsid w:val="009C60A5"/>
    <w:rsid w:val="009C681A"/>
    <w:rsid w:val="009C6D81"/>
    <w:rsid w:val="009D00F9"/>
    <w:rsid w:val="009D0794"/>
    <w:rsid w:val="009D0803"/>
    <w:rsid w:val="009D0A34"/>
    <w:rsid w:val="009D174A"/>
    <w:rsid w:val="009D180D"/>
    <w:rsid w:val="009D2366"/>
    <w:rsid w:val="009D245F"/>
    <w:rsid w:val="009D26B7"/>
    <w:rsid w:val="009D27BE"/>
    <w:rsid w:val="009D29B2"/>
    <w:rsid w:val="009D305C"/>
    <w:rsid w:val="009D32CC"/>
    <w:rsid w:val="009D361B"/>
    <w:rsid w:val="009D36F7"/>
    <w:rsid w:val="009D3DD9"/>
    <w:rsid w:val="009D3E92"/>
    <w:rsid w:val="009D5214"/>
    <w:rsid w:val="009D5279"/>
    <w:rsid w:val="009D5323"/>
    <w:rsid w:val="009D53D2"/>
    <w:rsid w:val="009D566E"/>
    <w:rsid w:val="009D57B1"/>
    <w:rsid w:val="009D5DA4"/>
    <w:rsid w:val="009D5E19"/>
    <w:rsid w:val="009D603D"/>
    <w:rsid w:val="009D61DC"/>
    <w:rsid w:val="009D63DB"/>
    <w:rsid w:val="009D6B67"/>
    <w:rsid w:val="009D6DD1"/>
    <w:rsid w:val="009D732A"/>
    <w:rsid w:val="009D7C38"/>
    <w:rsid w:val="009D7E73"/>
    <w:rsid w:val="009E0468"/>
    <w:rsid w:val="009E0A6C"/>
    <w:rsid w:val="009E0B48"/>
    <w:rsid w:val="009E0D8E"/>
    <w:rsid w:val="009E0DA9"/>
    <w:rsid w:val="009E2040"/>
    <w:rsid w:val="009E206D"/>
    <w:rsid w:val="009E22C4"/>
    <w:rsid w:val="009E22FD"/>
    <w:rsid w:val="009E2DB7"/>
    <w:rsid w:val="009E31B0"/>
    <w:rsid w:val="009E34B8"/>
    <w:rsid w:val="009E3E74"/>
    <w:rsid w:val="009E4242"/>
    <w:rsid w:val="009E42D0"/>
    <w:rsid w:val="009E441B"/>
    <w:rsid w:val="009E46F0"/>
    <w:rsid w:val="009E472A"/>
    <w:rsid w:val="009E4962"/>
    <w:rsid w:val="009E54A0"/>
    <w:rsid w:val="009E5C74"/>
    <w:rsid w:val="009E5ED0"/>
    <w:rsid w:val="009E661E"/>
    <w:rsid w:val="009E6AC4"/>
    <w:rsid w:val="009E702E"/>
    <w:rsid w:val="009E70AE"/>
    <w:rsid w:val="009E7594"/>
    <w:rsid w:val="009E772C"/>
    <w:rsid w:val="009F0002"/>
    <w:rsid w:val="009F0E30"/>
    <w:rsid w:val="009F0F36"/>
    <w:rsid w:val="009F11BC"/>
    <w:rsid w:val="009F136E"/>
    <w:rsid w:val="009F13A6"/>
    <w:rsid w:val="009F1B89"/>
    <w:rsid w:val="009F1C39"/>
    <w:rsid w:val="009F1D82"/>
    <w:rsid w:val="009F1F40"/>
    <w:rsid w:val="009F1F76"/>
    <w:rsid w:val="009F2128"/>
    <w:rsid w:val="009F21BE"/>
    <w:rsid w:val="009F21D1"/>
    <w:rsid w:val="009F2294"/>
    <w:rsid w:val="009F2D2F"/>
    <w:rsid w:val="009F3038"/>
    <w:rsid w:val="009F3074"/>
    <w:rsid w:val="009F30D1"/>
    <w:rsid w:val="009F3EEE"/>
    <w:rsid w:val="009F4702"/>
    <w:rsid w:val="009F49DD"/>
    <w:rsid w:val="009F52A5"/>
    <w:rsid w:val="009F534E"/>
    <w:rsid w:val="009F5374"/>
    <w:rsid w:val="009F5612"/>
    <w:rsid w:val="009F58E4"/>
    <w:rsid w:val="009F5FCB"/>
    <w:rsid w:val="009F604A"/>
    <w:rsid w:val="009F6101"/>
    <w:rsid w:val="009F66AB"/>
    <w:rsid w:val="009F67FF"/>
    <w:rsid w:val="009F6F5A"/>
    <w:rsid w:val="009F758B"/>
    <w:rsid w:val="009F7C58"/>
    <w:rsid w:val="009F7CD8"/>
    <w:rsid w:val="009F7E1D"/>
    <w:rsid w:val="009F7EB5"/>
    <w:rsid w:val="00A00298"/>
    <w:rsid w:val="00A00796"/>
    <w:rsid w:val="00A00804"/>
    <w:rsid w:val="00A00B6E"/>
    <w:rsid w:val="00A00C17"/>
    <w:rsid w:val="00A012FA"/>
    <w:rsid w:val="00A019D8"/>
    <w:rsid w:val="00A01D08"/>
    <w:rsid w:val="00A01E2B"/>
    <w:rsid w:val="00A0209D"/>
    <w:rsid w:val="00A0253F"/>
    <w:rsid w:val="00A025B8"/>
    <w:rsid w:val="00A02EE3"/>
    <w:rsid w:val="00A030F4"/>
    <w:rsid w:val="00A0320A"/>
    <w:rsid w:val="00A03D49"/>
    <w:rsid w:val="00A042C8"/>
    <w:rsid w:val="00A04DAA"/>
    <w:rsid w:val="00A04EBC"/>
    <w:rsid w:val="00A04F6E"/>
    <w:rsid w:val="00A0580B"/>
    <w:rsid w:val="00A05D4D"/>
    <w:rsid w:val="00A06E13"/>
    <w:rsid w:val="00A071E9"/>
    <w:rsid w:val="00A07CFE"/>
    <w:rsid w:val="00A100A2"/>
    <w:rsid w:val="00A10437"/>
    <w:rsid w:val="00A10989"/>
    <w:rsid w:val="00A11741"/>
    <w:rsid w:val="00A11A91"/>
    <w:rsid w:val="00A11C10"/>
    <w:rsid w:val="00A11C92"/>
    <w:rsid w:val="00A11FBB"/>
    <w:rsid w:val="00A12111"/>
    <w:rsid w:val="00A121AD"/>
    <w:rsid w:val="00A123AD"/>
    <w:rsid w:val="00A123F2"/>
    <w:rsid w:val="00A12495"/>
    <w:rsid w:val="00A126F0"/>
    <w:rsid w:val="00A12B69"/>
    <w:rsid w:val="00A12E2F"/>
    <w:rsid w:val="00A13385"/>
    <w:rsid w:val="00A133AC"/>
    <w:rsid w:val="00A138A1"/>
    <w:rsid w:val="00A14489"/>
    <w:rsid w:val="00A14B5F"/>
    <w:rsid w:val="00A14C88"/>
    <w:rsid w:val="00A1505B"/>
    <w:rsid w:val="00A15137"/>
    <w:rsid w:val="00A154D0"/>
    <w:rsid w:val="00A15CC7"/>
    <w:rsid w:val="00A16094"/>
    <w:rsid w:val="00A1609E"/>
    <w:rsid w:val="00A1683A"/>
    <w:rsid w:val="00A17ABE"/>
    <w:rsid w:val="00A201D9"/>
    <w:rsid w:val="00A20CF9"/>
    <w:rsid w:val="00A213F5"/>
    <w:rsid w:val="00A21714"/>
    <w:rsid w:val="00A21BC0"/>
    <w:rsid w:val="00A21BEF"/>
    <w:rsid w:val="00A21F55"/>
    <w:rsid w:val="00A221C8"/>
    <w:rsid w:val="00A2287C"/>
    <w:rsid w:val="00A22CDD"/>
    <w:rsid w:val="00A2312C"/>
    <w:rsid w:val="00A2344D"/>
    <w:rsid w:val="00A235D2"/>
    <w:rsid w:val="00A23B52"/>
    <w:rsid w:val="00A23FE2"/>
    <w:rsid w:val="00A24000"/>
    <w:rsid w:val="00A241D9"/>
    <w:rsid w:val="00A246A9"/>
    <w:rsid w:val="00A24B4F"/>
    <w:rsid w:val="00A24C74"/>
    <w:rsid w:val="00A2501A"/>
    <w:rsid w:val="00A2506C"/>
    <w:rsid w:val="00A2523B"/>
    <w:rsid w:val="00A255EC"/>
    <w:rsid w:val="00A25605"/>
    <w:rsid w:val="00A25C1F"/>
    <w:rsid w:val="00A25D1B"/>
    <w:rsid w:val="00A26729"/>
    <w:rsid w:val="00A26C88"/>
    <w:rsid w:val="00A26CF1"/>
    <w:rsid w:val="00A26E4F"/>
    <w:rsid w:val="00A275D0"/>
    <w:rsid w:val="00A27823"/>
    <w:rsid w:val="00A27AED"/>
    <w:rsid w:val="00A27D96"/>
    <w:rsid w:val="00A27FEF"/>
    <w:rsid w:val="00A3081D"/>
    <w:rsid w:val="00A30925"/>
    <w:rsid w:val="00A309B3"/>
    <w:rsid w:val="00A30B49"/>
    <w:rsid w:val="00A30E53"/>
    <w:rsid w:val="00A30F49"/>
    <w:rsid w:val="00A3100E"/>
    <w:rsid w:val="00A310F6"/>
    <w:rsid w:val="00A3144B"/>
    <w:rsid w:val="00A3198A"/>
    <w:rsid w:val="00A31F4C"/>
    <w:rsid w:val="00A32408"/>
    <w:rsid w:val="00A32700"/>
    <w:rsid w:val="00A3274D"/>
    <w:rsid w:val="00A32A29"/>
    <w:rsid w:val="00A32C28"/>
    <w:rsid w:val="00A32E8D"/>
    <w:rsid w:val="00A33092"/>
    <w:rsid w:val="00A33126"/>
    <w:rsid w:val="00A3327C"/>
    <w:rsid w:val="00A3356E"/>
    <w:rsid w:val="00A33FB7"/>
    <w:rsid w:val="00A3440B"/>
    <w:rsid w:val="00A34977"/>
    <w:rsid w:val="00A34B0B"/>
    <w:rsid w:val="00A34C09"/>
    <w:rsid w:val="00A35008"/>
    <w:rsid w:val="00A35173"/>
    <w:rsid w:val="00A35B01"/>
    <w:rsid w:val="00A35BCD"/>
    <w:rsid w:val="00A36308"/>
    <w:rsid w:val="00A3632F"/>
    <w:rsid w:val="00A36C76"/>
    <w:rsid w:val="00A36E6B"/>
    <w:rsid w:val="00A373AB"/>
    <w:rsid w:val="00A37899"/>
    <w:rsid w:val="00A37AEA"/>
    <w:rsid w:val="00A37F42"/>
    <w:rsid w:val="00A4028E"/>
    <w:rsid w:val="00A40423"/>
    <w:rsid w:val="00A40538"/>
    <w:rsid w:val="00A4058F"/>
    <w:rsid w:val="00A40783"/>
    <w:rsid w:val="00A40B7E"/>
    <w:rsid w:val="00A418F2"/>
    <w:rsid w:val="00A41DB0"/>
    <w:rsid w:val="00A41E89"/>
    <w:rsid w:val="00A42239"/>
    <w:rsid w:val="00A42382"/>
    <w:rsid w:val="00A423E1"/>
    <w:rsid w:val="00A424D6"/>
    <w:rsid w:val="00A42538"/>
    <w:rsid w:val="00A425E6"/>
    <w:rsid w:val="00A4262E"/>
    <w:rsid w:val="00A42B76"/>
    <w:rsid w:val="00A42BE7"/>
    <w:rsid w:val="00A43108"/>
    <w:rsid w:val="00A43397"/>
    <w:rsid w:val="00A435B8"/>
    <w:rsid w:val="00A44049"/>
    <w:rsid w:val="00A443BE"/>
    <w:rsid w:val="00A44C02"/>
    <w:rsid w:val="00A45160"/>
    <w:rsid w:val="00A4543A"/>
    <w:rsid w:val="00A45978"/>
    <w:rsid w:val="00A45AD8"/>
    <w:rsid w:val="00A45B04"/>
    <w:rsid w:val="00A45B61"/>
    <w:rsid w:val="00A45D3B"/>
    <w:rsid w:val="00A4685A"/>
    <w:rsid w:val="00A468DE"/>
    <w:rsid w:val="00A468F3"/>
    <w:rsid w:val="00A4692F"/>
    <w:rsid w:val="00A46AEA"/>
    <w:rsid w:val="00A46B01"/>
    <w:rsid w:val="00A46C26"/>
    <w:rsid w:val="00A47178"/>
    <w:rsid w:val="00A47B37"/>
    <w:rsid w:val="00A501EE"/>
    <w:rsid w:val="00A50D06"/>
    <w:rsid w:val="00A50E93"/>
    <w:rsid w:val="00A51147"/>
    <w:rsid w:val="00A512F9"/>
    <w:rsid w:val="00A514A9"/>
    <w:rsid w:val="00A51544"/>
    <w:rsid w:val="00A51A95"/>
    <w:rsid w:val="00A51B44"/>
    <w:rsid w:val="00A51BAB"/>
    <w:rsid w:val="00A51BB9"/>
    <w:rsid w:val="00A51C43"/>
    <w:rsid w:val="00A51FC2"/>
    <w:rsid w:val="00A52491"/>
    <w:rsid w:val="00A5286E"/>
    <w:rsid w:val="00A53610"/>
    <w:rsid w:val="00A53B0F"/>
    <w:rsid w:val="00A53C2B"/>
    <w:rsid w:val="00A543B0"/>
    <w:rsid w:val="00A543F9"/>
    <w:rsid w:val="00A547E3"/>
    <w:rsid w:val="00A54810"/>
    <w:rsid w:val="00A5483A"/>
    <w:rsid w:val="00A54F8A"/>
    <w:rsid w:val="00A54FF0"/>
    <w:rsid w:val="00A553F5"/>
    <w:rsid w:val="00A556AA"/>
    <w:rsid w:val="00A55B86"/>
    <w:rsid w:val="00A55C0F"/>
    <w:rsid w:val="00A55EFA"/>
    <w:rsid w:val="00A5648D"/>
    <w:rsid w:val="00A5708E"/>
    <w:rsid w:val="00A570EB"/>
    <w:rsid w:val="00A571E6"/>
    <w:rsid w:val="00A577BF"/>
    <w:rsid w:val="00A57CEF"/>
    <w:rsid w:val="00A57DA2"/>
    <w:rsid w:val="00A57E27"/>
    <w:rsid w:val="00A60C73"/>
    <w:rsid w:val="00A6102C"/>
    <w:rsid w:val="00A61169"/>
    <w:rsid w:val="00A616BA"/>
    <w:rsid w:val="00A61795"/>
    <w:rsid w:val="00A61944"/>
    <w:rsid w:val="00A62096"/>
    <w:rsid w:val="00A62163"/>
    <w:rsid w:val="00A6226A"/>
    <w:rsid w:val="00A623FC"/>
    <w:rsid w:val="00A62717"/>
    <w:rsid w:val="00A6346D"/>
    <w:rsid w:val="00A6417F"/>
    <w:rsid w:val="00A6496F"/>
    <w:rsid w:val="00A649C5"/>
    <w:rsid w:val="00A64DF4"/>
    <w:rsid w:val="00A64F16"/>
    <w:rsid w:val="00A65548"/>
    <w:rsid w:val="00A65A5B"/>
    <w:rsid w:val="00A65B04"/>
    <w:rsid w:val="00A65BB1"/>
    <w:rsid w:val="00A65CE9"/>
    <w:rsid w:val="00A660F3"/>
    <w:rsid w:val="00A66CF6"/>
    <w:rsid w:val="00A672E0"/>
    <w:rsid w:val="00A67F36"/>
    <w:rsid w:val="00A67FB8"/>
    <w:rsid w:val="00A67FDB"/>
    <w:rsid w:val="00A703DF"/>
    <w:rsid w:val="00A70544"/>
    <w:rsid w:val="00A70563"/>
    <w:rsid w:val="00A7095F"/>
    <w:rsid w:val="00A70CFF"/>
    <w:rsid w:val="00A70D6C"/>
    <w:rsid w:val="00A70E63"/>
    <w:rsid w:val="00A70EBA"/>
    <w:rsid w:val="00A70FFB"/>
    <w:rsid w:val="00A7170F"/>
    <w:rsid w:val="00A717D4"/>
    <w:rsid w:val="00A71AAA"/>
    <w:rsid w:val="00A71C1A"/>
    <w:rsid w:val="00A71E32"/>
    <w:rsid w:val="00A71EB5"/>
    <w:rsid w:val="00A72273"/>
    <w:rsid w:val="00A72373"/>
    <w:rsid w:val="00A72751"/>
    <w:rsid w:val="00A728EF"/>
    <w:rsid w:val="00A72B57"/>
    <w:rsid w:val="00A72B5E"/>
    <w:rsid w:val="00A72BAB"/>
    <w:rsid w:val="00A73872"/>
    <w:rsid w:val="00A73DD5"/>
    <w:rsid w:val="00A7403F"/>
    <w:rsid w:val="00A74420"/>
    <w:rsid w:val="00A74585"/>
    <w:rsid w:val="00A74BB7"/>
    <w:rsid w:val="00A75122"/>
    <w:rsid w:val="00A7565E"/>
    <w:rsid w:val="00A76D46"/>
    <w:rsid w:val="00A771D4"/>
    <w:rsid w:val="00A77350"/>
    <w:rsid w:val="00A77A48"/>
    <w:rsid w:val="00A77DC9"/>
    <w:rsid w:val="00A77E9A"/>
    <w:rsid w:val="00A80667"/>
    <w:rsid w:val="00A8089A"/>
    <w:rsid w:val="00A817F5"/>
    <w:rsid w:val="00A81BC4"/>
    <w:rsid w:val="00A81C82"/>
    <w:rsid w:val="00A82039"/>
    <w:rsid w:val="00A820AA"/>
    <w:rsid w:val="00A8219F"/>
    <w:rsid w:val="00A821A5"/>
    <w:rsid w:val="00A82698"/>
    <w:rsid w:val="00A827BE"/>
    <w:rsid w:val="00A82AA1"/>
    <w:rsid w:val="00A82BF9"/>
    <w:rsid w:val="00A82CC1"/>
    <w:rsid w:val="00A82F43"/>
    <w:rsid w:val="00A82F58"/>
    <w:rsid w:val="00A82FF9"/>
    <w:rsid w:val="00A8340E"/>
    <w:rsid w:val="00A83426"/>
    <w:rsid w:val="00A838E8"/>
    <w:rsid w:val="00A83F20"/>
    <w:rsid w:val="00A84407"/>
    <w:rsid w:val="00A84C16"/>
    <w:rsid w:val="00A84DC8"/>
    <w:rsid w:val="00A84FBD"/>
    <w:rsid w:val="00A85135"/>
    <w:rsid w:val="00A85348"/>
    <w:rsid w:val="00A85B29"/>
    <w:rsid w:val="00A85BCC"/>
    <w:rsid w:val="00A85C1A"/>
    <w:rsid w:val="00A85C5B"/>
    <w:rsid w:val="00A85C91"/>
    <w:rsid w:val="00A86671"/>
    <w:rsid w:val="00A876E1"/>
    <w:rsid w:val="00A87DBB"/>
    <w:rsid w:val="00A9030D"/>
    <w:rsid w:val="00A91078"/>
    <w:rsid w:val="00A915D6"/>
    <w:rsid w:val="00A91B65"/>
    <w:rsid w:val="00A91D96"/>
    <w:rsid w:val="00A922AB"/>
    <w:rsid w:val="00A923A6"/>
    <w:rsid w:val="00A92890"/>
    <w:rsid w:val="00A92A91"/>
    <w:rsid w:val="00A93EEB"/>
    <w:rsid w:val="00A946D6"/>
    <w:rsid w:val="00A9480C"/>
    <w:rsid w:val="00A9506C"/>
    <w:rsid w:val="00A9513D"/>
    <w:rsid w:val="00A9535A"/>
    <w:rsid w:val="00A9544F"/>
    <w:rsid w:val="00A95933"/>
    <w:rsid w:val="00A95B24"/>
    <w:rsid w:val="00A97297"/>
    <w:rsid w:val="00A975DB"/>
    <w:rsid w:val="00A97949"/>
    <w:rsid w:val="00A97A6A"/>
    <w:rsid w:val="00AA02FE"/>
    <w:rsid w:val="00AA081C"/>
    <w:rsid w:val="00AA0B1D"/>
    <w:rsid w:val="00AA0E3C"/>
    <w:rsid w:val="00AA10B8"/>
    <w:rsid w:val="00AA1549"/>
    <w:rsid w:val="00AA15C8"/>
    <w:rsid w:val="00AA1A17"/>
    <w:rsid w:val="00AA1B32"/>
    <w:rsid w:val="00AA23A6"/>
    <w:rsid w:val="00AA2450"/>
    <w:rsid w:val="00AA245C"/>
    <w:rsid w:val="00AA2611"/>
    <w:rsid w:val="00AA2881"/>
    <w:rsid w:val="00AA2D78"/>
    <w:rsid w:val="00AA32AD"/>
    <w:rsid w:val="00AA3593"/>
    <w:rsid w:val="00AA39E3"/>
    <w:rsid w:val="00AA3AEA"/>
    <w:rsid w:val="00AA3C95"/>
    <w:rsid w:val="00AA4305"/>
    <w:rsid w:val="00AA435E"/>
    <w:rsid w:val="00AA486D"/>
    <w:rsid w:val="00AA4A4F"/>
    <w:rsid w:val="00AA5EA6"/>
    <w:rsid w:val="00AA6C54"/>
    <w:rsid w:val="00AA6DB0"/>
    <w:rsid w:val="00AA721C"/>
    <w:rsid w:val="00AA7559"/>
    <w:rsid w:val="00AA785B"/>
    <w:rsid w:val="00AA79E1"/>
    <w:rsid w:val="00AB0108"/>
    <w:rsid w:val="00AB0740"/>
    <w:rsid w:val="00AB0A63"/>
    <w:rsid w:val="00AB0E52"/>
    <w:rsid w:val="00AB0FB7"/>
    <w:rsid w:val="00AB1AC8"/>
    <w:rsid w:val="00AB23C6"/>
    <w:rsid w:val="00AB24DD"/>
    <w:rsid w:val="00AB2AB3"/>
    <w:rsid w:val="00AB2FA4"/>
    <w:rsid w:val="00AB3218"/>
    <w:rsid w:val="00AB33A2"/>
    <w:rsid w:val="00AB3481"/>
    <w:rsid w:val="00AB4A34"/>
    <w:rsid w:val="00AB4A3C"/>
    <w:rsid w:val="00AB4AAE"/>
    <w:rsid w:val="00AB53AC"/>
    <w:rsid w:val="00AB548D"/>
    <w:rsid w:val="00AB5591"/>
    <w:rsid w:val="00AB594A"/>
    <w:rsid w:val="00AB5F2C"/>
    <w:rsid w:val="00AB61E8"/>
    <w:rsid w:val="00AB71E8"/>
    <w:rsid w:val="00AB777B"/>
    <w:rsid w:val="00AB783F"/>
    <w:rsid w:val="00AB79B3"/>
    <w:rsid w:val="00AB7AA2"/>
    <w:rsid w:val="00AB7DA8"/>
    <w:rsid w:val="00AB7E90"/>
    <w:rsid w:val="00AC0C01"/>
    <w:rsid w:val="00AC0CD8"/>
    <w:rsid w:val="00AC10AE"/>
    <w:rsid w:val="00AC147B"/>
    <w:rsid w:val="00AC1DC1"/>
    <w:rsid w:val="00AC2161"/>
    <w:rsid w:val="00AC21B0"/>
    <w:rsid w:val="00AC233B"/>
    <w:rsid w:val="00AC2493"/>
    <w:rsid w:val="00AC2546"/>
    <w:rsid w:val="00AC26F0"/>
    <w:rsid w:val="00AC2EB2"/>
    <w:rsid w:val="00AC30B1"/>
    <w:rsid w:val="00AC3365"/>
    <w:rsid w:val="00AC3667"/>
    <w:rsid w:val="00AC3F59"/>
    <w:rsid w:val="00AC408E"/>
    <w:rsid w:val="00AC4AC6"/>
    <w:rsid w:val="00AC4B08"/>
    <w:rsid w:val="00AC52AB"/>
    <w:rsid w:val="00AC563E"/>
    <w:rsid w:val="00AC5661"/>
    <w:rsid w:val="00AC6738"/>
    <w:rsid w:val="00AC68B5"/>
    <w:rsid w:val="00AC6D2F"/>
    <w:rsid w:val="00AC6E61"/>
    <w:rsid w:val="00AC7859"/>
    <w:rsid w:val="00AD04BC"/>
    <w:rsid w:val="00AD0A31"/>
    <w:rsid w:val="00AD0A65"/>
    <w:rsid w:val="00AD1385"/>
    <w:rsid w:val="00AD15E7"/>
    <w:rsid w:val="00AD28A9"/>
    <w:rsid w:val="00AD2B15"/>
    <w:rsid w:val="00AD46D3"/>
    <w:rsid w:val="00AD479F"/>
    <w:rsid w:val="00AD48C6"/>
    <w:rsid w:val="00AD4AE5"/>
    <w:rsid w:val="00AD5725"/>
    <w:rsid w:val="00AD577A"/>
    <w:rsid w:val="00AD5BF4"/>
    <w:rsid w:val="00AD5E14"/>
    <w:rsid w:val="00AD5FED"/>
    <w:rsid w:val="00AD702F"/>
    <w:rsid w:val="00AD716F"/>
    <w:rsid w:val="00AD7573"/>
    <w:rsid w:val="00AD7655"/>
    <w:rsid w:val="00AD7785"/>
    <w:rsid w:val="00AE03DE"/>
    <w:rsid w:val="00AE074C"/>
    <w:rsid w:val="00AE08DD"/>
    <w:rsid w:val="00AE0DDC"/>
    <w:rsid w:val="00AE1385"/>
    <w:rsid w:val="00AE1451"/>
    <w:rsid w:val="00AE1757"/>
    <w:rsid w:val="00AE1CB4"/>
    <w:rsid w:val="00AE2363"/>
    <w:rsid w:val="00AE31AE"/>
    <w:rsid w:val="00AE3620"/>
    <w:rsid w:val="00AE3851"/>
    <w:rsid w:val="00AE3D0A"/>
    <w:rsid w:val="00AE3DA0"/>
    <w:rsid w:val="00AE497B"/>
    <w:rsid w:val="00AE4BEF"/>
    <w:rsid w:val="00AE505C"/>
    <w:rsid w:val="00AE5127"/>
    <w:rsid w:val="00AE5340"/>
    <w:rsid w:val="00AE537D"/>
    <w:rsid w:val="00AE54C6"/>
    <w:rsid w:val="00AE6162"/>
    <w:rsid w:val="00AE63AA"/>
    <w:rsid w:val="00AE6826"/>
    <w:rsid w:val="00AE6846"/>
    <w:rsid w:val="00AE6CFA"/>
    <w:rsid w:val="00AE6E6D"/>
    <w:rsid w:val="00AE6FE0"/>
    <w:rsid w:val="00AE7009"/>
    <w:rsid w:val="00AE708B"/>
    <w:rsid w:val="00AE775F"/>
    <w:rsid w:val="00AF00C2"/>
    <w:rsid w:val="00AF0377"/>
    <w:rsid w:val="00AF0864"/>
    <w:rsid w:val="00AF0C1E"/>
    <w:rsid w:val="00AF10B3"/>
    <w:rsid w:val="00AF1270"/>
    <w:rsid w:val="00AF12A2"/>
    <w:rsid w:val="00AF146B"/>
    <w:rsid w:val="00AF1AE0"/>
    <w:rsid w:val="00AF1CBE"/>
    <w:rsid w:val="00AF2043"/>
    <w:rsid w:val="00AF23FA"/>
    <w:rsid w:val="00AF2A8C"/>
    <w:rsid w:val="00AF2C30"/>
    <w:rsid w:val="00AF2C3D"/>
    <w:rsid w:val="00AF2C71"/>
    <w:rsid w:val="00AF2D69"/>
    <w:rsid w:val="00AF3331"/>
    <w:rsid w:val="00AF34C1"/>
    <w:rsid w:val="00AF3BF6"/>
    <w:rsid w:val="00AF40B6"/>
    <w:rsid w:val="00AF42D1"/>
    <w:rsid w:val="00AF48AB"/>
    <w:rsid w:val="00AF57D3"/>
    <w:rsid w:val="00AF5834"/>
    <w:rsid w:val="00AF59A3"/>
    <w:rsid w:val="00AF59B4"/>
    <w:rsid w:val="00AF5C99"/>
    <w:rsid w:val="00AF5CC0"/>
    <w:rsid w:val="00AF6211"/>
    <w:rsid w:val="00AF637A"/>
    <w:rsid w:val="00AF644E"/>
    <w:rsid w:val="00AF6735"/>
    <w:rsid w:val="00AF6747"/>
    <w:rsid w:val="00AF6D80"/>
    <w:rsid w:val="00AF6DEA"/>
    <w:rsid w:val="00AF70C0"/>
    <w:rsid w:val="00AF732D"/>
    <w:rsid w:val="00AF7386"/>
    <w:rsid w:val="00AF7470"/>
    <w:rsid w:val="00AF7701"/>
    <w:rsid w:val="00AF7A9B"/>
    <w:rsid w:val="00AF7AE8"/>
    <w:rsid w:val="00B00191"/>
    <w:rsid w:val="00B00425"/>
    <w:rsid w:val="00B00B99"/>
    <w:rsid w:val="00B0140B"/>
    <w:rsid w:val="00B01B11"/>
    <w:rsid w:val="00B020C3"/>
    <w:rsid w:val="00B023F4"/>
    <w:rsid w:val="00B02A50"/>
    <w:rsid w:val="00B02BCB"/>
    <w:rsid w:val="00B02F3E"/>
    <w:rsid w:val="00B0315E"/>
    <w:rsid w:val="00B0345F"/>
    <w:rsid w:val="00B03535"/>
    <w:rsid w:val="00B03678"/>
    <w:rsid w:val="00B0387A"/>
    <w:rsid w:val="00B03B99"/>
    <w:rsid w:val="00B03BFF"/>
    <w:rsid w:val="00B03D31"/>
    <w:rsid w:val="00B03F95"/>
    <w:rsid w:val="00B04174"/>
    <w:rsid w:val="00B042B0"/>
    <w:rsid w:val="00B04AAC"/>
    <w:rsid w:val="00B04FF9"/>
    <w:rsid w:val="00B05322"/>
    <w:rsid w:val="00B05731"/>
    <w:rsid w:val="00B058DB"/>
    <w:rsid w:val="00B05CD9"/>
    <w:rsid w:val="00B062FA"/>
    <w:rsid w:val="00B0678F"/>
    <w:rsid w:val="00B06B49"/>
    <w:rsid w:val="00B06F73"/>
    <w:rsid w:val="00B074F1"/>
    <w:rsid w:val="00B076C0"/>
    <w:rsid w:val="00B078FC"/>
    <w:rsid w:val="00B07BB7"/>
    <w:rsid w:val="00B1026D"/>
    <w:rsid w:val="00B102B3"/>
    <w:rsid w:val="00B103A4"/>
    <w:rsid w:val="00B1047E"/>
    <w:rsid w:val="00B10AFB"/>
    <w:rsid w:val="00B10C79"/>
    <w:rsid w:val="00B11657"/>
    <w:rsid w:val="00B117E8"/>
    <w:rsid w:val="00B118A0"/>
    <w:rsid w:val="00B11C25"/>
    <w:rsid w:val="00B11FB4"/>
    <w:rsid w:val="00B12B44"/>
    <w:rsid w:val="00B1318B"/>
    <w:rsid w:val="00B13229"/>
    <w:rsid w:val="00B13499"/>
    <w:rsid w:val="00B1393E"/>
    <w:rsid w:val="00B13C6B"/>
    <w:rsid w:val="00B14E5E"/>
    <w:rsid w:val="00B15365"/>
    <w:rsid w:val="00B15A30"/>
    <w:rsid w:val="00B15D14"/>
    <w:rsid w:val="00B15FB3"/>
    <w:rsid w:val="00B161CE"/>
    <w:rsid w:val="00B16879"/>
    <w:rsid w:val="00B17028"/>
    <w:rsid w:val="00B17045"/>
    <w:rsid w:val="00B17B75"/>
    <w:rsid w:val="00B17C82"/>
    <w:rsid w:val="00B17CEA"/>
    <w:rsid w:val="00B17DE0"/>
    <w:rsid w:val="00B2006F"/>
    <w:rsid w:val="00B20122"/>
    <w:rsid w:val="00B20234"/>
    <w:rsid w:val="00B203C7"/>
    <w:rsid w:val="00B203F8"/>
    <w:rsid w:val="00B2046D"/>
    <w:rsid w:val="00B207D4"/>
    <w:rsid w:val="00B208BC"/>
    <w:rsid w:val="00B2193F"/>
    <w:rsid w:val="00B219C7"/>
    <w:rsid w:val="00B21BC5"/>
    <w:rsid w:val="00B21FDD"/>
    <w:rsid w:val="00B22604"/>
    <w:rsid w:val="00B229B9"/>
    <w:rsid w:val="00B22B6D"/>
    <w:rsid w:val="00B2362B"/>
    <w:rsid w:val="00B23666"/>
    <w:rsid w:val="00B24131"/>
    <w:rsid w:val="00B24289"/>
    <w:rsid w:val="00B24451"/>
    <w:rsid w:val="00B24836"/>
    <w:rsid w:val="00B2558E"/>
    <w:rsid w:val="00B25626"/>
    <w:rsid w:val="00B25A2A"/>
    <w:rsid w:val="00B25F93"/>
    <w:rsid w:val="00B25FF1"/>
    <w:rsid w:val="00B2627A"/>
    <w:rsid w:val="00B26281"/>
    <w:rsid w:val="00B263E3"/>
    <w:rsid w:val="00B265F1"/>
    <w:rsid w:val="00B26988"/>
    <w:rsid w:val="00B26DEF"/>
    <w:rsid w:val="00B2724D"/>
    <w:rsid w:val="00B273E1"/>
    <w:rsid w:val="00B27471"/>
    <w:rsid w:val="00B27644"/>
    <w:rsid w:val="00B279B3"/>
    <w:rsid w:val="00B301DD"/>
    <w:rsid w:val="00B303DB"/>
    <w:rsid w:val="00B3152C"/>
    <w:rsid w:val="00B3166F"/>
    <w:rsid w:val="00B316B0"/>
    <w:rsid w:val="00B319C6"/>
    <w:rsid w:val="00B32535"/>
    <w:rsid w:val="00B33AE0"/>
    <w:rsid w:val="00B33CA2"/>
    <w:rsid w:val="00B34038"/>
    <w:rsid w:val="00B34219"/>
    <w:rsid w:val="00B34722"/>
    <w:rsid w:val="00B3488F"/>
    <w:rsid w:val="00B353BE"/>
    <w:rsid w:val="00B35590"/>
    <w:rsid w:val="00B35A8D"/>
    <w:rsid w:val="00B35D67"/>
    <w:rsid w:val="00B3675A"/>
    <w:rsid w:val="00B36949"/>
    <w:rsid w:val="00B36A76"/>
    <w:rsid w:val="00B36C79"/>
    <w:rsid w:val="00B36CD8"/>
    <w:rsid w:val="00B37559"/>
    <w:rsid w:val="00B37B03"/>
    <w:rsid w:val="00B37DDC"/>
    <w:rsid w:val="00B4030D"/>
    <w:rsid w:val="00B407ED"/>
    <w:rsid w:val="00B40D9F"/>
    <w:rsid w:val="00B40FCA"/>
    <w:rsid w:val="00B411A8"/>
    <w:rsid w:val="00B41265"/>
    <w:rsid w:val="00B41AEE"/>
    <w:rsid w:val="00B41CCF"/>
    <w:rsid w:val="00B41FBC"/>
    <w:rsid w:val="00B42B78"/>
    <w:rsid w:val="00B42C33"/>
    <w:rsid w:val="00B42DC7"/>
    <w:rsid w:val="00B42DD7"/>
    <w:rsid w:val="00B431B5"/>
    <w:rsid w:val="00B433B1"/>
    <w:rsid w:val="00B433CB"/>
    <w:rsid w:val="00B4373C"/>
    <w:rsid w:val="00B43A11"/>
    <w:rsid w:val="00B43A24"/>
    <w:rsid w:val="00B43A58"/>
    <w:rsid w:val="00B43E04"/>
    <w:rsid w:val="00B44394"/>
    <w:rsid w:val="00B443C6"/>
    <w:rsid w:val="00B45223"/>
    <w:rsid w:val="00B454E1"/>
    <w:rsid w:val="00B456A5"/>
    <w:rsid w:val="00B456E1"/>
    <w:rsid w:val="00B45EE5"/>
    <w:rsid w:val="00B461F4"/>
    <w:rsid w:val="00B46DFA"/>
    <w:rsid w:val="00B470EB"/>
    <w:rsid w:val="00B4775C"/>
    <w:rsid w:val="00B47C06"/>
    <w:rsid w:val="00B47C71"/>
    <w:rsid w:val="00B47E1D"/>
    <w:rsid w:val="00B51088"/>
    <w:rsid w:val="00B51A4E"/>
    <w:rsid w:val="00B51CD4"/>
    <w:rsid w:val="00B51D58"/>
    <w:rsid w:val="00B521C5"/>
    <w:rsid w:val="00B521F9"/>
    <w:rsid w:val="00B523D7"/>
    <w:rsid w:val="00B52E7B"/>
    <w:rsid w:val="00B52FF3"/>
    <w:rsid w:val="00B533AF"/>
    <w:rsid w:val="00B53528"/>
    <w:rsid w:val="00B536A7"/>
    <w:rsid w:val="00B53B48"/>
    <w:rsid w:val="00B53C04"/>
    <w:rsid w:val="00B5409F"/>
    <w:rsid w:val="00B544C8"/>
    <w:rsid w:val="00B545B3"/>
    <w:rsid w:val="00B54C73"/>
    <w:rsid w:val="00B55D0C"/>
    <w:rsid w:val="00B5601A"/>
    <w:rsid w:val="00B560D8"/>
    <w:rsid w:val="00B56DC7"/>
    <w:rsid w:val="00B56DE5"/>
    <w:rsid w:val="00B56EBC"/>
    <w:rsid w:val="00B571D2"/>
    <w:rsid w:val="00B574B0"/>
    <w:rsid w:val="00B57B04"/>
    <w:rsid w:val="00B57B51"/>
    <w:rsid w:val="00B57C89"/>
    <w:rsid w:val="00B57FE1"/>
    <w:rsid w:val="00B60326"/>
    <w:rsid w:val="00B60AAF"/>
    <w:rsid w:val="00B60C56"/>
    <w:rsid w:val="00B60F79"/>
    <w:rsid w:val="00B6112D"/>
    <w:rsid w:val="00B6165E"/>
    <w:rsid w:val="00B619A1"/>
    <w:rsid w:val="00B61D6C"/>
    <w:rsid w:val="00B61F3A"/>
    <w:rsid w:val="00B623A8"/>
    <w:rsid w:val="00B62453"/>
    <w:rsid w:val="00B6300F"/>
    <w:rsid w:val="00B6315D"/>
    <w:rsid w:val="00B6338A"/>
    <w:rsid w:val="00B6385A"/>
    <w:rsid w:val="00B63DDC"/>
    <w:rsid w:val="00B63DFA"/>
    <w:rsid w:val="00B63F80"/>
    <w:rsid w:val="00B63F8B"/>
    <w:rsid w:val="00B6424F"/>
    <w:rsid w:val="00B643CD"/>
    <w:rsid w:val="00B6447B"/>
    <w:rsid w:val="00B6458D"/>
    <w:rsid w:val="00B64A5F"/>
    <w:rsid w:val="00B651C3"/>
    <w:rsid w:val="00B651C4"/>
    <w:rsid w:val="00B65D77"/>
    <w:rsid w:val="00B66B7E"/>
    <w:rsid w:val="00B66CD3"/>
    <w:rsid w:val="00B66D18"/>
    <w:rsid w:val="00B66DF5"/>
    <w:rsid w:val="00B67779"/>
    <w:rsid w:val="00B67A05"/>
    <w:rsid w:val="00B701FB"/>
    <w:rsid w:val="00B7025F"/>
    <w:rsid w:val="00B70481"/>
    <w:rsid w:val="00B70931"/>
    <w:rsid w:val="00B70CA7"/>
    <w:rsid w:val="00B70F1D"/>
    <w:rsid w:val="00B713B0"/>
    <w:rsid w:val="00B7165B"/>
    <w:rsid w:val="00B71666"/>
    <w:rsid w:val="00B72205"/>
    <w:rsid w:val="00B72BDF"/>
    <w:rsid w:val="00B73400"/>
    <w:rsid w:val="00B73894"/>
    <w:rsid w:val="00B74120"/>
    <w:rsid w:val="00B7447F"/>
    <w:rsid w:val="00B745A9"/>
    <w:rsid w:val="00B745C5"/>
    <w:rsid w:val="00B74C3C"/>
    <w:rsid w:val="00B7508C"/>
    <w:rsid w:val="00B750AA"/>
    <w:rsid w:val="00B7521D"/>
    <w:rsid w:val="00B752C2"/>
    <w:rsid w:val="00B75601"/>
    <w:rsid w:val="00B75A4E"/>
    <w:rsid w:val="00B75B63"/>
    <w:rsid w:val="00B75C51"/>
    <w:rsid w:val="00B75F5A"/>
    <w:rsid w:val="00B7612C"/>
    <w:rsid w:val="00B76620"/>
    <w:rsid w:val="00B766EA"/>
    <w:rsid w:val="00B768D4"/>
    <w:rsid w:val="00B768F7"/>
    <w:rsid w:val="00B769B2"/>
    <w:rsid w:val="00B76B5D"/>
    <w:rsid w:val="00B76BE5"/>
    <w:rsid w:val="00B76D1F"/>
    <w:rsid w:val="00B7706C"/>
    <w:rsid w:val="00B77293"/>
    <w:rsid w:val="00B773B1"/>
    <w:rsid w:val="00B77B75"/>
    <w:rsid w:val="00B8031F"/>
    <w:rsid w:val="00B80383"/>
    <w:rsid w:val="00B803F6"/>
    <w:rsid w:val="00B807C2"/>
    <w:rsid w:val="00B80A4F"/>
    <w:rsid w:val="00B80B6C"/>
    <w:rsid w:val="00B80C57"/>
    <w:rsid w:val="00B80E7A"/>
    <w:rsid w:val="00B81314"/>
    <w:rsid w:val="00B8197B"/>
    <w:rsid w:val="00B81BC3"/>
    <w:rsid w:val="00B8251D"/>
    <w:rsid w:val="00B8253E"/>
    <w:rsid w:val="00B825C0"/>
    <w:rsid w:val="00B82A03"/>
    <w:rsid w:val="00B82F02"/>
    <w:rsid w:val="00B83119"/>
    <w:rsid w:val="00B83317"/>
    <w:rsid w:val="00B838AE"/>
    <w:rsid w:val="00B83D99"/>
    <w:rsid w:val="00B845DD"/>
    <w:rsid w:val="00B8566B"/>
    <w:rsid w:val="00B86037"/>
    <w:rsid w:val="00B86DE4"/>
    <w:rsid w:val="00B86FBC"/>
    <w:rsid w:val="00B87033"/>
    <w:rsid w:val="00B87460"/>
    <w:rsid w:val="00B900DC"/>
    <w:rsid w:val="00B9024F"/>
    <w:rsid w:val="00B90842"/>
    <w:rsid w:val="00B90A22"/>
    <w:rsid w:val="00B90C38"/>
    <w:rsid w:val="00B90D2A"/>
    <w:rsid w:val="00B90DEE"/>
    <w:rsid w:val="00B90F98"/>
    <w:rsid w:val="00B9169E"/>
    <w:rsid w:val="00B91782"/>
    <w:rsid w:val="00B9239A"/>
    <w:rsid w:val="00B923FC"/>
    <w:rsid w:val="00B925AB"/>
    <w:rsid w:val="00B9286C"/>
    <w:rsid w:val="00B931FA"/>
    <w:rsid w:val="00B937F2"/>
    <w:rsid w:val="00B9396A"/>
    <w:rsid w:val="00B93B44"/>
    <w:rsid w:val="00B94382"/>
    <w:rsid w:val="00B946FF"/>
    <w:rsid w:val="00B9470A"/>
    <w:rsid w:val="00B949C9"/>
    <w:rsid w:val="00B949DB"/>
    <w:rsid w:val="00B94CFA"/>
    <w:rsid w:val="00B94E8F"/>
    <w:rsid w:val="00B95333"/>
    <w:rsid w:val="00B9537A"/>
    <w:rsid w:val="00B95570"/>
    <w:rsid w:val="00B95C1A"/>
    <w:rsid w:val="00B96145"/>
    <w:rsid w:val="00B96556"/>
    <w:rsid w:val="00B965E7"/>
    <w:rsid w:val="00B97840"/>
    <w:rsid w:val="00B97D08"/>
    <w:rsid w:val="00B97D19"/>
    <w:rsid w:val="00B97FE8"/>
    <w:rsid w:val="00BA0486"/>
    <w:rsid w:val="00BA0967"/>
    <w:rsid w:val="00BA0C4B"/>
    <w:rsid w:val="00BA0CBB"/>
    <w:rsid w:val="00BA1222"/>
    <w:rsid w:val="00BA1653"/>
    <w:rsid w:val="00BA18E9"/>
    <w:rsid w:val="00BA1E1D"/>
    <w:rsid w:val="00BA2001"/>
    <w:rsid w:val="00BA227B"/>
    <w:rsid w:val="00BA231C"/>
    <w:rsid w:val="00BA234D"/>
    <w:rsid w:val="00BA2393"/>
    <w:rsid w:val="00BA2AFE"/>
    <w:rsid w:val="00BA2B26"/>
    <w:rsid w:val="00BA2E61"/>
    <w:rsid w:val="00BA307A"/>
    <w:rsid w:val="00BA327E"/>
    <w:rsid w:val="00BA34F0"/>
    <w:rsid w:val="00BA3915"/>
    <w:rsid w:val="00BA3A9B"/>
    <w:rsid w:val="00BA41A7"/>
    <w:rsid w:val="00BA45ED"/>
    <w:rsid w:val="00BA4875"/>
    <w:rsid w:val="00BA4B0E"/>
    <w:rsid w:val="00BA4C2A"/>
    <w:rsid w:val="00BA4C9C"/>
    <w:rsid w:val="00BA4EFC"/>
    <w:rsid w:val="00BA56ED"/>
    <w:rsid w:val="00BA5F77"/>
    <w:rsid w:val="00BA60F7"/>
    <w:rsid w:val="00BA6123"/>
    <w:rsid w:val="00BA6522"/>
    <w:rsid w:val="00BA65D8"/>
    <w:rsid w:val="00BA6658"/>
    <w:rsid w:val="00BA6884"/>
    <w:rsid w:val="00BA6B68"/>
    <w:rsid w:val="00BA6F7F"/>
    <w:rsid w:val="00BA707F"/>
    <w:rsid w:val="00BA7236"/>
    <w:rsid w:val="00BA75E3"/>
    <w:rsid w:val="00BA78E3"/>
    <w:rsid w:val="00BA7932"/>
    <w:rsid w:val="00BA7BA3"/>
    <w:rsid w:val="00BA7C00"/>
    <w:rsid w:val="00BB0A75"/>
    <w:rsid w:val="00BB0D0B"/>
    <w:rsid w:val="00BB0FFB"/>
    <w:rsid w:val="00BB1074"/>
    <w:rsid w:val="00BB1179"/>
    <w:rsid w:val="00BB12DC"/>
    <w:rsid w:val="00BB1698"/>
    <w:rsid w:val="00BB17C9"/>
    <w:rsid w:val="00BB18EE"/>
    <w:rsid w:val="00BB19D1"/>
    <w:rsid w:val="00BB1DBF"/>
    <w:rsid w:val="00BB1FF7"/>
    <w:rsid w:val="00BB2222"/>
    <w:rsid w:val="00BB2385"/>
    <w:rsid w:val="00BB283A"/>
    <w:rsid w:val="00BB2A9F"/>
    <w:rsid w:val="00BB2D47"/>
    <w:rsid w:val="00BB306B"/>
    <w:rsid w:val="00BB30BB"/>
    <w:rsid w:val="00BB3207"/>
    <w:rsid w:val="00BB38B4"/>
    <w:rsid w:val="00BB3BC8"/>
    <w:rsid w:val="00BB43A1"/>
    <w:rsid w:val="00BB4EF3"/>
    <w:rsid w:val="00BB51CD"/>
    <w:rsid w:val="00BB5CCE"/>
    <w:rsid w:val="00BB672B"/>
    <w:rsid w:val="00BB684A"/>
    <w:rsid w:val="00BB686A"/>
    <w:rsid w:val="00BB6924"/>
    <w:rsid w:val="00BB6B5E"/>
    <w:rsid w:val="00BB728C"/>
    <w:rsid w:val="00BB742E"/>
    <w:rsid w:val="00BB7651"/>
    <w:rsid w:val="00BB7677"/>
    <w:rsid w:val="00BB76BB"/>
    <w:rsid w:val="00BB7E79"/>
    <w:rsid w:val="00BC05DA"/>
    <w:rsid w:val="00BC0B05"/>
    <w:rsid w:val="00BC140D"/>
    <w:rsid w:val="00BC1814"/>
    <w:rsid w:val="00BC182A"/>
    <w:rsid w:val="00BC2050"/>
    <w:rsid w:val="00BC26AF"/>
    <w:rsid w:val="00BC26FA"/>
    <w:rsid w:val="00BC2F7C"/>
    <w:rsid w:val="00BC4238"/>
    <w:rsid w:val="00BC4C34"/>
    <w:rsid w:val="00BC4D59"/>
    <w:rsid w:val="00BC57B8"/>
    <w:rsid w:val="00BC582C"/>
    <w:rsid w:val="00BC5EED"/>
    <w:rsid w:val="00BC6774"/>
    <w:rsid w:val="00BC6ACF"/>
    <w:rsid w:val="00BC75D5"/>
    <w:rsid w:val="00BC78F3"/>
    <w:rsid w:val="00BC7A1D"/>
    <w:rsid w:val="00BC7DD4"/>
    <w:rsid w:val="00BD079F"/>
    <w:rsid w:val="00BD108C"/>
    <w:rsid w:val="00BD13E2"/>
    <w:rsid w:val="00BD17B7"/>
    <w:rsid w:val="00BD1F9D"/>
    <w:rsid w:val="00BD21FA"/>
    <w:rsid w:val="00BD2289"/>
    <w:rsid w:val="00BD2367"/>
    <w:rsid w:val="00BD2B04"/>
    <w:rsid w:val="00BD3163"/>
    <w:rsid w:val="00BD32E2"/>
    <w:rsid w:val="00BD3441"/>
    <w:rsid w:val="00BD4398"/>
    <w:rsid w:val="00BD4659"/>
    <w:rsid w:val="00BD4A61"/>
    <w:rsid w:val="00BD4EE1"/>
    <w:rsid w:val="00BD5A5A"/>
    <w:rsid w:val="00BD5D52"/>
    <w:rsid w:val="00BD5FE5"/>
    <w:rsid w:val="00BD6230"/>
    <w:rsid w:val="00BD682F"/>
    <w:rsid w:val="00BD6AF6"/>
    <w:rsid w:val="00BD6CE0"/>
    <w:rsid w:val="00BD77ED"/>
    <w:rsid w:val="00BD782E"/>
    <w:rsid w:val="00BD7A84"/>
    <w:rsid w:val="00BD7BE9"/>
    <w:rsid w:val="00BE0035"/>
    <w:rsid w:val="00BE0522"/>
    <w:rsid w:val="00BE0A99"/>
    <w:rsid w:val="00BE0C62"/>
    <w:rsid w:val="00BE0F9C"/>
    <w:rsid w:val="00BE11BE"/>
    <w:rsid w:val="00BE11D3"/>
    <w:rsid w:val="00BE1449"/>
    <w:rsid w:val="00BE189F"/>
    <w:rsid w:val="00BE205E"/>
    <w:rsid w:val="00BE2186"/>
    <w:rsid w:val="00BE27D2"/>
    <w:rsid w:val="00BE2941"/>
    <w:rsid w:val="00BE2AAF"/>
    <w:rsid w:val="00BE34F1"/>
    <w:rsid w:val="00BE3CDB"/>
    <w:rsid w:val="00BE42DE"/>
    <w:rsid w:val="00BE441D"/>
    <w:rsid w:val="00BE4996"/>
    <w:rsid w:val="00BE55F1"/>
    <w:rsid w:val="00BE5CAC"/>
    <w:rsid w:val="00BE5E71"/>
    <w:rsid w:val="00BE71DB"/>
    <w:rsid w:val="00BE723B"/>
    <w:rsid w:val="00BF0964"/>
    <w:rsid w:val="00BF0AF6"/>
    <w:rsid w:val="00BF182E"/>
    <w:rsid w:val="00BF1A15"/>
    <w:rsid w:val="00BF228D"/>
    <w:rsid w:val="00BF22AD"/>
    <w:rsid w:val="00BF235A"/>
    <w:rsid w:val="00BF3042"/>
    <w:rsid w:val="00BF3274"/>
    <w:rsid w:val="00BF3361"/>
    <w:rsid w:val="00BF338C"/>
    <w:rsid w:val="00BF3525"/>
    <w:rsid w:val="00BF3B25"/>
    <w:rsid w:val="00BF3C57"/>
    <w:rsid w:val="00BF3C8D"/>
    <w:rsid w:val="00BF405E"/>
    <w:rsid w:val="00BF4201"/>
    <w:rsid w:val="00BF4626"/>
    <w:rsid w:val="00BF56D5"/>
    <w:rsid w:val="00BF5741"/>
    <w:rsid w:val="00BF5AE0"/>
    <w:rsid w:val="00BF5FD8"/>
    <w:rsid w:val="00BF68E3"/>
    <w:rsid w:val="00BF6EAE"/>
    <w:rsid w:val="00BF6FFC"/>
    <w:rsid w:val="00BF79AF"/>
    <w:rsid w:val="00BF7AFE"/>
    <w:rsid w:val="00BF7B44"/>
    <w:rsid w:val="00C00258"/>
    <w:rsid w:val="00C00404"/>
    <w:rsid w:val="00C00852"/>
    <w:rsid w:val="00C00C9A"/>
    <w:rsid w:val="00C00DA0"/>
    <w:rsid w:val="00C00E4C"/>
    <w:rsid w:val="00C00FDD"/>
    <w:rsid w:val="00C010F2"/>
    <w:rsid w:val="00C01395"/>
    <w:rsid w:val="00C019FF"/>
    <w:rsid w:val="00C01BD4"/>
    <w:rsid w:val="00C02019"/>
    <w:rsid w:val="00C020C6"/>
    <w:rsid w:val="00C02234"/>
    <w:rsid w:val="00C03450"/>
    <w:rsid w:val="00C0355D"/>
    <w:rsid w:val="00C03725"/>
    <w:rsid w:val="00C037C9"/>
    <w:rsid w:val="00C03DAF"/>
    <w:rsid w:val="00C045B3"/>
    <w:rsid w:val="00C04837"/>
    <w:rsid w:val="00C052FA"/>
    <w:rsid w:val="00C05CA1"/>
    <w:rsid w:val="00C05E6C"/>
    <w:rsid w:val="00C06005"/>
    <w:rsid w:val="00C0695A"/>
    <w:rsid w:val="00C07310"/>
    <w:rsid w:val="00C07460"/>
    <w:rsid w:val="00C076A1"/>
    <w:rsid w:val="00C07801"/>
    <w:rsid w:val="00C07B4C"/>
    <w:rsid w:val="00C07C00"/>
    <w:rsid w:val="00C10C18"/>
    <w:rsid w:val="00C10CA0"/>
    <w:rsid w:val="00C11289"/>
    <w:rsid w:val="00C11B39"/>
    <w:rsid w:val="00C127BF"/>
    <w:rsid w:val="00C131F2"/>
    <w:rsid w:val="00C1362D"/>
    <w:rsid w:val="00C137B5"/>
    <w:rsid w:val="00C13ACF"/>
    <w:rsid w:val="00C14726"/>
    <w:rsid w:val="00C1516D"/>
    <w:rsid w:val="00C15793"/>
    <w:rsid w:val="00C157E0"/>
    <w:rsid w:val="00C1585B"/>
    <w:rsid w:val="00C15AA3"/>
    <w:rsid w:val="00C15C67"/>
    <w:rsid w:val="00C16680"/>
    <w:rsid w:val="00C16683"/>
    <w:rsid w:val="00C168F2"/>
    <w:rsid w:val="00C16EAB"/>
    <w:rsid w:val="00C172C4"/>
    <w:rsid w:val="00C176A1"/>
    <w:rsid w:val="00C17727"/>
    <w:rsid w:val="00C200AF"/>
    <w:rsid w:val="00C20341"/>
    <w:rsid w:val="00C206D8"/>
    <w:rsid w:val="00C20A4F"/>
    <w:rsid w:val="00C20DF6"/>
    <w:rsid w:val="00C20FA5"/>
    <w:rsid w:val="00C211B3"/>
    <w:rsid w:val="00C21589"/>
    <w:rsid w:val="00C22013"/>
    <w:rsid w:val="00C22054"/>
    <w:rsid w:val="00C22098"/>
    <w:rsid w:val="00C2221D"/>
    <w:rsid w:val="00C224D4"/>
    <w:rsid w:val="00C227CB"/>
    <w:rsid w:val="00C22B08"/>
    <w:rsid w:val="00C22F33"/>
    <w:rsid w:val="00C23469"/>
    <w:rsid w:val="00C234D9"/>
    <w:rsid w:val="00C2398A"/>
    <w:rsid w:val="00C23C90"/>
    <w:rsid w:val="00C24615"/>
    <w:rsid w:val="00C24ECA"/>
    <w:rsid w:val="00C25245"/>
    <w:rsid w:val="00C253FE"/>
    <w:rsid w:val="00C25788"/>
    <w:rsid w:val="00C25C95"/>
    <w:rsid w:val="00C26589"/>
    <w:rsid w:val="00C26A7B"/>
    <w:rsid w:val="00C26C0E"/>
    <w:rsid w:val="00C2738D"/>
    <w:rsid w:val="00C2757D"/>
    <w:rsid w:val="00C27607"/>
    <w:rsid w:val="00C276E4"/>
    <w:rsid w:val="00C277F7"/>
    <w:rsid w:val="00C27B5F"/>
    <w:rsid w:val="00C309E6"/>
    <w:rsid w:val="00C30A12"/>
    <w:rsid w:val="00C30B74"/>
    <w:rsid w:val="00C3102A"/>
    <w:rsid w:val="00C313B3"/>
    <w:rsid w:val="00C316E3"/>
    <w:rsid w:val="00C32347"/>
    <w:rsid w:val="00C326FF"/>
    <w:rsid w:val="00C329F4"/>
    <w:rsid w:val="00C32C42"/>
    <w:rsid w:val="00C32F19"/>
    <w:rsid w:val="00C339EE"/>
    <w:rsid w:val="00C33A3B"/>
    <w:rsid w:val="00C33BCE"/>
    <w:rsid w:val="00C343CB"/>
    <w:rsid w:val="00C34428"/>
    <w:rsid w:val="00C3447B"/>
    <w:rsid w:val="00C34DD7"/>
    <w:rsid w:val="00C35116"/>
    <w:rsid w:val="00C35433"/>
    <w:rsid w:val="00C35F9A"/>
    <w:rsid w:val="00C3725D"/>
    <w:rsid w:val="00C3728F"/>
    <w:rsid w:val="00C37CEF"/>
    <w:rsid w:val="00C40751"/>
    <w:rsid w:val="00C409F3"/>
    <w:rsid w:val="00C40CC4"/>
    <w:rsid w:val="00C40D2E"/>
    <w:rsid w:val="00C4133B"/>
    <w:rsid w:val="00C413A3"/>
    <w:rsid w:val="00C414E3"/>
    <w:rsid w:val="00C4170F"/>
    <w:rsid w:val="00C417D7"/>
    <w:rsid w:val="00C4245F"/>
    <w:rsid w:val="00C4284A"/>
    <w:rsid w:val="00C42875"/>
    <w:rsid w:val="00C42D66"/>
    <w:rsid w:val="00C4344F"/>
    <w:rsid w:val="00C43E4C"/>
    <w:rsid w:val="00C44145"/>
    <w:rsid w:val="00C448B8"/>
    <w:rsid w:val="00C44930"/>
    <w:rsid w:val="00C451AE"/>
    <w:rsid w:val="00C45FBE"/>
    <w:rsid w:val="00C46418"/>
    <w:rsid w:val="00C47624"/>
    <w:rsid w:val="00C4769A"/>
    <w:rsid w:val="00C47DDA"/>
    <w:rsid w:val="00C47ED3"/>
    <w:rsid w:val="00C502B6"/>
    <w:rsid w:val="00C503BC"/>
    <w:rsid w:val="00C50B14"/>
    <w:rsid w:val="00C50F10"/>
    <w:rsid w:val="00C50F1C"/>
    <w:rsid w:val="00C518FD"/>
    <w:rsid w:val="00C519D4"/>
    <w:rsid w:val="00C51C73"/>
    <w:rsid w:val="00C520F6"/>
    <w:rsid w:val="00C522FC"/>
    <w:rsid w:val="00C525E9"/>
    <w:rsid w:val="00C52AA8"/>
    <w:rsid w:val="00C5314D"/>
    <w:rsid w:val="00C53355"/>
    <w:rsid w:val="00C53F01"/>
    <w:rsid w:val="00C54349"/>
    <w:rsid w:val="00C544D3"/>
    <w:rsid w:val="00C547FC"/>
    <w:rsid w:val="00C5547A"/>
    <w:rsid w:val="00C554B5"/>
    <w:rsid w:val="00C55D85"/>
    <w:rsid w:val="00C563F3"/>
    <w:rsid w:val="00C56D9D"/>
    <w:rsid w:val="00C57184"/>
    <w:rsid w:val="00C57714"/>
    <w:rsid w:val="00C578C3"/>
    <w:rsid w:val="00C57EB8"/>
    <w:rsid w:val="00C6073D"/>
    <w:rsid w:val="00C60B73"/>
    <w:rsid w:val="00C60C56"/>
    <w:rsid w:val="00C616CD"/>
    <w:rsid w:val="00C62849"/>
    <w:rsid w:val="00C6290A"/>
    <w:rsid w:val="00C632DB"/>
    <w:rsid w:val="00C64147"/>
    <w:rsid w:val="00C643C0"/>
    <w:rsid w:val="00C64764"/>
    <w:rsid w:val="00C648FA"/>
    <w:rsid w:val="00C64AA9"/>
    <w:rsid w:val="00C655BE"/>
    <w:rsid w:val="00C658B6"/>
    <w:rsid w:val="00C65A95"/>
    <w:rsid w:val="00C65B72"/>
    <w:rsid w:val="00C65B8E"/>
    <w:rsid w:val="00C65BC9"/>
    <w:rsid w:val="00C65C01"/>
    <w:rsid w:val="00C66265"/>
    <w:rsid w:val="00C66807"/>
    <w:rsid w:val="00C66AF4"/>
    <w:rsid w:val="00C66FBA"/>
    <w:rsid w:val="00C6700A"/>
    <w:rsid w:val="00C6721C"/>
    <w:rsid w:val="00C6723F"/>
    <w:rsid w:val="00C6781F"/>
    <w:rsid w:val="00C678D3"/>
    <w:rsid w:val="00C67F49"/>
    <w:rsid w:val="00C703A4"/>
    <w:rsid w:val="00C7056D"/>
    <w:rsid w:val="00C71032"/>
    <w:rsid w:val="00C711EA"/>
    <w:rsid w:val="00C71309"/>
    <w:rsid w:val="00C71EB9"/>
    <w:rsid w:val="00C72017"/>
    <w:rsid w:val="00C7207F"/>
    <w:rsid w:val="00C72757"/>
    <w:rsid w:val="00C729EA"/>
    <w:rsid w:val="00C72EBC"/>
    <w:rsid w:val="00C73857"/>
    <w:rsid w:val="00C73D6A"/>
    <w:rsid w:val="00C740C4"/>
    <w:rsid w:val="00C74844"/>
    <w:rsid w:val="00C74B82"/>
    <w:rsid w:val="00C74E6A"/>
    <w:rsid w:val="00C7513C"/>
    <w:rsid w:val="00C754DA"/>
    <w:rsid w:val="00C75882"/>
    <w:rsid w:val="00C758F7"/>
    <w:rsid w:val="00C75AB6"/>
    <w:rsid w:val="00C75B87"/>
    <w:rsid w:val="00C75CC1"/>
    <w:rsid w:val="00C76202"/>
    <w:rsid w:val="00C7645C"/>
    <w:rsid w:val="00C766F4"/>
    <w:rsid w:val="00C76EBD"/>
    <w:rsid w:val="00C771C0"/>
    <w:rsid w:val="00C774D7"/>
    <w:rsid w:val="00C779B5"/>
    <w:rsid w:val="00C8047B"/>
    <w:rsid w:val="00C80D4C"/>
    <w:rsid w:val="00C80EF3"/>
    <w:rsid w:val="00C8171A"/>
    <w:rsid w:val="00C81928"/>
    <w:rsid w:val="00C819E2"/>
    <w:rsid w:val="00C81B78"/>
    <w:rsid w:val="00C827BC"/>
    <w:rsid w:val="00C827DC"/>
    <w:rsid w:val="00C8292B"/>
    <w:rsid w:val="00C8339F"/>
    <w:rsid w:val="00C8345A"/>
    <w:rsid w:val="00C83790"/>
    <w:rsid w:val="00C83EDB"/>
    <w:rsid w:val="00C84739"/>
    <w:rsid w:val="00C84BED"/>
    <w:rsid w:val="00C84E1A"/>
    <w:rsid w:val="00C85515"/>
    <w:rsid w:val="00C85D4C"/>
    <w:rsid w:val="00C85F9F"/>
    <w:rsid w:val="00C85FD7"/>
    <w:rsid w:val="00C86034"/>
    <w:rsid w:val="00C864BE"/>
    <w:rsid w:val="00C8660F"/>
    <w:rsid w:val="00C8691E"/>
    <w:rsid w:val="00C878F9"/>
    <w:rsid w:val="00C87C4D"/>
    <w:rsid w:val="00C90A74"/>
    <w:rsid w:val="00C90BFB"/>
    <w:rsid w:val="00C91155"/>
    <w:rsid w:val="00C916BF"/>
    <w:rsid w:val="00C91853"/>
    <w:rsid w:val="00C91A93"/>
    <w:rsid w:val="00C91FC3"/>
    <w:rsid w:val="00C9284F"/>
    <w:rsid w:val="00C92B13"/>
    <w:rsid w:val="00C92EF5"/>
    <w:rsid w:val="00C92FA6"/>
    <w:rsid w:val="00C9391D"/>
    <w:rsid w:val="00C93B99"/>
    <w:rsid w:val="00C93F5A"/>
    <w:rsid w:val="00C93FDF"/>
    <w:rsid w:val="00C940DF"/>
    <w:rsid w:val="00C949F4"/>
    <w:rsid w:val="00C95031"/>
    <w:rsid w:val="00C95407"/>
    <w:rsid w:val="00C95E4C"/>
    <w:rsid w:val="00C96727"/>
    <w:rsid w:val="00C96AF2"/>
    <w:rsid w:val="00C96C91"/>
    <w:rsid w:val="00C9739D"/>
    <w:rsid w:val="00C973B0"/>
    <w:rsid w:val="00C9766C"/>
    <w:rsid w:val="00C97B66"/>
    <w:rsid w:val="00C97C61"/>
    <w:rsid w:val="00C97E0E"/>
    <w:rsid w:val="00CA049E"/>
    <w:rsid w:val="00CA0864"/>
    <w:rsid w:val="00CA092A"/>
    <w:rsid w:val="00CA0A15"/>
    <w:rsid w:val="00CA18A3"/>
    <w:rsid w:val="00CA1C95"/>
    <w:rsid w:val="00CA1F11"/>
    <w:rsid w:val="00CA2386"/>
    <w:rsid w:val="00CA2CA1"/>
    <w:rsid w:val="00CA2D56"/>
    <w:rsid w:val="00CA2F53"/>
    <w:rsid w:val="00CA2FA5"/>
    <w:rsid w:val="00CA30A0"/>
    <w:rsid w:val="00CA4732"/>
    <w:rsid w:val="00CA4776"/>
    <w:rsid w:val="00CA4D86"/>
    <w:rsid w:val="00CA4E32"/>
    <w:rsid w:val="00CA57AC"/>
    <w:rsid w:val="00CA5821"/>
    <w:rsid w:val="00CA5886"/>
    <w:rsid w:val="00CA5993"/>
    <w:rsid w:val="00CA5BA2"/>
    <w:rsid w:val="00CA5C12"/>
    <w:rsid w:val="00CA6326"/>
    <w:rsid w:val="00CA640D"/>
    <w:rsid w:val="00CA6DBC"/>
    <w:rsid w:val="00CA6F23"/>
    <w:rsid w:val="00CA6FB8"/>
    <w:rsid w:val="00CA74BF"/>
    <w:rsid w:val="00CA7EA2"/>
    <w:rsid w:val="00CB09C4"/>
    <w:rsid w:val="00CB0F9C"/>
    <w:rsid w:val="00CB13EC"/>
    <w:rsid w:val="00CB213D"/>
    <w:rsid w:val="00CB23D1"/>
    <w:rsid w:val="00CB287F"/>
    <w:rsid w:val="00CB2F07"/>
    <w:rsid w:val="00CB2FFA"/>
    <w:rsid w:val="00CB309A"/>
    <w:rsid w:val="00CB38AC"/>
    <w:rsid w:val="00CB3A20"/>
    <w:rsid w:val="00CB3BDD"/>
    <w:rsid w:val="00CB3C76"/>
    <w:rsid w:val="00CB452B"/>
    <w:rsid w:val="00CB463D"/>
    <w:rsid w:val="00CB4883"/>
    <w:rsid w:val="00CB4DF2"/>
    <w:rsid w:val="00CB57A4"/>
    <w:rsid w:val="00CB57CF"/>
    <w:rsid w:val="00CB5C1A"/>
    <w:rsid w:val="00CB5EC7"/>
    <w:rsid w:val="00CB6417"/>
    <w:rsid w:val="00CB65AE"/>
    <w:rsid w:val="00CB66A2"/>
    <w:rsid w:val="00CB66D2"/>
    <w:rsid w:val="00CB6BC2"/>
    <w:rsid w:val="00CB7001"/>
    <w:rsid w:val="00CB7C7A"/>
    <w:rsid w:val="00CC0BA6"/>
    <w:rsid w:val="00CC0C64"/>
    <w:rsid w:val="00CC0FAF"/>
    <w:rsid w:val="00CC1792"/>
    <w:rsid w:val="00CC1966"/>
    <w:rsid w:val="00CC1C49"/>
    <w:rsid w:val="00CC21DE"/>
    <w:rsid w:val="00CC2367"/>
    <w:rsid w:val="00CC2547"/>
    <w:rsid w:val="00CC3238"/>
    <w:rsid w:val="00CC3827"/>
    <w:rsid w:val="00CC3E72"/>
    <w:rsid w:val="00CC4020"/>
    <w:rsid w:val="00CC432E"/>
    <w:rsid w:val="00CC4997"/>
    <w:rsid w:val="00CC5608"/>
    <w:rsid w:val="00CC582D"/>
    <w:rsid w:val="00CC5CEE"/>
    <w:rsid w:val="00CC663A"/>
    <w:rsid w:val="00CC674E"/>
    <w:rsid w:val="00CC68FA"/>
    <w:rsid w:val="00CC6B49"/>
    <w:rsid w:val="00CC6CC6"/>
    <w:rsid w:val="00CC716E"/>
    <w:rsid w:val="00CC71C6"/>
    <w:rsid w:val="00CC7262"/>
    <w:rsid w:val="00CC74F7"/>
    <w:rsid w:val="00CC752B"/>
    <w:rsid w:val="00CC78D6"/>
    <w:rsid w:val="00CC7A62"/>
    <w:rsid w:val="00CD0121"/>
    <w:rsid w:val="00CD0ACA"/>
    <w:rsid w:val="00CD0D71"/>
    <w:rsid w:val="00CD0E70"/>
    <w:rsid w:val="00CD17E3"/>
    <w:rsid w:val="00CD1C3D"/>
    <w:rsid w:val="00CD2975"/>
    <w:rsid w:val="00CD2E38"/>
    <w:rsid w:val="00CD3082"/>
    <w:rsid w:val="00CD3164"/>
    <w:rsid w:val="00CD3B5E"/>
    <w:rsid w:val="00CD42EB"/>
    <w:rsid w:val="00CD465E"/>
    <w:rsid w:val="00CD4671"/>
    <w:rsid w:val="00CD47DF"/>
    <w:rsid w:val="00CD4882"/>
    <w:rsid w:val="00CD4B10"/>
    <w:rsid w:val="00CD4BE0"/>
    <w:rsid w:val="00CD4CA9"/>
    <w:rsid w:val="00CD51C2"/>
    <w:rsid w:val="00CD5346"/>
    <w:rsid w:val="00CD646C"/>
    <w:rsid w:val="00CD665E"/>
    <w:rsid w:val="00CD6B4A"/>
    <w:rsid w:val="00CD6DF9"/>
    <w:rsid w:val="00CD70E9"/>
    <w:rsid w:val="00CD7107"/>
    <w:rsid w:val="00CD7E56"/>
    <w:rsid w:val="00CE0118"/>
    <w:rsid w:val="00CE02A6"/>
    <w:rsid w:val="00CE04BE"/>
    <w:rsid w:val="00CE052E"/>
    <w:rsid w:val="00CE0B28"/>
    <w:rsid w:val="00CE0B35"/>
    <w:rsid w:val="00CE0C0A"/>
    <w:rsid w:val="00CE1B13"/>
    <w:rsid w:val="00CE1BEB"/>
    <w:rsid w:val="00CE2753"/>
    <w:rsid w:val="00CE2884"/>
    <w:rsid w:val="00CE295F"/>
    <w:rsid w:val="00CE2C8B"/>
    <w:rsid w:val="00CE2FC8"/>
    <w:rsid w:val="00CE3010"/>
    <w:rsid w:val="00CE3141"/>
    <w:rsid w:val="00CE350B"/>
    <w:rsid w:val="00CE3830"/>
    <w:rsid w:val="00CE3895"/>
    <w:rsid w:val="00CE4149"/>
    <w:rsid w:val="00CE42DF"/>
    <w:rsid w:val="00CE4B9B"/>
    <w:rsid w:val="00CE4D5A"/>
    <w:rsid w:val="00CE58A3"/>
    <w:rsid w:val="00CE5A7A"/>
    <w:rsid w:val="00CE5DE8"/>
    <w:rsid w:val="00CE5DEF"/>
    <w:rsid w:val="00CE709D"/>
    <w:rsid w:val="00CE7291"/>
    <w:rsid w:val="00CE7D50"/>
    <w:rsid w:val="00CF03DF"/>
    <w:rsid w:val="00CF0F3A"/>
    <w:rsid w:val="00CF1039"/>
    <w:rsid w:val="00CF123E"/>
    <w:rsid w:val="00CF13C7"/>
    <w:rsid w:val="00CF14A7"/>
    <w:rsid w:val="00CF1874"/>
    <w:rsid w:val="00CF188A"/>
    <w:rsid w:val="00CF195F"/>
    <w:rsid w:val="00CF19B3"/>
    <w:rsid w:val="00CF19BC"/>
    <w:rsid w:val="00CF23BB"/>
    <w:rsid w:val="00CF2BC6"/>
    <w:rsid w:val="00CF2D7A"/>
    <w:rsid w:val="00CF3873"/>
    <w:rsid w:val="00CF39D6"/>
    <w:rsid w:val="00CF4A15"/>
    <w:rsid w:val="00CF4FB1"/>
    <w:rsid w:val="00CF4FBE"/>
    <w:rsid w:val="00CF51DB"/>
    <w:rsid w:val="00CF54D2"/>
    <w:rsid w:val="00CF5BE7"/>
    <w:rsid w:val="00CF5F9F"/>
    <w:rsid w:val="00CF601C"/>
    <w:rsid w:val="00CF625D"/>
    <w:rsid w:val="00CF68A9"/>
    <w:rsid w:val="00CF68CA"/>
    <w:rsid w:val="00CF6B5B"/>
    <w:rsid w:val="00CF6BF5"/>
    <w:rsid w:val="00CF6E29"/>
    <w:rsid w:val="00CF754D"/>
    <w:rsid w:val="00D00116"/>
    <w:rsid w:val="00D00465"/>
    <w:rsid w:val="00D0071B"/>
    <w:rsid w:val="00D00740"/>
    <w:rsid w:val="00D00B7C"/>
    <w:rsid w:val="00D00CFF"/>
    <w:rsid w:val="00D011DB"/>
    <w:rsid w:val="00D016EB"/>
    <w:rsid w:val="00D023AB"/>
    <w:rsid w:val="00D02F40"/>
    <w:rsid w:val="00D02F8C"/>
    <w:rsid w:val="00D030FC"/>
    <w:rsid w:val="00D03268"/>
    <w:rsid w:val="00D03868"/>
    <w:rsid w:val="00D03AD8"/>
    <w:rsid w:val="00D03C07"/>
    <w:rsid w:val="00D03F2B"/>
    <w:rsid w:val="00D043BD"/>
    <w:rsid w:val="00D04588"/>
    <w:rsid w:val="00D045BB"/>
    <w:rsid w:val="00D04C30"/>
    <w:rsid w:val="00D056CF"/>
    <w:rsid w:val="00D05D66"/>
    <w:rsid w:val="00D05FF2"/>
    <w:rsid w:val="00D06954"/>
    <w:rsid w:val="00D06FD2"/>
    <w:rsid w:val="00D071DB"/>
    <w:rsid w:val="00D075DD"/>
    <w:rsid w:val="00D07907"/>
    <w:rsid w:val="00D07BC0"/>
    <w:rsid w:val="00D07F6D"/>
    <w:rsid w:val="00D1017E"/>
    <w:rsid w:val="00D1079F"/>
    <w:rsid w:val="00D1085F"/>
    <w:rsid w:val="00D10A83"/>
    <w:rsid w:val="00D10D8C"/>
    <w:rsid w:val="00D10EFC"/>
    <w:rsid w:val="00D11418"/>
    <w:rsid w:val="00D11BC3"/>
    <w:rsid w:val="00D1236E"/>
    <w:rsid w:val="00D124F6"/>
    <w:rsid w:val="00D12AE2"/>
    <w:rsid w:val="00D12B33"/>
    <w:rsid w:val="00D12BC4"/>
    <w:rsid w:val="00D12C43"/>
    <w:rsid w:val="00D12E47"/>
    <w:rsid w:val="00D13602"/>
    <w:rsid w:val="00D13815"/>
    <w:rsid w:val="00D13F2D"/>
    <w:rsid w:val="00D140A0"/>
    <w:rsid w:val="00D14584"/>
    <w:rsid w:val="00D148E0"/>
    <w:rsid w:val="00D14EF9"/>
    <w:rsid w:val="00D151EC"/>
    <w:rsid w:val="00D155D7"/>
    <w:rsid w:val="00D1639C"/>
    <w:rsid w:val="00D16539"/>
    <w:rsid w:val="00D165EF"/>
    <w:rsid w:val="00D1674F"/>
    <w:rsid w:val="00D1785F"/>
    <w:rsid w:val="00D17BC6"/>
    <w:rsid w:val="00D17BDC"/>
    <w:rsid w:val="00D17E75"/>
    <w:rsid w:val="00D206DF"/>
    <w:rsid w:val="00D20AE4"/>
    <w:rsid w:val="00D20E0B"/>
    <w:rsid w:val="00D20F9D"/>
    <w:rsid w:val="00D220AB"/>
    <w:rsid w:val="00D224AE"/>
    <w:rsid w:val="00D22640"/>
    <w:rsid w:val="00D22884"/>
    <w:rsid w:val="00D228AD"/>
    <w:rsid w:val="00D22B02"/>
    <w:rsid w:val="00D23560"/>
    <w:rsid w:val="00D239F9"/>
    <w:rsid w:val="00D2466A"/>
    <w:rsid w:val="00D247AD"/>
    <w:rsid w:val="00D24C8B"/>
    <w:rsid w:val="00D24D1C"/>
    <w:rsid w:val="00D252CF"/>
    <w:rsid w:val="00D2590E"/>
    <w:rsid w:val="00D25B95"/>
    <w:rsid w:val="00D25E36"/>
    <w:rsid w:val="00D25FB4"/>
    <w:rsid w:val="00D26266"/>
    <w:rsid w:val="00D2670B"/>
    <w:rsid w:val="00D268BA"/>
    <w:rsid w:val="00D26D06"/>
    <w:rsid w:val="00D26E04"/>
    <w:rsid w:val="00D3010D"/>
    <w:rsid w:val="00D3039F"/>
    <w:rsid w:val="00D303AF"/>
    <w:rsid w:val="00D30638"/>
    <w:rsid w:val="00D30656"/>
    <w:rsid w:val="00D31161"/>
    <w:rsid w:val="00D31AB1"/>
    <w:rsid w:val="00D31DD7"/>
    <w:rsid w:val="00D3208B"/>
    <w:rsid w:val="00D325C0"/>
    <w:rsid w:val="00D32ADB"/>
    <w:rsid w:val="00D32B9B"/>
    <w:rsid w:val="00D32FC6"/>
    <w:rsid w:val="00D33126"/>
    <w:rsid w:val="00D331B1"/>
    <w:rsid w:val="00D331F2"/>
    <w:rsid w:val="00D33255"/>
    <w:rsid w:val="00D33625"/>
    <w:rsid w:val="00D338FA"/>
    <w:rsid w:val="00D33D3A"/>
    <w:rsid w:val="00D34089"/>
    <w:rsid w:val="00D344AA"/>
    <w:rsid w:val="00D34970"/>
    <w:rsid w:val="00D349E1"/>
    <w:rsid w:val="00D34EE2"/>
    <w:rsid w:val="00D34FEE"/>
    <w:rsid w:val="00D35202"/>
    <w:rsid w:val="00D35AD5"/>
    <w:rsid w:val="00D36087"/>
    <w:rsid w:val="00D36340"/>
    <w:rsid w:val="00D363C4"/>
    <w:rsid w:val="00D363F2"/>
    <w:rsid w:val="00D3698C"/>
    <w:rsid w:val="00D36BCF"/>
    <w:rsid w:val="00D37A3D"/>
    <w:rsid w:val="00D37A3F"/>
    <w:rsid w:val="00D37B65"/>
    <w:rsid w:val="00D37B74"/>
    <w:rsid w:val="00D40076"/>
    <w:rsid w:val="00D40379"/>
    <w:rsid w:val="00D40392"/>
    <w:rsid w:val="00D40A3F"/>
    <w:rsid w:val="00D40BF6"/>
    <w:rsid w:val="00D40DFC"/>
    <w:rsid w:val="00D40E00"/>
    <w:rsid w:val="00D40E49"/>
    <w:rsid w:val="00D40EC8"/>
    <w:rsid w:val="00D40F48"/>
    <w:rsid w:val="00D4110C"/>
    <w:rsid w:val="00D4126C"/>
    <w:rsid w:val="00D41276"/>
    <w:rsid w:val="00D415E3"/>
    <w:rsid w:val="00D41884"/>
    <w:rsid w:val="00D41C9C"/>
    <w:rsid w:val="00D41EFE"/>
    <w:rsid w:val="00D4234C"/>
    <w:rsid w:val="00D42559"/>
    <w:rsid w:val="00D4297D"/>
    <w:rsid w:val="00D42BF3"/>
    <w:rsid w:val="00D42EE3"/>
    <w:rsid w:val="00D4387D"/>
    <w:rsid w:val="00D44168"/>
    <w:rsid w:val="00D441CC"/>
    <w:rsid w:val="00D4435C"/>
    <w:rsid w:val="00D44806"/>
    <w:rsid w:val="00D4491F"/>
    <w:rsid w:val="00D45106"/>
    <w:rsid w:val="00D45640"/>
    <w:rsid w:val="00D4565C"/>
    <w:rsid w:val="00D4598B"/>
    <w:rsid w:val="00D459A9"/>
    <w:rsid w:val="00D45CD5"/>
    <w:rsid w:val="00D45FA2"/>
    <w:rsid w:val="00D462B3"/>
    <w:rsid w:val="00D464F3"/>
    <w:rsid w:val="00D467B0"/>
    <w:rsid w:val="00D469EF"/>
    <w:rsid w:val="00D46D86"/>
    <w:rsid w:val="00D46E19"/>
    <w:rsid w:val="00D47388"/>
    <w:rsid w:val="00D47592"/>
    <w:rsid w:val="00D475BC"/>
    <w:rsid w:val="00D478E2"/>
    <w:rsid w:val="00D47A11"/>
    <w:rsid w:val="00D47A61"/>
    <w:rsid w:val="00D47B33"/>
    <w:rsid w:val="00D47F16"/>
    <w:rsid w:val="00D5007A"/>
    <w:rsid w:val="00D5091A"/>
    <w:rsid w:val="00D50B4D"/>
    <w:rsid w:val="00D517E7"/>
    <w:rsid w:val="00D51C47"/>
    <w:rsid w:val="00D51C77"/>
    <w:rsid w:val="00D52007"/>
    <w:rsid w:val="00D524F8"/>
    <w:rsid w:val="00D52956"/>
    <w:rsid w:val="00D53152"/>
    <w:rsid w:val="00D53563"/>
    <w:rsid w:val="00D537D8"/>
    <w:rsid w:val="00D537F1"/>
    <w:rsid w:val="00D53D2C"/>
    <w:rsid w:val="00D53D3D"/>
    <w:rsid w:val="00D53FA9"/>
    <w:rsid w:val="00D5428B"/>
    <w:rsid w:val="00D544CC"/>
    <w:rsid w:val="00D54564"/>
    <w:rsid w:val="00D5518D"/>
    <w:rsid w:val="00D553F5"/>
    <w:rsid w:val="00D5581F"/>
    <w:rsid w:val="00D5583A"/>
    <w:rsid w:val="00D55B81"/>
    <w:rsid w:val="00D56530"/>
    <w:rsid w:val="00D56698"/>
    <w:rsid w:val="00D5679F"/>
    <w:rsid w:val="00D57011"/>
    <w:rsid w:val="00D571FD"/>
    <w:rsid w:val="00D57741"/>
    <w:rsid w:val="00D6061E"/>
    <w:rsid w:val="00D60F38"/>
    <w:rsid w:val="00D60FF0"/>
    <w:rsid w:val="00D6150F"/>
    <w:rsid w:val="00D61551"/>
    <w:rsid w:val="00D6266A"/>
    <w:rsid w:val="00D63139"/>
    <w:rsid w:val="00D632AC"/>
    <w:rsid w:val="00D632BD"/>
    <w:rsid w:val="00D634AF"/>
    <w:rsid w:val="00D63C09"/>
    <w:rsid w:val="00D63C73"/>
    <w:rsid w:val="00D63E41"/>
    <w:rsid w:val="00D63E4A"/>
    <w:rsid w:val="00D63EA8"/>
    <w:rsid w:val="00D64293"/>
    <w:rsid w:val="00D643B4"/>
    <w:rsid w:val="00D649B2"/>
    <w:rsid w:val="00D64B15"/>
    <w:rsid w:val="00D64C13"/>
    <w:rsid w:val="00D64DED"/>
    <w:rsid w:val="00D655EA"/>
    <w:rsid w:val="00D65792"/>
    <w:rsid w:val="00D6584E"/>
    <w:rsid w:val="00D658D7"/>
    <w:rsid w:val="00D66CED"/>
    <w:rsid w:val="00D66E21"/>
    <w:rsid w:val="00D66ED4"/>
    <w:rsid w:val="00D676B4"/>
    <w:rsid w:val="00D677F6"/>
    <w:rsid w:val="00D67A55"/>
    <w:rsid w:val="00D70985"/>
    <w:rsid w:val="00D70F96"/>
    <w:rsid w:val="00D713DF"/>
    <w:rsid w:val="00D715A7"/>
    <w:rsid w:val="00D7180F"/>
    <w:rsid w:val="00D71BD1"/>
    <w:rsid w:val="00D71C80"/>
    <w:rsid w:val="00D71CEB"/>
    <w:rsid w:val="00D7219E"/>
    <w:rsid w:val="00D72641"/>
    <w:rsid w:val="00D726BC"/>
    <w:rsid w:val="00D727CB"/>
    <w:rsid w:val="00D72AFD"/>
    <w:rsid w:val="00D73332"/>
    <w:rsid w:val="00D73756"/>
    <w:rsid w:val="00D73F77"/>
    <w:rsid w:val="00D74017"/>
    <w:rsid w:val="00D740EA"/>
    <w:rsid w:val="00D74289"/>
    <w:rsid w:val="00D74A05"/>
    <w:rsid w:val="00D74C67"/>
    <w:rsid w:val="00D74F3B"/>
    <w:rsid w:val="00D74FEE"/>
    <w:rsid w:val="00D759BE"/>
    <w:rsid w:val="00D75E49"/>
    <w:rsid w:val="00D75FEC"/>
    <w:rsid w:val="00D764AD"/>
    <w:rsid w:val="00D76FD7"/>
    <w:rsid w:val="00D7722A"/>
    <w:rsid w:val="00D77262"/>
    <w:rsid w:val="00D772A9"/>
    <w:rsid w:val="00D772AE"/>
    <w:rsid w:val="00D774F9"/>
    <w:rsid w:val="00D777D4"/>
    <w:rsid w:val="00D7787B"/>
    <w:rsid w:val="00D77D32"/>
    <w:rsid w:val="00D80896"/>
    <w:rsid w:val="00D808C5"/>
    <w:rsid w:val="00D80D9E"/>
    <w:rsid w:val="00D82281"/>
    <w:rsid w:val="00D8231C"/>
    <w:rsid w:val="00D8248A"/>
    <w:rsid w:val="00D82504"/>
    <w:rsid w:val="00D8253B"/>
    <w:rsid w:val="00D82E47"/>
    <w:rsid w:val="00D82E57"/>
    <w:rsid w:val="00D83062"/>
    <w:rsid w:val="00D83456"/>
    <w:rsid w:val="00D83773"/>
    <w:rsid w:val="00D83F62"/>
    <w:rsid w:val="00D84729"/>
    <w:rsid w:val="00D84A4A"/>
    <w:rsid w:val="00D84E12"/>
    <w:rsid w:val="00D85150"/>
    <w:rsid w:val="00D852C8"/>
    <w:rsid w:val="00D85450"/>
    <w:rsid w:val="00D85636"/>
    <w:rsid w:val="00D8574D"/>
    <w:rsid w:val="00D8579D"/>
    <w:rsid w:val="00D858F4"/>
    <w:rsid w:val="00D85D9F"/>
    <w:rsid w:val="00D85EDC"/>
    <w:rsid w:val="00D8620D"/>
    <w:rsid w:val="00D863DC"/>
    <w:rsid w:val="00D86617"/>
    <w:rsid w:val="00D867D1"/>
    <w:rsid w:val="00D867D5"/>
    <w:rsid w:val="00D86BBD"/>
    <w:rsid w:val="00D87F2B"/>
    <w:rsid w:val="00D9012E"/>
    <w:rsid w:val="00D90745"/>
    <w:rsid w:val="00D90780"/>
    <w:rsid w:val="00D90F6E"/>
    <w:rsid w:val="00D910E2"/>
    <w:rsid w:val="00D91528"/>
    <w:rsid w:val="00D91EE1"/>
    <w:rsid w:val="00D91F84"/>
    <w:rsid w:val="00D922F0"/>
    <w:rsid w:val="00D928DD"/>
    <w:rsid w:val="00D929E8"/>
    <w:rsid w:val="00D92CB4"/>
    <w:rsid w:val="00D92F82"/>
    <w:rsid w:val="00D93199"/>
    <w:rsid w:val="00D933D3"/>
    <w:rsid w:val="00D93F31"/>
    <w:rsid w:val="00D93F56"/>
    <w:rsid w:val="00D94DF1"/>
    <w:rsid w:val="00D9568A"/>
    <w:rsid w:val="00D9586C"/>
    <w:rsid w:val="00D95906"/>
    <w:rsid w:val="00D959D3"/>
    <w:rsid w:val="00D95F6E"/>
    <w:rsid w:val="00D960DE"/>
    <w:rsid w:val="00D963F3"/>
    <w:rsid w:val="00D964B8"/>
    <w:rsid w:val="00D96519"/>
    <w:rsid w:val="00D96620"/>
    <w:rsid w:val="00D96838"/>
    <w:rsid w:val="00D96869"/>
    <w:rsid w:val="00D96AC9"/>
    <w:rsid w:val="00D96EA6"/>
    <w:rsid w:val="00D97720"/>
    <w:rsid w:val="00D97755"/>
    <w:rsid w:val="00D97D52"/>
    <w:rsid w:val="00DA10BB"/>
    <w:rsid w:val="00DA1597"/>
    <w:rsid w:val="00DA16B2"/>
    <w:rsid w:val="00DA1A6C"/>
    <w:rsid w:val="00DA1E40"/>
    <w:rsid w:val="00DA2356"/>
    <w:rsid w:val="00DA25C4"/>
    <w:rsid w:val="00DA3328"/>
    <w:rsid w:val="00DA3875"/>
    <w:rsid w:val="00DA39B5"/>
    <w:rsid w:val="00DA3CE4"/>
    <w:rsid w:val="00DA3F13"/>
    <w:rsid w:val="00DA3F18"/>
    <w:rsid w:val="00DA43CE"/>
    <w:rsid w:val="00DA4621"/>
    <w:rsid w:val="00DA49F5"/>
    <w:rsid w:val="00DA4A24"/>
    <w:rsid w:val="00DA501B"/>
    <w:rsid w:val="00DA5332"/>
    <w:rsid w:val="00DA54B0"/>
    <w:rsid w:val="00DA587B"/>
    <w:rsid w:val="00DA5F01"/>
    <w:rsid w:val="00DA5F08"/>
    <w:rsid w:val="00DA6350"/>
    <w:rsid w:val="00DA6676"/>
    <w:rsid w:val="00DA6A77"/>
    <w:rsid w:val="00DA746E"/>
    <w:rsid w:val="00DA7ABA"/>
    <w:rsid w:val="00DA7C24"/>
    <w:rsid w:val="00DA7EC0"/>
    <w:rsid w:val="00DA7FE3"/>
    <w:rsid w:val="00DB0041"/>
    <w:rsid w:val="00DB0796"/>
    <w:rsid w:val="00DB12BB"/>
    <w:rsid w:val="00DB1718"/>
    <w:rsid w:val="00DB2760"/>
    <w:rsid w:val="00DB29D8"/>
    <w:rsid w:val="00DB2F20"/>
    <w:rsid w:val="00DB38A4"/>
    <w:rsid w:val="00DB39A7"/>
    <w:rsid w:val="00DB3E3A"/>
    <w:rsid w:val="00DB4130"/>
    <w:rsid w:val="00DB43BA"/>
    <w:rsid w:val="00DB444B"/>
    <w:rsid w:val="00DB493B"/>
    <w:rsid w:val="00DB57D6"/>
    <w:rsid w:val="00DB6002"/>
    <w:rsid w:val="00DB629A"/>
    <w:rsid w:val="00DB659D"/>
    <w:rsid w:val="00DB6731"/>
    <w:rsid w:val="00DB6738"/>
    <w:rsid w:val="00DB682B"/>
    <w:rsid w:val="00DB6A29"/>
    <w:rsid w:val="00DB6C6A"/>
    <w:rsid w:val="00DB6F0A"/>
    <w:rsid w:val="00DB7276"/>
    <w:rsid w:val="00DB742E"/>
    <w:rsid w:val="00DB7A68"/>
    <w:rsid w:val="00DC0481"/>
    <w:rsid w:val="00DC055D"/>
    <w:rsid w:val="00DC062F"/>
    <w:rsid w:val="00DC1335"/>
    <w:rsid w:val="00DC18B9"/>
    <w:rsid w:val="00DC1AFB"/>
    <w:rsid w:val="00DC1BEC"/>
    <w:rsid w:val="00DC1C0E"/>
    <w:rsid w:val="00DC2583"/>
    <w:rsid w:val="00DC26D2"/>
    <w:rsid w:val="00DC26DA"/>
    <w:rsid w:val="00DC33A0"/>
    <w:rsid w:val="00DC3582"/>
    <w:rsid w:val="00DC4541"/>
    <w:rsid w:val="00DC4A58"/>
    <w:rsid w:val="00DC4D0C"/>
    <w:rsid w:val="00DC5B44"/>
    <w:rsid w:val="00DC5DEE"/>
    <w:rsid w:val="00DC5E07"/>
    <w:rsid w:val="00DC616A"/>
    <w:rsid w:val="00DC626A"/>
    <w:rsid w:val="00DC62E7"/>
    <w:rsid w:val="00DC6A54"/>
    <w:rsid w:val="00DC6D3C"/>
    <w:rsid w:val="00DC71C3"/>
    <w:rsid w:val="00DC72AB"/>
    <w:rsid w:val="00DC72ED"/>
    <w:rsid w:val="00DC7578"/>
    <w:rsid w:val="00DC77DE"/>
    <w:rsid w:val="00DC788B"/>
    <w:rsid w:val="00DC7AB0"/>
    <w:rsid w:val="00DD0589"/>
    <w:rsid w:val="00DD0999"/>
    <w:rsid w:val="00DD09F6"/>
    <w:rsid w:val="00DD0D01"/>
    <w:rsid w:val="00DD15FB"/>
    <w:rsid w:val="00DD1800"/>
    <w:rsid w:val="00DD1D20"/>
    <w:rsid w:val="00DD1DD6"/>
    <w:rsid w:val="00DD1F45"/>
    <w:rsid w:val="00DD1F95"/>
    <w:rsid w:val="00DD28FC"/>
    <w:rsid w:val="00DD2939"/>
    <w:rsid w:val="00DD3718"/>
    <w:rsid w:val="00DD3736"/>
    <w:rsid w:val="00DD495C"/>
    <w:rsid w:val="00DD4A24"/>
    <w:rsid w:val="00DD4D65"/>
    <w:rsid w:val="00DD5101"/>
    <w:rsid w:val="00DD5304"/>
    <w:rsid w:val="00DD538F"/>
    <w:rsid w:val="00DD5795"/>
    <w:rsid w:val="00DD5B0D"/>
    <w:rsid w:val="00DD5C30"/>
    <w:rsid w:val="00DD5DB7"/>
    <w:rsid w:val="00DD6668"/>
    <w:rsid w:val="00DD6D81"/>
    <w:rsid w:val="00DD7627"/>
    <w:rsid w:val="00DD7648"/>
    <w:rsid w:val="00DD76CF"/>
    <w:rsid w:val="00DE0AF4"/>
    <w:rsid w:val="00DE0AF5"/>
    <w:rsid w:val="00DE0B05"/>
    <w:rsid w:val="00DE0B37"/>
    <w:rsid w:val="00DE0C32"/>
    <w:rsid w:val="00DE0FFD"/>
    <w:rsid w:val="00DE11A6"/>
    <w:rsid w:val="00DE1CD2"/>
    <w:rsid w:val="00DE1FB2"/>
    <w:rsid w:val="00DE220B"/>
    <w:rsid w:val="00DE263E"/>
    <w:rsid w:val="00DE27D5"/>
    <w:rsid w:val="00DE30BB"/>
    <w:rsid w:val="00DE3589"/>
    <w:rsid w:val="00DE38BF"/>
    <w:rsid w:val="00DE3B78"/>
    <w:rsid w:val="00DE4140"/>
    <w:rsid w:val="00DE4209"/>
    <w:rsid w:val="00DE48BC"/>
    <w:rsid w:val="00DE537E"/>
    <w:rsid w:val="00DE548D"/>
    <w:rsid w:val="00DE56A8"/>
    <w:rsid w:val="00DE5821"/>
    <w:rsid w:val="00DE5A51"/>
    <w:rsid w:val="00DE6006"/>
    <w:rsid w:val="00DE6477"/>
    <w:rsid w:val="00DE6512"/>
    <w:rsid w:val="00DE65B5"/>
    <w:rsid w:val="00DE6DAB"/>
    <w:rsid w:val="00DE6EA9"/>
    <w:rsid w:val="00DE6FC4"/>
    <w:rsid w:val="00DE762F"/>
    <w:rsid w:val="00DE7A21"/>
    <w:rsid w:val="00DF07F9"/>
    <w:rsid w:val="00DF0964"/>
    <w:rsid w:val="00DF0A0D"/>
    <w:rsid w:val="00DF0BBB"/>
    <w:rsid w:val="00DF0E46"/>
    <w:rsid w:val="00DF0FB4"/>
    <w:rsid w:val="00DF11B6"/>
    <w:rsid w:val="00DF1752"/>
    <w:rsid w:val="00DF17E3"/>
    <w:rsid w:val="00DF186C"/>
    <w:rsid w:val="00DF1A2C"/>
    <w:rsid w:val="00DF1BA6"/>
    <w:rsid w:val="00DF1C7A"/>
    <w:rsid w:val="00DF20A6"/>
    <w:rsid w:val="00DF233F"/>
    <w:rsid w:val="00DF30A5"/>
    <w:rsid w:val="00DF3575"/>
    <w:rsid w:val="00DF42C4"/>
    <w:rsid w:val="00DF4334"/>
    <w:rsid w:val="00DF452D"/>
    <w:rsid w:val="00DF4823"/>
    <w:rsid w:val="00DF4A00"/>
    <w:rsid w:val="00DF4BDD"/>
    <w:rsid w:val="00DF4E0F"/>
    <w:rsid w:val="00DF52E0"/>
    <w:rsid w:val="00DF52EF"/>
    <w:rsid w:val="00DF5602"/>
    <w:rsid w:val="00DF56C5"/>
    <w:rsid w:val="00DF65A2"/>
    <w:rsid w:val="00DF696C"/>
    <w:rsid w:val="00DF6EA2"/>
    <w:rsid w:val="00DF713A"/>
    <w:rsid w:val="00DF799C"/>
    <w:rsid w:val="00DF7C15"/>
    <w:rsid w:val="00DF7F35"/>
    <w:rsid w:val="00E001E2"/>
    <w:rsid w:val="00E00B76"/>
    <w:rsid w:val="00E00EEC"/>
    <w:rsid w:val="00E01349"/>
    <w:rsid w:val="00E01357"/>
    <w:rsid w:val="00E014B5"/>
    <w:rsid w:val="00E01762"/>
    <w:rsid w:val="00E019D7"/>
    <w:rsid w:val="00E01CA2"/>
    <w:rsid w:val="00E01CC3"/>
    <w:rsid w:val="00E01CD1"/>
    <w:rsid w:val="00E024EC"/>
    <w:rsid w:val="00E027A8"/>
    <w:rsid w:val="00E029A4"/>
    <w:rsid w:val="00E02B77"/>
    <w:rsid w:val="00E02CB6"/>
    <w:rsid w:val="00E02E3F"/>
    <w:rsid w:val="00E03083"/>
    <w:rsid w:val="00E0376B"/>
    <w:rsid w:val="00E03982"/>
    <w:rsid w:val="00E039AF"/>
    <w:rsid w:val="00E03B64"/>
    <w:rsid w:val="00E03BE8"/>
    <w:rsid w:val="00E03D15"/>
    <w:rsid w:val="00E04102"/>
    <w:rsid w:val="00E04824"/>
    <w:rsid w:val="00E05818"/>
    <w:rsid w:val="00E05A55"/>
    <w:rsid w:val="00E05DBA"/>
    <w:rsid w:val="00E06064"/>
    <w:rsid w:val="00E06097"/>
    <w:rsid w:val="00E07155"/>
    <w:rsid w:val="00E073BA"/>
    <w:rsid w:val="00E077F1"/>
    <w:rsid w:val="00E07DC7"/>
    <w:rsid w:val="00E07E0A"/>
    <w:rsid w:val="00E10549"/>
    <w:rsid w:val="00E1071E"/>
    <w:rsid w:val="00E111F2"/>
    <w:rsid w:val="00E11384"/>
    <w:rsid w:val="00E115CF"/>
    <w:rsid w:val="00E117A9"/>
    <w:rsid w:val="00E12389"/>
    <w:rsid w:val="00E12473"/>
    <w:rsid w:val="00E12553"/>
    <w:rsid w:val="00E125F7"/>
    <w:rsid w:val="00E13015"/>
    <w:rsid w:val="00E1305C"/>
    <w:rsid w:val="00E13863"/>
    <w:rsid w:val="00E13BB2"/>
    <w:rsid w:val="00E1468A"/>
    <w:rsid w:val="00E15167"/>
    <w:rsid w:val="00E152B4"/>
    <w:rsid w:val="00E152D7"/>
    <w:rsid w:val="00E1534D"/>
    <w:rsid w:val="00E1590E"/>
    <w:rsid w:val="00E1619F"/>
    <w:rsid w:val="00E1625D"/>
    <w:rsid w:val="00E1635A"/>
    <w:rsid w:val="00E1727D"/>
    <w:rsid w:val="00E172D4"/>
    <w:rsid w:val="00E17D23"/>
    <w:rsid w:val="00E17FA4"/>
    <w:rsid w:val="00E2001F"/>
    <w:rsid w:val="00E20C4C"/>
    <w:rsid w:val="00E2143D"/>
    <w:rsid w:val="00E21673"/>
    <w:rsid w:val="00E219FE"/>
    <w:rsid w:val="00E21BE6"/>
    <w:rsid w:val="00E223FF"/>
    <w:rsid w:val="00E22632"/>
    <w:rsid w:val="00E2287D"/>
    <w:rsid w:val="00E2296E"/>
    <w:rsid w:val="00E22C49"/>
    <w:rsid w:val="00E23662"/>
    <w:rsid w:val="00E24B22"/>
    <w:rsid w:val="00E24C78"/>
    <w:rsid w:val="00E250B9"/>
    <w:rsid w:val="00E25122"/>
    <w:rsid w:val="00E2571C"/>
    <w:rsid w:val="00E25BE7"/>
    <w:rsid w:val="00E25E41"/>
    <w:rsid w:val="00E26BE9"/>
    <w:rsid w:val="00E2702E"/>
    <w:rsid w:val="00E2744E"/>
    <w:rsid w:val="00E27593"/>
    <w:rsid w:val="00E276E6"/>
    <w:rsid w:val="00E27DE2"/>
    <w:rsid w:val="00E27F9C"/>
    <w:rsid w:val="00E30384"/>
    <w:rsid w:val="00E30782"/>
    <w:rsid w:val="00E30A98"/>
    <w:rsid w:val="00E31330"/>
    <w:rsid w:val="00E31483"/>
    <w:rsid w:val="00E31CD4"/>
    <w:rsid w:val="00E31EEA"/>
    <w:rsid w:val="00E31FAB"/>
    <w:rsid w:val="00E324B6"/>
    <w:rsid w:val="00E328C8"/>
    <w:rsid w:val="00E32D0D"/>
    <w:rsid w:val="00E32FC6"/>
    <w:rsid w:val="00E33A17"/>
    <w:rsid w:val="00E33A2B"/>
    <w:rsid w:val="00E33B2B"/>
    <w:rsid w:val="00E33C2E"/>
    <w:rsid w:val="00E3458D"/>
    <w:rsid w:val="00E34C80"/>
    <w:rsid w:val="00E34EDC"/>
    <w:rsid w:val="00E34F71"/>
    <w:rsid w:val="00E35248"/>
    <w:rsid w:val="00E35266"/>
    <w:rsid w:val="00E358B2"/>
    <w:rsid w:val="00E35D9E"/>
    <w:rsid w:val="00E36A41"/>
    <w:rsid w:val="00E36B34"/>
    <w:rsid w:val="00E36C3F"/>
    <w:rsid w:val="00E37213"/>
    <w:rsid w:val="00E374C5"/>
    <w:rsid w:val="00E37810"/>
    <w:rsid w:val="00E37FEF"/>
    <w:rsid w:val="00E40096"/>
    <w:rsid w:val="00E400BF"/>
    <w:rsid w:val="00E40341"/>
    <w:rsid w:val="00E40488"/>
    <w:rsid w:val="00E408CA"/>
    <w:rsid w:val="00E409F3"/>
    <w:rsid w:val="00E414E9"/>
    <w:rsid w:val="00E41917"/>
    <w:rsid w:val="00E41A68"/>
    <w:rsid w:val="00E42010"/>
    <w:rsid w:val="00E427B2"/>
    <w:rsid w:val="00E42A8B"/>
    <w:rsid w:val="00E436ED"/>
    <w:rsid w:val="00E43906"/>
    <w:rsid w:val="00E43CB0"/>
    <w:rsid w:val="00E43DE3"/>
    <w:rsid w:val="00E43E20"/>
    <w:rsid w:val="00E43F76"/>
    <w:rsid w:val="00E4445D"/>
    <w:rsid w:val="00E44484"/>
    <w:rsid w:val="00E44616"/>
    <w:rsid w:val="00E44FDA"/>
    <w:rsid w:val="00E45133"/>
    <w:rsid w:val="00E451C0"/>
    <w:rsid w:val="00E451E6"/>
    <w:rsid w:val="00E455A9"/>
    <w:rsid w:val="00E46158"/>
    <w:rsid w:val="00E46191"/>
    <w:rsid w:val="00E4636D"/>
    <w:rsid w:val="00E4660F"/>
    <w:rsid w:val="00E470B0"/>
    <w:rsid w:val="00E471D1"/>
    <w:rsid w:val="00E47555"/>
    <w:rsid w:val="00E47AF9"/>
    <w:rsid w:val="00E509F4"/>
    <w:rsid w:val="00E509F7"/>
    <w:rsid w:val="00E50E19"/>
    <w:rsid w:val="00E50E1A"/>
    <w:rsid w:val="00E511B6"/>
    <w:rsid w:val="00E51301"/>
    <w:rsid w:val="00E51886"/>
    <w:rsid w:val="00E52028"/>
    <w:rsid w:val="00E5273A"/>
    <w:rsid w:val="00E52C54"/>
    <w:rsid w:val="00E52DF2"/>
    <w:rsid w:val="00E52E79"/>
    <w:rsid w:val="00E53239"/>
    <w:rsid w:val="00E53601"/>
    <w:rsid w:val="00E5374F"/>
    <w:rsid w:val="00E537C7"/>
    <w:rsid w:val="00E53A38"/>
    <w:rsid w:val="00E53FBB"/>
    <w:rsid w:val="00E54714"/>
    <w:rsid w:val="00E547F2"/>
    <w:rsid w:val="00E55392"/>
    <w:rsid w:val="00E555E8"/>
    <w:rsid w:val="00E556A3"/>
    <w:rsid w:val="00E5580B"/>
    <w:rsid w:val="00E55D41"/>
    <w:rsid w:val="00E55E0B"/>
    <w:rsid w:val="00E5635D"/>
    <w:rsid w:val="00E564B1"/>
    <w:rsid w:val="00E5783A"/>
    <w:rsid w:val="00E578DD"/>
    <w:rsid w:val="00E57F47"/>
    <w:rsid w:val="00E60558"/>
    <w:rsid w:val="00E607B8"/>
    <w:rsid w:val="00E607F3"/>
    <w:rsid w:val="00E61068"/>
    <w:rsid w:val="00E613E4"/>
    <w:rsid w:val="00E6185C"/>
    <w:rsid w:val="00E6191A"/>
    <w:rsid w:val="00E61B21"/>
    <w:rsid w:val="00E61D16"/>
    <w:rsid w:val="00E61D8D"/>
    <w:rsid w:val="00E61EB9"/>
    <w:rsid w:val="00E625FB"/>
    <w:rsid w:val="00E626E6"/>
    <w:rsid w:val="00E6361E"/>
    <w:rsid w:val="00E63B6D"/>
    <w:rsid w:val="00E63C4A"/>
    <w:rsid w:val="00E63ED2"/>
    <w:rsid w:val="00E63FB2"/>
    <w:rsid w:val="00E640C5"/>
    <w:rsid w:val="00E640E3"/>
    <w:rsid w:val="00E64712"/>
    <w:rsid w:val="00E649B9"/>
    <w:rsid w:val="00E650E9"/>
    <w:rsid w:val="00E65236"/>
    <w:rsid w:val="00E655CD"/>
    <w:rsid w:val="00E65736"/>
    <w:rsid w:val="00E664C2"/>
    <w:rsid w:val="00E664DF"/>
    <w:rsid w:val="00E6673F"/>
    <w:rsid w:val="00E6690C"/>
    <w:rsid w:val="00E66BEF"/>
    <w:rsid w:val="00E67634"/>
    <w:rsid w:val="00E67B93"/>
    <w:rsid w:val="00E67F4A"/>
    <w:rsid w:val="00E70089"/>
    <w:rsid w:val="00E714D4"/>
    <w:rsid w:val="00E71989"/>
    <w:rsid w:val="00E71A7B"/>
    <w:rsid w:val="00E71A7C"/>
    <w:rsid w:val="00E71D1D"/>
    <w:rsid w:val="00E71EB2"/>
    <w:rsid w:val="00E725DE"/>
    <w:rsid w:val="00E7263B"/>
    <w:rsid w:val="00E72767"/>
    <w:rsid w:val="00E73CAF"/>
    <w:rsid w:val="00E73D44"/>
    <w:rsid w:val="00E74157"/>
    <w:rsid w:val="00E7458F"/>
    <w:rsid w:val="00E74D3D"/>
    <w:rsid w:val="00E74E1A"/>
    <w:rsid w:val="00E74FC6"/>
    <w:rsid w:val="00E7504F"/>
    <w:rsid w:val="00E7515F"/>
    <w:rsid w:val="00E755E4"/>
    <w:rsid w:val="00E76400"/>
    <w:rsid w:val="00E765F4"/>
    <w:rsid w:val="00E76BA4"/>
    <w:rsid w:val="00E76DB5"/>
    <w:rsid w:val="00E76EA4"/>
    <w:rsid w:val="00E7703D"/>
    <w:rsid w:val="00E77067"/>
    <w:rsid w:val="00E772C9"/>
    <w:rsid w:val="00E77430"/>
    <w:rsid w:val="00E805AA"/>
    <w:rsid w:val="00E80A77"/>
    <w:rsid w:val="00E80E3D"/>
    <w:rsid w:val="00E80EF2"/>
    <w:rsid w:val="00E81809"/>
    <w:rsid w:val="00E81F5D"/>
    <w:rsid w:val="00E825FA"/>
    <w:rsid w:val="00E827BF"/>
    <w:rsid w:val="00E828BC"/>
    <w:rsid w:val="00E82B79"/>
    <w:rsid w:val="00E82BAE"/>
    <w:rsid w:val="00E82E10"/>
    <w:rsid w:val="00E82E87"/>
    <w:rsid w:val="00E8304A"/>
    <w:rsid w:val="00E8373F"/>
    <w:rsid w:val="00E84293"/>
    <w:rsid w:val="00E845AF"/>
    <w:rsid w:val="00E84750"/>
    <w:rsid w:val="00E84857"/>
    <w:rsid w:val="00E84BA7"/>
    <w:rsid w:val="00E84E14"/>
    <w:rsid w:val="00E86AEF"/>
    <w:rsid w:val="00E87063"/>
    <w:rsid w:val="00E872E7"/>
    <w:rsid w:val="00E87B65"/>
    <w:rsid w:val="00E87E61"/>
    <w:rsid w:val="00E87F25"/>
    <w:rsid w:val="00E902A7"/>
    <w:rsid w:val="00E910E2"/>
    <w:rsid w:val="00E930F3"/>
    <w:rsid w:val="00E932DA"/>
    <w:rsid w:val="00E93704"/>
    <w:rsid w:val="00E93868"/>
    <w:rsid w:val="00E938B8"/>
    <w:rsid w:val="00E93B38"/>
    <w:rsid w:val="00E93C0E"/>
    <w:rsid w:val="00E93EC9"/>
    <w:rsid w:val="00E948EB"/>
    <w:rsid w:val="00E94FA7"/>
    <w:rsid w:val="00E95549"/>
    <w:rsid w:val="00E9590D"/>
    <w:rsid w:val="00E95DE9"/>
    <w:rsid w:val="00E95E04"/>
    <w:rsid w:val="00E96509"/>
    <w:rsid w:val="00E96563"/>
    <w:rsid w:val="00E966AE"/>
    <w:rsid w:val="00E966E8"/>
    <w:rsid w:val="00E9701F"/>
    <w:rsid w:val="00E970FD"/>
    <w:rsid w:val="00E97762"/>
    <w:rsid w:val="00E97BBE"/>
    <w:rsid w:val="00EA00BD"/>
    <w:rsid w:val="00EA06B2"/>
    <w:rsid w:val="00EA0904"/>
    <w:rsid w:val="00EA0AD0"/>
    <w:rsid w:val="00EA109C"/>
    <w:rsid w:val="00EA1264"/>
    <w:rsid w:val="00EA138E"/>
    <w:rsid w:val="00EA1428"/>
    <w:rsid w:val="00EA19A2"/>
    <w:rsid w:val="00EA1A29"/>
    <w:rsid w:val="00EA2209"/>
    <w:rsid w:val="00EA22D0"/>
    <w:rsid w:val="00EA2334"/>
    <w:rsid w:val="00EA27E7"/>
    <w:rsid w:val="00EA30E7"/>
    <w:rsid w:val="00EA3E08"/>
    <w:rsid w:val="00EA4406"/>
    <w:rsid w:val="00EA440B"/>
    <w:rsid w:val="00EA46A7"/>
    <w:rsid w:val="00EA4994"/>
    <w:rsid w:val="00EA4D27"/>
    <w:rsid w:val="00EA4E32"/>
    <w:rsid w:val="00EA51FB"/>
    <w:rsid w:val="00EA546A"/>
    <w:rsid w:val="00EA5536"/>
    <w:rsid w:val="00EA5C6F"/>
    <w:rsid w:val="00EA5E9E"/>
    <w:rsid w:val="00EA5F0C"/>
    <w:rsid w:val="00EA69A4"/>
    <w:rsid w:val="00EA6C1B"/>
    <w:rsid w:val="00EA6C4C"/>
    <w:rsid w:val="00EA712D"/>
    <w:rsid w:val="00EA7CB0"/>
    <w:rsid w:val="00EB038D"/>
    <w:rsid w:val="00EB04DC"/>
    <w:rsid w:val="00EB0A02"/>
    <w:rsid w:val="00EB0A4A"/>
    <w:rsid w:val="00EB0B23"/>
    <w:rsid w:val="00EB0CAD"/>
    <w:rsid w:val="00EB0EB6"/>
    <w:rsid w:val="00EB1369"/>
    <w:rsid w:val="00EB148E"/>
    <w:rsid w:val="00EB2C5B"/>
    <w:rsid w:val="00EB2CFB"/>
    <w:rsid w:val="00EB2ED0"/>
    <w:rsid w:val="00EB3420"/>
    <w:rsid w:val="00EB35B6"/>
    <w:rsid w:val="00EB3644"/>
    <w:rsid w:val="00EB4640"/>
    <w:rsid w:val="00EB4AA1"/>
    <w:rsid w:val="00EB4AEA"/>
    <w:rsid w:val="00EB5D12"/>
    <w:rsid w:val="00EB621B"/>
    <w:rsid w:val="00EB6AB1"/>
    <w:rsid w:val="00EB6C90"/>
    <w:rsid w:val="00EB6CB2"/>
    <w:rsid w:val="00EB7A34"/>
    <w:rsid w:val="00EB7C36"/>
    <w:rsid w:val="00EB7DF4"/>
    <w:rsid w:val="00EC029F"/>
    <w:rsid w:val="00EC06F5"/>
    <w:rsid w:val="00EC0D3E"/>
    <w:rsid w:val="00EC16C6"/>
    <w:rsid w:val="00EC19B7"/>
    <w:rsid w:val="00EC1AFF"/>
    <w:rsid w:val="00EC1D8A"/>
    <w:rsid w:val="00EC1F4F"/>
    <w:rsid w:val="00EC2603"/>
    <w:rsid w:val="00EC26C3"/>
    <w:rsid w:val="00EC2F84"/>
    <w:rsid w:val="00EC3674"/>
    <w:rsid w:val="00EC3DBC"/>
    <w:rsid w:val="00EC3E64"/>
    <w:rsid w:val="00EC40C6"/>
    <w:rsid w:val="00EC4106"/>
    <w:rsid w:val="00EC453B"/>
    <w:rsid w:val="00EC46B2"/>
    <w:rsid w:val="00EC486B"/>
    <w:rsid w:val="00EC4B00"/>
    <w:rsid w:val="00EC4B4A"/>
    <w:rsid w:val="00EC4DB8"/>
    <w:rsid w:val="00EC4F6B"/>
    <w:rsid w:val="00EC58F6"/>
    <w:rsid w:val="00EC5DDF"/>
    <w:rsid w:val="00EC5EFF"/>
    <w:rsid w:val="00EC5F22"/>
    <w:rsid w:val="00EC5FD6"/>
    <w:rsid w:val="00EC5FDF"/>
    <w:rsid w:val="00EC6040"/>
    <w:rsid w:val="00EC613D"/>
    <w:rsid w:val="00EC6278"/>
    <w:rsid w:val="00EC6701"/>
    <w:rsid w:val="00EC6AA5"/>
    <w:rsid w:val="00EC6F6E"/>
    <w:rsid w:val="00EC763D"/>
    <w:rsid w:val="00ED0036"/>
    <w:rsid w:val="00ED092E"/>
    <w:rsid w:val="00ED09A0"/>
    <w:rsid w:val="00ED09C2"/>
    <w:rsid w:val="00ED0A29"/>
    <w:rsid w:val="00ED0D82"/>
    <w:rsid w:val="00ED17DD"/>
    <w:rsid w:val="00ED1D83"/>
    <w:rsid w:val="00ED1E51"/>
    <w:rsid w:val="00ED2CA2"/>
    <w:rsid w:val="00ED3396"/>
    <w:rsid w:val="00ED3E1F"/>
    <w:rsid w:val="00ED52E1"/>
    <w:rsid w:val="00ED54DA"/>
    <w:rsid w:val="00ED5963"/>
    <w:rsid w:val="00ED59CF"/>
    <w:rsid w:val="00ED5C74"/>
    <w:rsid w:val="00ED5DEB"/>
    <w:rsid w:val="00ED6329"/>
    <w:rsid w:val="00ED72D2"/>
    <w:rsid w:val="00ED74C7"/>
    <w:rsid w:val="00ED7537"/>
    <w:rsid w:val="00ED7B6B"/>
    <w:rsid w:val="00ED7C1D"/>
    <w:rsid w:val="00ED7C5C"/>
    <w:rsid w:val="00EE0447"/>
    <w:rsid w:val="00EE04B2"/>
    <w:rsid w:val="00EE0579"/>
    <w:rsid w:val="00EE060C"/>
    <w:rsid w:val="00EE06CE"/>
    <w:rsid w:val="00EE0B77"/>
    <w:rsid w:val="00EE0D7A"/>
    <w:rsid w:val="00EE0EC4"/>
    <w:rsid w:val="00EE25EC"/>
    <w:rsid w:val="00EE3149"/>
    <w:rsid w:val="00EE3B1E"/>
    <w:rsid w:val="00EE3CDF"/>
    <w:rsid w:val="00EE3EEB"/>
    <w:rsid w:val="00EE45A2"/>
    <w:rsid w:val="00EE4C1C"/>
    <w:rsid w:val="00EE4EC4"/>
    <w:rsid w:val="00EE54A5"/>
    <w:rsid w:val="00EE5909"/>
    <w:rsid w:val="00EE59B0"/>
    <w:rsid w:val="00EE5CD0"/>
    <w:rsid w:val="00EE5F51"/>
    <w:rsid w:val="00EE6345"/>
    <w:rsid w:val="00EE66F9"/>
    <w:rsid w:val="00EE71F7"/>
    <w:rsid w:val="00EE730D"/>
    <w:rsid w:val="00EE79F0"/>
    <w:rsid w:val="00EE7B6F"/>
    <w:rsid w:val="00EF0574"/>
    <w:rsid w:val="00EF08BD"/>
    <w:rsid w:val="00EF0B3E"/>
    <w:rsid w:val="00EF0BDF"/>
    <w:rsid w:val="00EF1080"/>
    <w:rsid w:val="00EF151C"/>
    <w:rsid w:val="00EF193A"/>
    <w:rsid w:val="00EF1A2B"/>
    <w:rsid w:val="00EF2677"/>
    <w:rsid w:val="00EF2916"/>
    <w:rsid w:val="00EF2B80"/>
    <w:rsid w:val="00EF2BBC"/>
    <w:rsid w:val="00EF3103"/>
    <w:rsid w:val="00EF351E"/>
    <w:rsid w:val="00EF3994"/>
    <w:rsid w:val="00EF3CF6"/>
    <w:rsid w:val="00EF3EC9"/>
    <w:rsid w:val="00EF427F"/>
    <w:rsid w:val="00EF4764"/>
    <w:rsid w:val="00EF4835"/>
    <w:rsid w:val="00EF4985"/>
    <w:rsid w:val="00EF4A14"/>
    <w:rsid w:val="00EF4E60"/>
    <w:rsid w:val="00EF544A"/>
    <w:rsid w:val="00EF5896"/>
    <w:rsid w:val="00EF68AA"/>
    <w:rsid w:val="00EF69C9"/>
    <w:rsid w:val="00EF6CD4"/>
    <w:rsid w:val="00EF6DEA"/>
    <w:rsid w:val="00EF6F92"/>
    <w:rsid w:val="00F0063B"/>
    <w:rsid w:val="00F01077"/>
    <w:rsid w:val="00F010D8"/>
    <w:rsid w:val="00F0179B"/>
    <w:rsid w:val="00F01C77"/>
    <w:rsid w:val="00F022A8"/>
    <w:rsid w:val="00F0257E"/>
    <w:rsid w:val="00F028A1"/>
    <w:rsid w:val="00F02F62"/>
    <w:rsid w:val="00F03418"/>
    <w:rsid w:val="00F034B9"/>
    <w:rsid w:val="00F03947"/>
    <w:rsid w:val="00F03A41"/>
    <w:rsid w:val="00F03F78"/>
    <w:rsid w:val="00F0409E"/>
    <w:rsid w:val="00F04107"/>
    <w:rsid w:val="00F04964"/>
    <w:rsid w:val="00F04D94"/>
    <w:rsid w:val="00F053EC"/>
    <w:rsid w:val="00F0581D"/>
    <w:rsid w:val="00F05C49"/>
    <w:rsid w:val="00F05CC6"/>
    <w:rsid w:val="00F06DA6"/>
    <w:rsid w:val="00F0724F"/>
    <w:rsid w:val="00F0741A"/>
    <w:rsid w:val="00F0763B"/>
    <w:rsid w:val="00F1047D"/>
    <w:rsid w:val="00F1058F"/>
    <w:rsid w:val="00F10F0F"/>
    <w:rsid w:val="00F11307"/>
    <w:rsid w:val="00F11792"/>
    <w:rsid w:val="00F11BF6"/>
    <w:rsid w:val="00F12EB4"/>
    <w:rsid w:val="00F12F0D"/>
    <w:rsid w:val="00F14D41"/>
    <w:rsid w:val="00F16121"/>
    <w:rsid w:val="00F1640D"/>
    <w:rsid w:val="00F16A07"/>
    <w:rsid w:val="00F16BFB"/>
    <w:rsid w:val="00F16E83"/>
    <w:rsid w:val="00F1704E"/>
    <w:rsid w:val="00F17392"/>
    <w:rsid w:val="00F175A2"/>
    <w:rsid w:val="00F178BA"/>
    <w:rsid w:val="00F17E5F"/>
    <w:rsid w:val="00F17F37"/>
    <w:rsid w:val="00F17F60"/>
    <w:rsid w:val="00F20214"/>
    <w:rsid w:val="00F20478"/>
    <w:rsid w:val="00F2073A"/>
    <w:rsid w:val="00F208EF"/>
    <w:rsid w:val="00F2095D"/>
    <w:rsid w:val="00F20B61"/>
    <w:rsid w:val="00F20FC6"/>
    <w:rsid w:val="00F2124E"/>
    <w:rsid w:val="00F214D3"/>
    <w:rsid w:val="00F214FD"/>
    <w:rsid w:val="00F21835"/>
    <w:rsid w:val="00F21BC2"/>
    <w:rsid w:val="00F21F2B"/>
    <w:rsid w:val="00F221FE"/>
    <w:rsid w:val="00F2220D"/>
    <w:rsid w:val="00F2331D"/>
    <w:rsid w:val="00F2351B"/>
    <w:rsid w:val="00F2371E"/>
    <w:rsid w:val="00F238FA"/>
    <w:rsid w:val="00F23CAF"/>
    <w:rsid w:val="00F24214"/>
    <w:rsid w:val="00F24365"/>
    <w:rsid w:val="00F24689"/>
    <w:rsid w:val="00F248D7"/>
    <w:rsid w:val="00F24E42"/>
    <w:rsid w:val="00F24F30"/>
    <w:rsid w:val="00F252D1"/>
    <w:rsid w:val="00F253D0"/>
    <w:rsid w:val="00F2569F"/>
    <w:rsid w:val="00F259E5"/>
    <w:rsid w:val="00F25FF4"/>
    <w:rsid w:val="00F263E3"/>
    <w:rsid w:val="00F26582"/>
    <w:rsid w:val="00F265F9"/>
    <w:rsid w:val="00F267D2"/>
    <w:rsid w:val="00F26823"/>
    <w:rsid w:val="00F269C7"/>
    <w:rsid w:val="00F26C39"/>
    <w:rsid w:val="00F26E90"/>
    <w:rsid w:val="00F27034"/>
    <w:rsid w:val="00F27105"/>
    <w:rsid w:val="00F275A6"/>
    <w:rsid w:val="00F30199"/>
    <w:rsid w:val="00F30629"/>
    <w:rsid w:val="00F306C8"/>
    <w:rsid w:val="00F3094A"/>
    <w:rsid w:val="00F31286"/>
    <w:rsid w:val="00F31292"/>
    <w:rsid w:val="00F314BF"/>
    <w:rsid w:val="00F3166C"/>
    <w:rsid w:val="00F3190A"/>
    <w:rsid w:val="00F31CEF"/>
    <w:rsid w:val="00F31D75"/>
    <w:rsid w:val="00F31F7F"/>
    <w:rsid w:val="00F3272A"/>
    <w:rsid w:val="00F33795"/>
    <w:rsid w:val="00F33C46"/>
    <w:rsid w:val="00F33DA0"/>
    <w:rsid w:val="00F34AAF"/>
    <w:rsid w:val="00F34F9D"/>
    <w:rsid w:val="00F35376"/>
    <w:rsid w:val="00F35671"/>
    <w:rsid w:val="00F3568E"/>
    <w:rsid w:val="00F3588C"/>
    <w:rsid w:val="00F35935"/>
    <w:rsid w:val="00F35FE5"/>
    <w:rsid w:val="00F36609"/>
    <w:rsid w:val="00F369C4"/>
    <w:rsid w:val="00F369C9"/>
    <w:rsid w:val="00F36BC5"/>
    <w:rsid w:val="00F37146"/>
    <w:rsid w:val="00F3716A"/>
    <w:rsid w:val="00F37305"/>
    <w:rsid w:val="00F3768B"/>
    <w:rsid w:val="00F37F5C"/>
    <w:rsid w:val="00F37FF1"/>
    <w:rsid w:val="00F40847"/>
    <w:rsid w:val="00F40A07"/>
    <w:rsid w:val="00F40DCD"/>
    <w:rsid w:val="00F41350"/>
    <w:rsid w:val="00F415DF"/>
    <w:rsid w:val="00F41C93"/>
    <w:rsid w:val="00F43EC3"/>
    <w:rsid w:val="00F44331"/>
    <w:rsid w:val="00F4443A"/>
    <w:rsid w:val="00F45E90"/>
    <w:rsid w:val="00F4643F"/>
    <w:rsid w:val="00F464F2"/>
    <w:rsid w:val="00F4695E"/>
    <w:rsid w:val="00F46A1F"/>
    <w:rsid w:val="00F4733E"/>
    <w:rsid w:val="00F4762A"/>
    <w:rsid w:val="00F47C7C"/>
    <w:rsid w:val="00F500C7"/>
    <w:rsid w:val="00F500E5"/>
    <w:rsid w:val="00F5044A"/>
    <w:rsid w:val="00F507C8"/>
    <w:rsid w:val="00F50AA9"/>
    <w:rsid w:val="00F50F5A"/>
    <w:rsid w:val="00F50FD4"/>
    <w:rsid w:val="00F5140C"/>
    <w:rsid w:val="00F516EB"/>
    <w:rsid w:val="00F51A72"/>
    <w:rsid w:val="00F51E31"/>
    <w:rsid w:val="00F51E3C"/>
    <w:rsid w:val="00F51F16"/>
    <w:rsid w:val="00F51F98"/>
    <w:rsid w:val="00F52090"/>
    <w:rsid w:val="00F52492"/>
    <w:rsid w:val="00F5257E"/>
    <w:rsid w:val="00F528F7"/>
    <w:rsid w:val="00F52BFC"/>
    <w:rsid w:val="00F5304F"/>
    <w:rsid w:val="00F54193"/>
    <w:rsid w:val="00F541DA"/>
    <w:rsid w:val="00F54229"/>
    <w:rsid w:val="00F543C6"/>
    <w:rsid w:val="00F544B2"/>
    <w:rsid w:val="00F54FCE"/>
    <w:rsid w:val="00F55B89"/>
    <w:rsid w:val="00F55B9A"/>
    <w:rsid w:val="00F56103"/>
    <w:rsid w:val="00F56128"/>
    <w:rsid w:val="00F56325"/>
    <w:rsid w:val="00F57238"/>
    <w:rsid w:val="00F607E8"/>
    <w:rsid w:val="00F60B3F"/>
    <w:rsid w:val="00F61F91"/>
    <w:rsid w:val="00F6205A"/>
    <w:rsid w:val="00F621FB"/>
    <w:rsid w:val="00F62482"/>
    <w:rsid w:val="00F6269C"/>
    <w:rsid w:val="00F638B8"/>
    <w:rsid w:val="00F63E4C"/>
    <w:rsid w:val="00F63ED3"/>
    <w:rsid w:val="00F64FBC"/>
    <w:rsid w:val="00F6537A"/>
    <w:rsid w:val="00F660E8"/>
    <w:rsid w:val="00F66733"/>
    <w:rsid w:val="00F6682F"/>
    <w:rsid w:val="00F669D9"/>
    <w:rsid w:val="00F66DB2"/>
    <w:rsid w:val="00F671E3"/>
    <w:rsid w:val="00F67457"/>
    <w:rsid w:val="00F6745C"/>
    <w:rsid w:val="00F674F6"/>
    <w:rsid w:val="00F67848"/>
    <w:rsid w:val="00F67FEE"/>
    <w:rsid w:val="00F70398"/>
    <w:rsid w:val="00F70808"/>
    <w:rsid w:val="00F709AD"/>
    <w:rsid w:val="00F70A13"/>
    <w:rsid w:val="00F70D98"/>
    <w:rsid w:val="00F70FEE"/>
    <w:rsid w:val="00F71112"/>
    <w:rsid w:val="00F7131A"/>
    <w:rsid w:val="00F714AE"/>
    <w:rsid w:val="00F71C5B"/>
    <w:rsid w:val="00F71C75"/>
    <w:rsid w:val="00F71CA9"/>
    <w:rsid w:val="00F72465"/>
    <w:rsid w:val="00F72BFD"/>
    <w:rsid w:val="00F7306C"/>
    <w:rsid w:val="00F731DA"/>
    <w:rsid w:val="00F734ED"/>
    <w:rsid w:val="00F73987"/>
    <w:rsid w:val="00F73A58"/>
    <w:rsid w:val="00F73C99"/>
    <w:rsid w:val="00F73D2B"/>
    <w:rsid w:val="00F73D9E"/>
    <w:rsid w:val="00F73E63"/>
    <w:rsid w:val="00F73E82"/>
    <w:rsid w:val="00F74276"/>
    <w:rsid w:val="00F747FB"/>
    <w:rsid w:val="00F74FF9"/>
    <w:rsid w:val="00F754DF"/>
    <w:rsid w:val="00F755C8"/>
    <w:rsid w:val="00F76048"/>
    <w:rsid w:val="00F76FA0"/>
    <w:rsid w:val="00F7710E"/>
    <w:rsid w:val="00F77AB2"/>
    <w:rsid w:val="00F77C3A"/>
    <w:rsid w:val="00F77EB6"/>
    <w:rsid w:val="00F80742"/>
    <w:rsid w:val="00F80CBC"/>
    <w:rsid w:val="00F812AA"/>
    <w:rsid w:val="00F81351"/>
    <w:rsid w:val="00F81997"/>
    <w:rsid w:val="00F81A35"/>
    <w:rsid w:val="00F81E3E"/>
    <w:rsid w:val="00F81FBC"/>
    <w:rsid w:val="00F822C4"/>
    <w:rsid w:val="00F8276D"/>
    <w:rsid w:val="00F82CD0"/>
    <w:rsid w:val="00F83790"/>
    <w:rsid w:val="00F83ACA"/>
    <w:rsid w:val="00F83F1A"/>
    <w:rsid w:val="00F83F80"/>
    <w:rsid w:val="00F83F8C"/>
    <w:rsid w:val="00F84981"/>
    <w:rsid w:val="00F84EB8"/>
    <w:rsid w:val="00F8509F"/>
    <w:rsid w:val="00F858A3"/>
    <w:rsid w:val="00F85BDD"/>
    <w:rsid w:val="00F8609F"/>
    <w:rsid w:val="00F866B0"/>
    <w:rsid w:val="00F86FCD"/>
    <w:rsid w:val="00F870C0"/>
    <w:rsid w:val="00F87BE4"/>
    <w:rsid w:val="00F87BF6"/>
    <w:rsid w:val="00F87C22"/>
    <w:rsid w:val="00F90244"/>
    <w:rsid w:val="00F907C9"/>
    <w:rsid w:val="00F90C9B"/>
    <w:rsid w:val="00F9110F"/>
    <w:rsid w:val="00F91313"/>
    <w:rsid w:val="00F91789"/>
    <w:rsid w:val="00F91D44"/>
    <w:rsid w:val="00F91F52"/>
    <w:rsid w:val="00F9285A"/>
    <w:rsid w:val="00F933B9"/>
    <w:rsid w:val="00F93424"/>
    <w:rsid w:val="00F93A2B"/>
    <w:rsid w:val="00F93D30"/>
    <w:rsid w:val="00F93E55"/>
    <w:rsid w:val="00F94B90"/>
    <w:rsid w:val="00F95643"/>
    <w:rsid w:val="00F95815"/>
    <w:rsid w:val="00F958D4"/>
    <w:rsid w:val="00F959BD"/>
    <w:rsid w:val="00F961FB"/>
    <w:rsid w:val="00F962E8"/>
    <w:rsid w:val="00F96C88"/>
    <w:rsid w:val="00F972B3"/>
    <w:rsid w:val="00F97600"/>
    <w:rsid w:val="00F97B94"/>
    <w:rsid w:val="00FA0850"/>
    <w:rsid w:val="00FA0D68"/>
    <w:rsid w:val="00FA0FD8"/>
    <w:rsid w:val="00FA10A3"/>
    <w:rsid w:val="00FA10CE"/>
    <w:rsid w:val="00FA12C4"/>
    <w:rsid w:val="00FA13A3"/>
    <w:rsid w:val="00FA176B"/>
    <w:rsid w:val="00FA1DE8"/>
    <w:rsid w:val="00FA21BE"/>
    <w:rsid w:val="00FA2352"/>
    <w:rsid w:val="00FA3D8E"/>
    <w:rsid w:val="00FA4205"/>
    <w:rsid w:val="00FA467A"/>
    <w:rsid w:val="00FA4B1F"/>
    <w:rsid w:val="00FA4CBB"/>
    <w:rsid w:val="00FA4D2D"/>
    <w:rsid w:val="00FA4D4C"/>
    <w:rsid w:val="00FA51BF"/>
    <w:rsid w:val="00FA537D"/>
    <w:rsid w:val="00FA5772"/>
    <w:rsid w:val="00FA589F"/>
    <w:rsid w:val="00FA591B"/>
    <w:rsid w:val="00FA5EAA"/>
    <w:rsid w:val="00FA60D1"/>
    <w:rsid w:val="00FA66D0"/>
    <w:rsid w:val="00FA675E"/>
    <w:rsid w:val="00FA6E09"/>
    <w:rsid w:val="00FA6EF9"/>
    <w:rsid w:val="00FA71BC"/>
    <w:rsid w:val="00FA79A8"/>
    <w:rsid w:val="00FA7AA3"/>
    <w:rsid w:val="00FA7D1D"/>
    <w:rsid w:val="00FB0468"/>
    <w:rsid w:val="00FB0C6B"/>
    <w:rsid w:val="00FB0F40"/>
    <w:rsid w:val="00FB16B1"/>
    <w:rsid w:val="00FB186D"/>
    <w:rsid w:val="00FB18A1"/>
    <w:rsid w:val="00FB1ABF"/>
    <w:rsid w:val="00FB2189"/>
    <w:rsid w:val="00FB2399"/>
    <w:rsid w:val="00FB268A"/>
    <w:rsid w:val="00FB2DEE"/>
    <w:rsid w:val="00FB319B"/>
    <w:rsid w:val="00FB3E77"/>
    <w:rsid w:val="00FB3E78"/>
    <w:rsid w:val="00FB3EDB"/>
    <w:rsid w:val="00FB3FA1"/>
    <w:rsid w:val="00FB441F"/>
    <w:rsid w:val="00FB49CE"/>
    <w:rsid w:val="00FB50C5"/>
    <w:rsid w:val="00FB5C85"/>
    <w:rsid w:val="00FB5CC4"/>
    <w:rsid w:val="00FB6299"/>
    <w:rsid w:val="00FB63D2"/>
    <w:rsid w:val="00FB6ABE"/>
    <w:rsid w:val="00FB6D19"/>
    <w:rsid w:val="00FB6D4A"/>
    <w:rsid w:val="00FB779F"/>
    <w:rsid w:val="00FB77C5"/>
    <w:rsid w:val="00FB7ABC"/>
    <w:rsid w:val="00FB7AF7"/>
    <w:rsid w:val="00FB7E1B"/>
    <w:rsid w:val="00FC00E5"/>
    <w:rsid w:val="00FC022A"/>
    <w:rsid w:val="00FC02DC"/>
    <w:rsid w:val="00FC04E8"/>
    <w:rsid w:val="00FC04F5"/>
    <w:rsid w:val="00FC0B3E"/>
    <w:rsid w:val="00FC1252"/>
    <w:rsid w:val="00FC13A6"/>
    <w:rsid w:val="00FC1770"/>
    <w:rsid w:val="00FC191D"/>
    <w:rsid w:val="00FC1B06"/>
    <w:rsid w:val="00FC1BDD"/>
    <w:rsid w:val="00FC1BF2"/>
    <w:rsid w:val="00FC1C96"/>
    <w:rsid w:val="00FC1FD7"/>
    <w:rsid w:val="00FC259F"/>
    <w:rsid w:val="00FC2781"/>
    <w:rsid w:val="00FC2C5D"/>
    <w:rsid w:val="00FC3CE8"/>
    <w:rsid w:val="00FC41C0"/>
    <w:rsid w:val="00FC449A"/>
    <w:rsid w:val="00FC53CC"/>
    <w:rsid w:val="00FC5C26"/>
    <w:rsid w:val="00FC5ED6"/>
    <w:rsid w:val="00FC60D1"/>
    <w:rsid w:val="00FC62F7"/>
    <w:rsid w:val="00FC656F"/>
    <w:rsid w:val="00FC6976"/>
    <w:rsid w:val="00FC7027"/>
    <w:rsid w:val="00FC756F"/>
    <w:rsid w:val="00FC76E5"/>
    <w:rsid w:val="00FC7715"/>
    <w:rsid w:val="00FC7B02"/>
    <w:rsid w:val="00FC7E51"/>
    <w:rsid w:val="00FD049B"/>
    <w:rsid w:val="00FD06D5"/>
    <w:rsid w:val="00FD0F30"/>
    <w:rsid w:val="00FD1003"/>
    <w:rsid w:val="00FD1218"/>
    <w:rsid w:val="00FD14F0"/>
    <w:rsid w:val="00FD15B6"/>
    <w:rsid w:val="00FD15B7"/>
    <w:rsid w:val="00FD1BC6"/>
    <w:rsid w:val="00FD20DB"/>
    <w:rsid w:val="00FD23EE"/>
    <w:rsid w:val="00FD2A8D"/>
    <w:rsid w:val="00FD3139"/>
    <w:rsid w:val="00FD35A8"/>
    <w:rsid w:val="00FD3706"/>
    <w:rsid w:val="00FD379E"/>
    <w:rsid w:val="00FD3F17"/>
    <w:rsid w:val="00FD4099"/>
    <w:rsid w:val="00FD4490"/>
    <w:rsid w:val="00FD47FE"/>
    <w:rsid w:val="00FD4BAB"/>
    <w:rsid w:val="00FD4C65"/>
    <w:rsid w:val="00FD4C71"/>
    <w:rsid w:val="00FD4E33"/>
    <w:rsid w:val="00FD4EDA"/>
    <w:rsid w:val="00FD5138"/>
    <w:rsid w:val="00FD5F40"/>
    <w:rsid w:val="00FD6759"/>
    <w:rsid w:val="00FD6909"/>
    <w:rsid w:val="00FD7386"/>
    <w:rsid w:val="00FD750C"/>
    <w:rsid w:val="00FD77AC"/>
    <w:rsid w:val="00FD7820"/>
    <w:rsid w:val="00FD7B71"/>
    <w:rsid w:val="00FD7CA2"/>
    <w:rsid w:val="00FD7DAD"/>
    <w:rsid w:val="00FD7DD6"/>
    <w:rsid w:val="00FE08F5"/>
    <w:rsid w:val="00FE0B20"/>
    <w:rsid w:val="00FE0BCA"/>
    <w:rsid w:val="00FE0C8F"/>
    <w:rsid w:val="00FE0F42"/>
    <w:rsid w:val="00FE1828"/>
    <w:rsid w:val="00FE1B76"/>
    <w:rsid w:val="00FE1C36"/>
    <w:rsid w:val="00FE1D12"/>
    <w:rsid w:val="00FE212B"/>
    <w:rsid w:val="00FE2409"/>
    <w:rsid w:val="00FE2F5F"/>
    <w:rsid w:val="00FE3138"/>
    <w:rsid w:val="00FE3390"/>
    <w:rsid w:val="00FE3438"/>
    <w:rsid w:val="00FE36FE"/>
    <w:rsid w:val="00FE3B14"/>
    <w:rsid w:val="00FE3EA8"/>
    <w:rsid w:val="00FE4181"/>
    <w:rsid w:val="00FE5285"/>
    <w:rsid w:val="00FE55E8"/>
    <w:rsid w:val="00FE55F8"/>
    <w:rsid w:val="00FE57E8"/>
    <w:rsid w:val="00FE5D28"/>
    <w:rsid w:val="00FE6B0E"/>
    <w:rsid w:val="00FE6EB4"/>
    <w:rsid w:val="00FE708C"/>
    <w:rsid w:val="00FE7451"/>
    <w:rsid w:val="00FE7532"/>
    <w:rsid w:val="00FE7DBA"/>
    <w:rsid w:val="00FF015C"/>
    <w:rsid w:val="00FF02D8"/>
    <w:rsid w:val="00FF0F29"/>
    <w:rsid w:val="00FF143E"/>
    <w:rsid w:val="00FF16B0"/>
    <w:rsid w:val="00FF1BF9"/>
    <w:rsid w:val="00FF1D60"/>
    <w:rsid w:val="00FF30B6"/>
    <w:rsid w:val="00FF324E"/>
    <w:rsid w:val="00FF3785"/>
    <w:rsid w:val="00FF38AB"/>
    <w:rsid w:val="00FF38E6"/>
    <w:rsid w:val="00FF3A02"/>
    <w:rsid w:val="00FF3E48"/>
    <w:rsid w:val="00FF3ED9"/>
    <w:rsid w:val="00FF3F1A"/>
    <w:rsid w:val="00FF414B"/>
    <w:rsid w:val="00FF41DE"/>
    <w:rsid w:val="00FF439D"/>
    <w:rsid w:val="00FF44DD"/>
    <w:rsid w:val="00FF47A1"/>
    <w:rsid w:val="00FF4BE9"/>
    <w:rsid w:val="00FF5707"/>
    <w:rsid w:val="00FF570B"/>
    <w:rsid w:val="00FF5752"/>
    <w:rsid w:val="00FF5B6F"/>
    <w:rsid w:val="00FF6520"/>
    <w:rsid w:val="00FF6C82"/>
    <w:rsid w:val="00FF6E24"/>
    <w:rsid w:val="00FF6F96"/>
    <w:rsid w:val="00FF720C"/>
    <w:rsid w:val="00FF74B6"/>
    <w:rsid w:val="00FF750D"/>
    <w:rsid w:val="00FF791F"/>
    <w:rsid w:val="013E85A0"/>
    <w:rsid w:val="01A780F7"/>
    <w:rsid w:val="01EC659A"/>
    <w:rsid w:val="02021C0E"/>
    <w:rsid w:val="02ADF5E0"/>
    <w:rsid w:val="03910908"/>
    <w:rsid w:val="049C9395"/>
    <w:rsid w:val="0519FCB5"/>
    <w:rsid w:val="06234A01"/>
    <w:rsid w:val="06531DF9"/>
    <w:rsid w:val="065D91D8"/>
    <w:rsid w:val="0678FAEE"/>
    <w:rsid w:val="07908EF3"/>
    <w:rsid w:val="0874FFA8"/>
    <w:rsid w:val="0970B293"/>
    <w:rsid w:val="097E3C69"/>
    <w:rsid w:val="09AC3E53"/>
    <w:rsid w:val="0A0D2DF3"/>
    <w:rsid w:val="0A671901"/>
    <w:rsid w:val="0A68D73A"/>
    <w:rsid w:val="0AAB2DD5"/>
    <w:rsid w:val="0AD38AF7"/>
    <w:rsid w:val="0B0E50FA"/>
    <w:rsid w:val="0D065BEF"/>
    <w:rsid w:val="0D2A9C04"/>
    <w:rsid w:val="0D3CF22F"/>
    <w:rsid w:val="0D4CBC3B"/>
    <w:rsid w:val="0E3891A8"/>
    <w:rsid w:val="0EE09F16"/>
    <w:rsid w:val="107EDBC7"/>
    <w:rsid w:val="10A9903C"/>
    <w:rsid w:val="10B7796E"/>
    <w:rsid w:val="1169F95C"/>
    <w:rsid w:val="123C379F"/>
    <w:rsid w:val="123EF9CA"/>
    <w:rsid w:val="1242478B"/>
    <w:rsid w:val="12FD0213"/>
    <w:rsid w:val="12FE69E8"/>
    <w:rsid w:val="142DCC2B"/>
    <w:rsid w:val="14C6B26D"/>
    <w:rsid w:val="1556A6F2"/>
    <w:rsid w:val="173E94B9"/>
    <w:rsid w:val="180E877C"/>
    <w:rsid w:val="1A2B3F43"/>
    <w:rsid w:val="1A806501"/>
    <w:rsid w:val="1A96FD25"/>
    <w:rsid w:val="1AF108EC"/>
    <w:rsid w:val="1C35D5E9"/>
    <w:rsid w:val="1D02C0F2"/>
    <w:rsid w:val="1D62E005"/>
    <w:rsid w:val="1DDEA4C3"/>
    <w:rsid w:val="1E9A5040"/>
    <w:rsid w:val="1FBA5045"/>
    <w:rsid w:val="209A80C7"/>
    <w:rsid w:val="24024CA8"/>
    <w:rsid w:val="24822B4B"/>
    <w:rsid w:val="253C7C64"/>
    <w:rsid w:val="255B0BAC"/>
    <w:rsid w:val="263F219A"/>
    <w:rsid w:val="26692043"/>
    <w:rsid w:val="268BC08E"/>
    <w:rsid w:val="26EB0899"/>
    <w:rsid w:val="28E95AAB"/>
    <w:rsid w:val="2900D843"/>
    <w:rsid w:val="298D7FAF"/>
    <w:rsid w:val="298E99A6"/>
    <w:rsid w:val="29A13E36"/>
    <w:rsid w:val="2B1BFDA3"/>
    <w:rsid w:val="2B92DDDB"/>
    <w:rsid w:val="2BA728D7"/>
    <w:rsid w:val="2BA92A7A"/>
    <w:rsid w:val="2C7A976E"/>
    <w:rsid w:val="2C87F1C0"/>
    <w:rsid w:val="2D63E366"/>
    <w:rsid w:val="2D7186C7"/>
    <w:rsid w:val="2DE2CB6A"/>
    <w:rsid w:val="2DF96332"/>
    <w:rsid w:val="2E31D3C4"/>
    <w:rsid w:val="2E6FC715"/>
    <w:rsid w:val="2F0DA970"/>
    <w:rsid w:val="30610AD1"/>
    <w:rsid w:val="308A44B5"/>
    <w:rsid w:val="30AC06E5"/>
    <w:rsid w:val="318B3F27"/>
    <w:rsid w:val="31BFFB7B"/>
    <w:rsid w:val="3241476D"/>
    <w:rsid w:val="330DE72B"/>
    <w:rsid w:val="33DBBAAD"/>
    <w:rsid w:val="347B7FF9"/>
    <w:rsid w:val="34C2DFE9"/>
    <w:rsid w:val="34E58F58"/>
    <w:rsid w:val="3712AB9D"/>
    <w:rsid w:val="371AFE38"/>
    <w:rsid w:val="377C19EF"/>
    <w:rsid w:val="381F81B1"/>
    <w:rsid w:val="38F88094"/>
    <w:rsid w:val="39321066"/>
    <w:rsid w:val="3B237A69"/>
    <w:rsid w:val="3B2D5896"/>
    <w:rsid w:val="3BA855B2"/>
    <w:rsid w:val="3CDB2DC2"/>
    <w:rsid w:val="3D2BC7A4"/>
    <w:rsid w:val="3D48D488"/>
    <w:rsid w:val="3DF65468"/>
    <w:rsid w:val="3E09F8A4"/>
    <w:rsid w:val="407D1F53"/>
    <w:rsid w:val="42611CFC"/>
    <w:rsid w:val="4335C56B"/>
    <w:rsid w:val="4563A2DE"/>
    <w:rsid w:val="46DC1876"/>
    <w:rsid w:val="47A3691B"/>
    <w:rsid w:val="47AF86E5"/>
    <w:rsid w:val="4820B3CB"/>
    <w:rsid w:val="48E00FDD"/>
    <w:rsid w:val="4A19DF68"/>
    <w:rsid w:val="4A2152C4"/>
    <w:rsid w:val="4BA1C5F2"/>
    <w:rsid w:val="4BB08158"/>
    <w:rsid w:val="4C4C32A0"/>
    <w:rsid w:val="4E557163"/>
    <w:rsid w:val="50E6BEB6"/>
    <w:rsid w:val="50EA5D1B"/>
    <w:rsid w:val="5197EE95"/>
    <w:rsid w:val="52128F2D"/>
    <w:rsid w:val="52E28BFA"/>
    <w:rsid w:val="53897DD0"/>
    <w:rsid w:val="54579F62"/>
    <w:rsid w:val="565C0E91"/>
    <w:rsid w:val="56FEDCF6"/>
    <w:rsid w:val="576C3BD5"/>
    <w:rsid w:val="58A84D26"/>
    <w:rsid w:val="58BEDA9E"/>
    <w:rsid w:val="5A2DEEEB"/>
    <w:rsid w:val="5A3A89BB"/>
    <w:rsid w:val="5AB31E67"/>
    <w:rsid w:val="5B0396FC"/>
    <w:rsid w:val="5B8BEECE"/>
    <w:rsid w:val="5C88639F"/>
    <w:rsid w:val="5D3EFF83"/>
    <w:rsid w:val="5D7A7A81"/>
    <w:rsid w:val="5E9D9590"/>
    <w:rsid w:val="5ECA2499"/>
    <w:rsid w:val="5F5C0508"/>
    <w:rsid w:val="60009B8A"/>
    <w:rsid w:val="62165510"/>
    <w:rsid w:val="628F6C62"/>
    <w:rsid w:val="62970A44"/>
    <w:rsid w:val="6339ADE2"/>
    <w:rsid w:val="635B497F"/>
    <w:rsid w:val="63DA6CD9"/>
    <w:rsid w:val="64292748"/>
    <w:rsid w:val="649176C4"/>
    <w:rsid w:val="6545AE39"/>
    <w:rsid w:val="65DF94A4"/>
    <w:rsid w:val="6653DFB5"/>
    <w:rsid w:val="673336D3"/>
    <w:rsid w:val="6769C943"/>
    <w:rsid w:val="68462367"/>
    <w:rsid w:val="685B79FA"/>
    <w:rsid w:val="69BE5C9D"/>
    <w:rsid w:val="6A76BA73"/>
    <w:rsid w:val="6A8DA040"/>
    <w:rsid w:val="6C612105"/>
    <w:rsid w:val="6CAEFC82"/>
    <w:rsid w:val="6DF00E7E"/>
    <w:rsid w:val="6E06CBAB"/>
    <w:rsid w:val="6E937BD0"/>
    <w:rsid w:val="6F2AEE24"/>
    <w:rsid w:val="6F40CD40"/>
    <w:rsid w:val="70230EAC"/>
    <w:rsid w:val="7052E178"/>
    <w:rsid w:val="70621FE9"/>
    <w:rsid w:val="70744F66"/>
    <w:rsid w:val="70D03B7C"/>
    <w:rsid w:val="70EA75F4"/>
    <w:rsid w:val="724268F0"/>
    <w:rsid w:val="72494B34"/>
    <w:rsid w:val="7326D689"/>
    <w:rsid w:val="73A0F101"/>
    <w:rsid w:val="76B2EB21"/>
    <w:rsid w:val="774EC447"/>
    <w:rsid w:val="794006EB"/>
    <w:rsid w:val="79D35CBA"/>
    <w:rsid w:val="7A239A97"/>
    <w:rsid w:val="7B1CE5B2"/>
    <w:rsid w:val="7B512ABB"/>
    <w:rsid w:val="7D0BFD84"/>
    <w:rsid w:val="7D735B6E"/>
    <w:rsid w:val="7DC4910D"/>
    <w:rsid w:val="7E4B1C1F"/>
    <w:rsid w:val="7ED66C4F"/>
    <w:rsid w:val="7F6CA0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4E4"/>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B0CAD"/>
    <w:pPr>
      <w:keepNext/>
      <w:spacing w:before="360" w:after="120" w:line="240" w:lineRule="auto"/>
      <w:ind w:left="794" w:hanging="794"/>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3"/>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0D1FCF"/>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0D1FCF"/>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paragraph" w:styleId="FootnoteText">
    <w:name w:val="footnote text"/>
    <w:basedOn w:val="Normal"/>
    <w:link w:val="FootnoteTextChar"/>
    <w:uiPriority w:val="99"/>
    <w:semiHidden/>
    <w:unhideWhenUsed/>
    <w:rsid w:val="003939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39B8"/>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939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rokefoundation.org.au/what-we-do/research/economic-impact-of-stroke-in-australia" TargetMode="External"/><Relationship Id="rId13" Type="http://schemas.openxmlformats.org/officeDocument/2006/relationships/hyperlink" Target="https://www9.health.gov.au/mbs/fullDisplay.cfm?type=item&amp;q=11614&amp;qt=item&amp;criteria=11614" TargetMode="External"/><Relationship Id="rId18" Type="http://schemas.openxmlformats.org/officeDocument/2006/relationships/image" Target="media/image1.png"/><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tga.gov.au/resources/artg/462120" TargetMode="External"/><Relationship Id="rId17" Type="http://schemas.openxmlformats.org/officeDocument/2006/relationships/hyperlink" Target="https://www9.health.gov.au/mbs/fullDisplay.cfm?type=item&amp;q=55118&amp;qt=item&amp;criteria=55118"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9.health.gov.au/mbs/fullDisplay.cfm?type=item&amp;q=55129&amp;qt=ItemI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ga.gov.au/resources/artg/387110"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9.health.gov.au/mbs/fullDisplay.cfm?type=item&amp;q=55126&amp;qt=item&amp;criteria=55126"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https://www.tga.gov.au/resources/artg/29223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ga.gov.au/resources/artg/119626" TargetMode="External"/><Relationship Id="rId14" Type="http://schemas.openxmlformats.org/officeDocument/2006/relationships/hyperlink" Target="https://www9.health.gov.au/mbs/fullDisplay.cfm?type=item&amp;q=11614&amp;qt=item&amp;criteria=11614" TargetMode="External"/><Relationship Id="rId22" Type="http://schemas.openxmlformats.org/officeDocument/2006/relationships/footer" Target="foot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hearthq.com.au/tests-and-procedures/bubble-study-agitated-saline-contrast-study/" TargetMode="External"/><Relationship Id="rId3" Type="http://schemas.openxmlformats.org/officeDocument/2006/relationships/hyperlink" Target="https://www.austin.org.au/diagnosing-brain-spinal-cord-nerve-muscle-disorders/for-patients/" TargetMode="External"/><Relationship Id="rId7" Type="http://schemas.openxmlformats.org/officeDocument/2006/relationships/hyperlink" Target="https://smartcd.com.au/cardiac/agitated-saline-bubble-echocardiogram/" TargetMode="External"/><Relationship Id="rId2" Type="http://schemas.openxmlformats.org/officeDocument/2006/relationships/hyperlink" Target="https://www.tga.gov.au/resources/artg/398663" TargetMode="External"/><Relationship Id="rId1" Type="http://schemas.openxmlformats.org/officeDocument/2006/relationships/hyperlink" Target="https://www.tga.gov.au/resources/artg/400794" TargetMode="External"/><Relationship Id="rId6" Type="http://schemas.openxmlformats.org/officeDocument/2006/relationships/hyperlink" Target="https://cvclinics.com.au/patient-tests/bubble-study/" TargetMode="External"/><Relationship Id="rId5" Type="http://schemas.openxmlformats.org/officeDocument/2006/relationships/hyperlink" Target="https://heartbrainclinic.com.au/post/screening-for-a-pfo/" TargetMode="External"/><Relationship Id="rId4" Type="http://schemas.openxmlformats.org/officeDocument/2006/relationships/hyperlink" Target="https://holeintheheartclinic.com.au/the-tcd-test/" TargetMode="External"/><Relationship Id="rId9" Type="http://schemas.openxmlformats.org/officeDocument/2006/relationships/hyperlink" Target="https://thehc.com.au/cardiac-services/agitated-saline-contrast-echocard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16783</Words>
  <Characters>101208</Characters>
  <Application>Microsoft Office Word</Application>
  <DocSecurity>0</DocSecurity>
  <Lines>1510</Lines>
  <Paragraphs>659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2026-09-24T02:16:00Z</dcterms:created>
  <dcterms:modified xsi:type="dcterms:W3CDTF">2026-09-24T02:16:00Z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10367bfa,37cf344c,7bba418f</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423b021d,57b08ad1,1d291174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2026-09-24T02:16:23Z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89628d17-64bf-4c62-98c0-624565168e1a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