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E48C" w14:textId="77777777" w:rsidR="00247389" w:rsidRDefault="00247389" w:rsidP="002662E5">
      <w:pPr>
        <w:pStyle w:val="Title"/>
        <w:jc w:val="center"/>
        <w:rPr>
          <w:rFonts w:ascii="Segoe UI" w:hAnsi="Segoe UI" w:cs="Segoe UI"/>
          <w:b/>
          <w:bCs/>
        </w:rPr>
      </w:pPr>
    </w:p>
    <w:p w14:paraId="717BC05B" w14:textId="77777777" w:rsidR="00247389" w:rsidRDefault="00247389" w:rsidP="002662E5">
      <w:pPr>
        <w:pStyle w:val="Title"/>
        <w:jc w:val="center"/>
        <w:rPr>
          <w:rFonts w:ascii="Segoe UI" w:hAnsi="Segoe UI" w:cs="Segoe UI"/>
          <w:b/>
          <w:bCs/>
        </w:rPr>
      </w:pPr>
    </w:p>
    <w:p w14:paraId="7DDE8E48" w14:textId="3A06B08C" w:rsidR="00EA0AA0" w:rsidRDefault="00EA0AA0" w:rsidP="002662E5">
      <w:pPr>
        <w:pStyle w:val="Title"/>
        <w:jc w:val="center"/>
        <w:rPr>
          <w:rFonts w:ascii="Segoe UI" w:hAnsi="Segoe UI" w:cs="Segoe UI"/>
          <w:b/>
          <w:bCs/>
        </w:rPr>
      </w:pPr>
      <w:r w:rsidRPr="00222820">
        <w:rPr>
          <w:rFonts w:ascii="Segoe UI" w:hAnsi="Segoe UI" w:cs="Segoe UI"/>
          <w:b/>
          <w:bCs/>
        </w:rPr>
        <w:t xml:space="preserve">MSAC </w:t>
      </w:r>
      <w:r w:rsidRPr="00305F7B">
        <w:rPr>
          <w:rFonts w:ascii="Segoe UI" w:hAnsi="Segoe UI" w:cs="Segoe UI"/>
          <w:b/>
          <w:bCs/>
        </w:rPr>
        <w:t>Application</w:t>
      </w:r>
      <w:r w:rsidR="00470A6B" w:rsidRPr="00305F7B">
        <w:rPr>
          <w:rFonts w:ascii="Segoe UI" w:hAnsi="Segoe UI" w:cs="Segoe UI"/>
          <w:b/>
          <w:bCs/>
        </w:rPr>
        <w:t xml:space="preserve"> 18</w:t>
      </w:r>
      <w:r w:rsidR="00305F7B" w:rsidRPr="00305F7B">
        <w:rPr>
          <w:rFonts w:ascii="Segoe UI" w:hAnsi="Segoe UI" w:cs="Segoe UI"/>
          <w:b/>
          <w:bCs/>
        </w:rPr>
        <w:t>29</w:t>
      </w:r>
    </w:p>
    <w:p w14:paraId="1AF1C05A" w14:textId="77777777" w:rsidR="00247389" w:rsidRPr="00247389" w:rsidRDefault="00247389" w:rsidP="00247389"/>
    <w:p w14:paraId="2CED87DE" w14:textId="4C5BCE6F" w:rsidR="00EA0AA0" w:rsidRDefault="00942503" w:rsidP="002662E5">
      <w:pPr>
        <w:pStyle w:val="Subtitle"/>
        <w:jc w:val="center"/>
        <w:rPr>
          <w:rFonts w:ascii="Segoe UI" w:eastAsiaTheme="minorHAnsi" w:hAnsi="Segoe UI" w:cs="Segoe UI"/>
          <w:i/>
          <w:iCs/>
          <w:color w:val="538135" w:themeColor="accent6" w:themeShade="BF"/>
          <w:spacing w:val="0"/>
          <w:sz w:val="24"/>
          <w:szCs w:val="24"/>
        </w:rPr>
      </w:pPr>
      <w:r w:rsidRPr="00942503">
        <w:rPr>
          <w:rFonts w:ascii="Segoe UI" w:hAnsi="Segoe UI" w:cs="Segoe UI"/>
          <w:b/>
          <w:bCs/>
          <w:color w:val="002060"/>
          <w:sz w:val="48"/>
          <w:szCs w:val="48"/>
        </w:rPr>
        <w:t xml:space="preserve">Anti-Müllerian hormone </w:t>
      </w:r>
      <w:r w:rsidR="009C103E" w:rsidRPr="009C103E">
        <w:rPr>
          <w:rFonts w:ascii="Segoe UI" w:hAnsi="Segoe UI" w:cs="Segoe UI"/>
          <w:b/>
          <w:bCs/>
          <w:color w:val="002060"/>
          <w:sz w:val="48"/>
          <w:szCs w:val="48"/>
        </w:rPr>
        <w:t xml:space="preserve">for identification of Polycystic Ovarian Morphology, to support the diagnosis of </w:t>
      </w:r>
      <w:proofErr w:type="spellStart"/>
      <w:r w:rsidR="009C103E" w:rsidRPr="009C103E">
        <w:rPr>
          <w:rFonts w:ascii="Segoe UI" w:hAnsi="Segoe UI" w:cs="Segoe UI"/>
          <w:b/>
          <w:bCs/>
          <w:color w:val="002060"/>
          <w:sz w:val="48"/>
          <w:szCs w:val="48"/>
        </w:rPr>
        <w:t>Polyendrocrine</w:t>
      </w:r>
      <w:proofErr w:type="spellEnd"/>
      <w:r w:rsidR="009C103E" w:rsidRPr="009C103E">
        <w:rPr>
          <w:rFonts w:ascii="Segoe UI" w:hAnsi="Segoe UI" w:cs="Segoe UI"/>
          <w:b/>
          <w:bCs/>
          <w:color w:val="002060"/>
          <w:sz w:val="48"/>
          <w:szCs w:val="48"/>
        </w:rPr>
        <w:t xml:space="preserve"> Metabolic Ovarian Syndrome (PMOS)</w:t>
      </w:r>
    </w:p>
    <w:p w14:paraId="3DB046D5" w14:textId="77777777" w:rsidR="00247389" w:rsidRPr="00247389" w:rsidRDefault="00247389" w:rsidP="00247389"/>
    <w:p w14:paraId="193657E0" w14:textId="7088DB44" w:rsidR="00FF1ECB" w:rsidRPr="00247389" w:rsidRDefault="00EA0AA0" w:rsidP="00942503">
      <w:pPr>
        <w:pStyle w:val="Subtitle"/>
        <w:jc w:val="center"/>
        <w:rPr>
          <w:b/>
          <w:bCs/>
        </w:rPr>
      </w:pPr>
      <w:r w:rsidRPr="00222820">
        <w:rPr>
          <w:rFonts w:ascii="Segoe UI" w:hAnsi="Segoe UI" w:cs="Segoe UI"/>
          <w:b/>
          <w:bCs/>
          <w:color w:val="002060"/>
          <w:sz w:val="48"/>
          <w:szCs w:val="48"/>
        </w:rPr>
        <w:t>PICO Set</w:t>
      </w:r>
    </w:p>
    <w:p w14:paraId="36D3A1E8" w14:textId="77777777" w:rsidR="009139B7" w:rsidRPr="003F4E49" w:rsidRDefault="009139B7" w:rsidP="002662E5">
      <w:pPr>
        <w:spacing w:after="160" w:line="259" w:lineRule="auto"/>
        <w:jc w:val="center"/>
        <w:rPr>
          <w:b/>
          <w:bCs/>
          <w:color w:val="0070C0"/>
          <w:sz w:val="32"/>
          <w:szCs w:val="32"/>
        </w:rPr>
      </w:pPr>
      <w:r w:rsidRPr="003F4E49">
        <w:br w:type="page"/>
      </w:r>
    </w:p>
    <w:p w14:paraId="5BEAFFDE" w14:textId="63EDDA11" w:rsidR="00051843" w:rsidRPr="00A84BCA" w:rsidRDefault="00051843" w:rsidP="00EA0AA0">
      <w:pPr>
        <w:pStyle w:val="Heading1"/>
        <w:rPr>
          <w:color w:val="002060"/>
        </w:rPr>
      </w:pPr>
      <w:r w:rsidRPr="00A84BCA">
        <w:rPr>
          <w:color w:val="002060"/>
        </w:rPr>
        <w:lastRenderedPageBreak/>
        <w:t>Population</w:t>
      </w:r>
    </w:p>
    <w:p w14:paraId="403BD183" w14:textId="738A72BE" w:rsidR="00051843" w:rsidRPr="006C5DE1" w:rsidRDefault="00051843" w:rsidP="006C5DE1">
      <w:pPr>
        <w:rPr>
          <w:b/>
          <w:bCs/>
          <w:lang w:eastAsia="en-AU"/>
        </w:rPr>
      </w:pPr>
      <w:r w:rsidRPr="006C5DE1">
        <w:rPr>
          <w:b/>
          <w:bCs/>
          <w:lang w:eastAsia="en-AU"/>
        </w:rPr>
        <w:t>Describe the population in which the proposed health technology is intended to be used:</w:t>
      </w:r>
    </w:p>
    <w:p w14:paraId="4D033191" w14:textId="4EE53F0B" w:rsidR="00051843" w:rsidRDefault="00942503" w:rsidP="00577BB2">
      <w:pPr>
        <w:rPr>
          <w:sz w:val="24"/>
          <w:szCs w:val="24"/>
        </w:rPr>
      </w:pPr>
      <w:r>
        <w:rPr>
          <w:sz w:val="24"/>
          <w:szCs w:val="24"/>
        </w:rPr>
        <w:t xml:space="preserve">Polyendocrine metabolic ovarian syndrome (PMOS, formerly referred to as polycystic ovarian syndrome or PCOS) is a condition which affects approximately 10% of reproductive age women, as noted in the 2023 Australian / International clinical guidelines. PMOS is associated with increased metabolic and cardiovascular risks and with decreased psychological, reproductive, and dermatological health, along with associated reduction in physical and mental wellbeing. Establishing a diagnosis of PMOS is relatively challenging, involving clinical signs, symptoms, and diagnostic tests to establish hyperandrogenism. Following the Australian and </w:t>
      </w:r>
      <w:proofErr w:type="spellStart"/>
      <w:r>
        <w:rPr>
          <w:sz w:val="24"/>
          <w:szCs w:val="24"/>
        </w:rPr>
        <w:t>Interational</w:t>
      </w:r>
      <w:proofErr w:type="spellEnd"/>
      <w:r>
        <w:rPr>
          <w:sz w:val="24"/>
          <w:szCs w:val="24"/>
        </w:rPr>
        <w:t xml:space="preserve"> Clinical Guidelines, AMH testing can be used to determine polycystic ovarian morphology (PCOM) in adults in whom PMOS is suspected, but do not have irregular menstrual cycles </w:t>
      </w:r>
      <w:r w:rsidR="005E38F9">
        <w:rPr>
          <w:sz w:val="24"/>
          <w:szCs w:val="24"/>
        </w:rPr>
        <w:t>and</w:t>
      </w:r>
      <w:r>
        <w:rPr>
          <w:sz w:val="24"/>
          <w:szCs w:val="24"/>
        </w:rPr>
        <w:t xml:space="preserve"> clinical hyperandrogenism. AMH testing is an alternative to transvaginal ultrasound, which is similarly only recommended to be used to identify polycystic ovarian morphology in patients who do not have irregular menstrual cycles and hyperandrogenism. </w:t>
      </w:r>
    </w:p>
    <w:p w14:paraId="49875502" w14:textId="4E4C6328" w:rsidR="005E38F9" w:rsidRPr="00230F1D" w:rsidRDefault="005E38F9" w:rsidP="00577BB2">
      <w:pPr>
        <w:rPr>
          <w:sz w:val="24"/>
          <w:szCs w:val="24"/>
        </w:rPr>
      </w:pPr>
    </w:p>
    <w:p w14:paraId="7B7089F3" w14:textId="5C993C84" w:rsidR="00051843" w:rsidRPr="006C5DE1" w:rsidRDefault="00051843" w:rsidP="006C5DE1">
      <w:pPr>
        <w:rPr>
          <w:b/>
          <w:bCs/>
          <w:lang w:eastAsia="en-AU"/>
        </w:rPr>
      </w:pPr>
      <w:r w:rsidRPr="006C5DE1">
        <w:rPr>
          <w:b/>
          <w:bCs/>
          <w:lang w:eastAsia="en-AU"/>
        </w:rPr>
        <w:t>Specify any characteristics of patients with</w:t>
      </w:r>
      <w:r w:rsidR="00197915" w:rsidRPr="006C5DE1">
        <w:rPr>
          <w:b/>
          <w:bCs/>
          <w:lang w:eastAsia="en-AU"/>
        </w:rPr>
        <w:t>, or suspected of having,</w:t>
      </w:r>
      <w:r w:rsidRPr="006C5DE1">
        <w:rPr>
          <w:b/>
          <w:bCs/>
          <w:lang w:eastAsia="en-AU"/>
        </w:rPr>
        <w:t xml:space="preserve"> the medical condition, who are proposed to be eligible for the proposed health technology, describing how a patient would be investigated, managed and referred within the Australian healthcare system in the lead up to being considered eligible for the technology:</w:t>
      </w:r>
    </w:p>
    <w:p w14:paraId="0635F721" w14:textId="64ADE08B" w:rsidR="00051843" w:rsidRDefault="00915C86" w:rsidP="00577BB2">
      <w:pPr>
        <w:rPr>
          <w:sz w:val="24"/>
          <w:szCs w:val="24"/>
        </w:rPr>
      </w:pPr>
      <w:r>
        <w:rPr>
          <w:sz w:val="24"/>
          <w:szCs w:val="24"/>
        </w:rPr>
        <w:t>Diagnostic work-up of patients suspected of having PMOS is set out in the 2023 Australian / International guidelines. Prior to a clinician considering AMH testing, clinical signs and symptoms would be evaluated by an appropriate clinician (including general practitioners, endocrinologists, and obstetricians / gynaecologists). Biochemical investigations for hyperandrogenism (hormone test) may also be requested. Patients who would be considered eligible for AMH testing, following the Australian guidelines are defined by:</w:t>
      </w:r>
    </w:p>
    <w:p w14:paraId="391CD89F" w14:textId="4DA091CE" w:rsidR="00915C86" w:rsidRDefault="00915C86" w:rsidP="00915C86">
      <w:pPr>
        <w:pStyle w:val="ListParagraph"/>
        <w:numPr>
          <w:ilvl w:val="0"/>
          <w:numId w:val="1"/>
        </w:numPr>
        <w:rPr>
          <w:rFonts w:eastAsia="Segoe UI"/>
          <w:color w:val="000000"/>
          <w:sz w:val="24"/>
          <w:szCs w:val="24"/>
        </w:rPr>
      </w:pPr>
      <w:r>
        <w:rPr>
          <w:rFonts w:eastAsia="Segoe UI"/>
          <w:color w:val="000000"/>
          <w:sz w:val="24"/>
          <w:szCs w:val="24"/>
        </w:rPr>
        <w:t xml:space="preserve">Adult (noting that AMH testing is most likely to be appropriate for ages 25 to 44, based on evidence for the utility of specific AMH thresholds). </w:t>
      </w:r>
    </w:p>
    <w:p w14:paraId="3F33BA1A" w14:textId="74A7DB88" w:rsidR="00915C86" w:rsidRDefault="00915C86" w:rsidP="00915C86">
      <w:pPr>
        <w:pStyle w:val="ListParagraph"/>
        <w:numPr>
          <w:ilvl w:val="0"/>
          <w:numId w:val="1"/>
        </w:numPr>
        <w:rPr>
          <w:rFonts w:eastAsia="Segoe UI"/>
          <w:color w:val="000000"/>
          <w:sz w:val="24"/>
          <w:szCs w:val="24"/>
        </w:rPr>
      </w:pPr>
      <w:r>
        <w:rPr>
          <w:rFonts w:eastAsia="Segoe UI"/>
          <w:color w:val="000000"/>
          <w:sz w:val="24"/>
          <w:szCs w:val="24"/>
        </w:rPr>
        <w:t>Do not have other symptoms which would enable a diagnosis of PMOS (do not have irregular menstrual cycles and evidence of hyperandrogenism).</w:t>
      </w:r>
    </w:p>
    <w:p w14:paraId="11A397D4" w14:textId="2AC778A6" w:rsidR="00915C86" w:rsidRPr="00915C86" w:rsidRDefault="00915C86" w:rsidP="00915C86">
      <w:pPr>
        <w:rPr>
          <w:rFonts w:eastAsia="Segoe UI"/>
          <w:color w:val="000000"/>
          <w:sz w:val="24"/>
          <w:szCs w:val="24"/>
        </w:rPr>
      </w:pPr>
      <w:r>
        <w:rPr>
          <w:rFonts w:eastAsia="Segoe UI"/>
          <w:color w:val="000000"/>
          <w:sz w:val="24"/>
          <w:szCs w:val="24"/>
        </w:rPr>
        <w:t xml:space="preserve">The recommendations for AMH testing in the Guidelines are </w:t>
      </w:r>
      <w:proofErr w:type="gramStart"/>
      <w:r>
        <w:rPr>
          <w:rFonts w:eastAsia="Segoe UI"/>
          <w:color w:val="000000"/>
          <w:sz w:val="24"/>
          <w:szCs w:val="24"/>
        </w:rPr>
        <w:t>similar to</w:t>
      </w:r>
      <w:proofErr w:type="gramEnd"/>
      <w:r>
        <w:rPr>
          <w:rFonts w:eastAsia="Segoe UI"/>
          <w:color w:val="000000"/>
          <w:sz w:val="24"/>
          <w:szCs w:val="24"/>
        </w:rPr>
        <w:t xml:space="preserve"> the recommended use of ultrasound to establish PCOM. In both cases, the Guidelines note that ultrasound or AMH testing is only required when PMOS is being considered as a diagnosis, but there a diagnosis cannot be made </w:t>
      </w:r>
      <w:proofErr w:type="gramStart"/>
      <w:r>
        <w:rPr>
          <w:rFonts w:eastAsia="Segoe UI"/>
          <w:color w:val="000000"/>
          <w:sz w:val="24"/>
          <w:szCs w:val="24"/>
        </w:rPr>
        <w:t>on the basis of</w:t>
      </w:r>
      <w:proofErr w:type="gramEnd"/>
      <w:r>
        <w:rPr>
          <w:rFonts w:eastAsia="Segoe UI"/>
          <w:color w:val="000000"/>
          <w:sz w:val="24"/>
          <w:szCs w:val="24"/>
        </w:rPr>
        <w:t xml:space="preserve"> irregular periods and evidence of hyperandrogenism. </w:t>
      </w:r>
    </w:p>
    <w:p w14:paraId="0EB432EF" w14:textId="494FA1EC" w:rsidR="00051843" w:rsidRPr="00940A7E" w:rsidRDefault="00051843" w:rsidP="00940A7E">
      <w:pPr>
        <w:rPr>
          <w:b/>
          <w:bCs/>
          <w:sz w:val="24"/>
          <w:szCs w:val="24"/>
        </w:rPr>
      </w:pPr>
      <w:r w:rsidRPr="00940A7E">
        <w:rPr>
          <w:b/>
          <w:bCs/>
          <w:sz w:val="24"/>
          <w:szCs w:val="24"/>
        </w:rPr>
        <w:t>Provide a rationale for the specifics of the eligible population:</w:t>
      </w:r>
    </w:p>
    <w:p w14:paraId="1195F312" w14:textId="1CE0FF80" w:rsidR="00051843" w:rsidRPr="00230F1D" w:rsidRDefault="00915C86" w:rsidP="00577BB2">
      <w:pPr>
        <w:rPr>
          <w:rFonts w:eastAsia="Segoe UI"/>
          <w:color w:val="000000"/>
          <w:sz w:val="24"/>
          <w:szCs w:val="24"/>
        </w:rPr>
      </w:pPr>
      <w:r>
        <w:rPr>
          <w:sz w:val="24"/>
          <w:szCs w:val="24"/>
        </w:rPr>
        <w:t xml:space="preserve">This population is derived from the Australian / International Clinical Guidelines for PMOS / PCOS. AMH testing is most likely to be appropriate for patients aged between 25 and 44, based on the outcomes of the APHRODITE and HARMONIA studies. These studies </w:t>
      </w:r>
      <w:r>
        <w:rPr>
          <w:sz w:val="24"/>
          <w:szCs w:val="24"/>
        </w:rPr>
        <w:lastRenderedPageBreak/>
        <w:t>established relevant clinical cutoffs for AMH levels, comparing AMH levels to determination of PCOM based on ultrasound</w:t>
      </w:r>
      <w:r w:rsidR="0071719D">
        <w:rPr>
          <w:sz w:val="24"/>
          <w:szCs w:val="24"/>
        </w:rPr>
        <w:t xml:space="preserve">. </w:t>
      </w:r>
    </w:p>
    <w:p w14:paraId="409AB389" w14:textId="1BF6DFCB" w:rsidR="00051843" w:rsidRPr="00940A7E" w:rsidRDefault="00051843" w:rsidP="00940A7E">
      <w:pPr>
        <w:rPr>
          <w:b/>
          <w:bCs/>
          <w:sz w:val="24"/>
          <w:szCs w:val="24"/>
        </w:rPr>
      </w:pPr>
      <w:r w:rsidRPr="00940A7E">
        <w:rPr>
          <w:b/>
          <w:bCs/>
          <w:sz w:val="24"/>
          <w:szCs w:val="24"/>
        </w:rPr>
        <w:t xml:space="preserve">Are there any prerequisite tests? </w:t>
      </w:r>
    </w:p>
    <w:p w14:paraId="64EC5580" w14:textId="3EADCBF6" w:rsidR="00051843" w:rsidRPr="00230F1D" w:rsidRDefault="00051843" w:rsidP="00577BB2">
      <w:pPr>
        <w:rPr>
          <w:sz w:val="24"/>
          <w:szCs w:val="24"/>
        </w:rPr>
      </w:pPr>
      <w:r w:rsidRPr="00230F1D">
        <w:rPr>
          <w:sz w:val="24"/>
          <w:szCs w:val="24"/>
          <w:highlight w:val="lightGray"/>
        </w:rPr>
        <w:t>Yes</w:t>
      </w:r>
    </w:p>
    <w:p w14:paraId="5998FE51" w14:textId="7B048AA9" w:rsidR="00051843" w:rsidRPr="00940A7E" w:rsidRDefault="00051843" w:rsidP="00940A7E">
      <w:pPr>
        <w:rPr>
          <w:b/>
          <w:bCs/>
          <w:sz w:val="24"/>
          <w:szCs w:val="24"/>
        </w:rPr>
      </w:pPr>
      <w:r w:rsidRPr="00940A7E">
        <w:rPr>
          <w:b/>
          <w:bCs/>
          <w:sz w:val="24"/>
          <w:szCs w:val="24"/>
        </w:rPr>
        <w:t>Are the prerequisite tests MBS funded?</w:t>
      </w:r>
    </w:p>
    <w:p w14:paraId="7B15CE91" w14:textId="0D7D462C" w:rsidR="00051843" w:rsidRDefault="00051843" w:rsidP="00577BB2">
      <w:pPr>
        <w:rPr>
          <w:sz w:val="24"/>
          <w:szCs w:val="24"/>
        </w:rPr>
      </w:pPr>
      <w:r w:rsidRPr="00230F1D">
        <w:rPr>
          <w:sz w:val="24"/>
          <w:szCs w:val="24"/>
          <w:highlight w:val="lightGray"/>
        </w:rPr>
        <w:t>Yes</w:t>
      </w:r>
      <w:r w:rsidR="0071719D">
        <w:rPr>
          <w:sz w:val="24"/>
          <w:szCs w:val="24"/>
        </w:rPr>
        <w:t xml:space="preserve"> </w:t>
      </w:r>
    </w:p>
    <w:p w14:paraId="1DD683D3" w14:textId="597FE027" w:rsidR="0071719D" w:rsidRPr="00230F1D" w:rsidRDefault="0071719D" w:rsidP="00577BB2">
      <w:pPr>
        <w:rPr>
          <w:sz w:val="24"/>
          <w:szCs w:val="24"/>
        </w:rPr>
      </w:pPr>
      <w:r w:rsidRPr="0071719D">
        <w:rPr>
          <w:sz w:val="24"/>
          <w:szCs w:val="24"/>
        </w:rPr>
        <w:t>MBS Item 66695 - Quantitation in blood or urine of hormones and hormone binding proteins (including testosterone)</w:t>
      </w:r>
    </w:p>
    <w:p w14:paraId="0A585F0C" w14:textId="1FA42264" w:rsidR="00051843" w:rsidRPr="00940A7E" w:rsidRDefault="00EA0AA0" w:rsidP="00940A7E">
      <w:pPr>
        <w:rPr>
          <w:b/>
          <w:bCs/>
          <w:sz w:val="24"/>
          <w:szCs w:val="24"/>
        </w:rPr>
      </w:pPr>
      <w:r w:rsidRPr="00940A7E">
        <w:rPr>
          <w:b/>
          <w:bCs/>
          <w:sz w:val="24"/>
          <w:szCs w:val="24"/>
        </w:rPr>
        <w:t>P</w:t>
      </w:r>
      <w:r w:rsidR="00051843" w:rsidRPr="00940A7E">
        <w:rPr>
          <w:b/>
          <w:bCs/>
          <w:sz w:val="24"/>
          <w:szCs w:val="24"/>
        </w:rPr>
        <w:t>rovide details to fund the prerequisite tests:</w:t>
      </w:r>
    </w:p>
    <w:p w14:paraId="58FB847B" w14:textId="4F3DB609" w:rsidR="00D32DD1" w:rsidRPr="003F4E49" w:rsidRDefault="0071719D" w:rsidP="00577BB2">
      <w:pPr>
        <w:rPr>
          <w:rFonts w:eastAsia="Segoe UI"/>
          <w:color w:val="000000"/>
        </w:rPr>
      </w:pPr>
      <w:r>
        <w:t>Not applicable</w:t>
      </w:r>
    </w:p>
    <w:p w14:paraId="730114B1" w14:textId="17224D17" w:rsidR="00280050" w:rsidRPr="00A84BCA" w:rsidRDefault="00051843" w:rsidP="00EA0AA0">
      <w:pPr>
        <w:pStyle w:val="Heading1"/>
        <w:rPr>
          <w:color w:val="002060"/>
        </w:rPr>
      </w:pPr>
      <w:r w:rsidRPr="00A84BCA">
        <w:rPr>
          <w:color w:val="002060"/>
        </w:rPr>
        <w:t>Intervention</w:t>
      </w:r>
    </w:p>
    <w:p w14:paraId="4EE4D8C5" w14:textId="72F78505" w:rsidR="00665487" w:rsidRPr="00940A7E" w:rsidRDefault="00665487" w:rsidP="00940A7E">
      <w:pPr>
        <w:rPr>
          <w:b/>
          <w:bCs/>
          <w:sz w:val="24"/>
          <w:szCs w:val="24"/>
        </w:rPr>
      </w:pPr>
      <w:r w:rsidRPr="00940A7E">
        <w:rPr>
          <w:b/>
          <w:bCs/>
          <w:sz w:val="24"/>
          <w:szCs w:val="24"/>
        </w:rPr>
        <w:t>Name of the proposed health technology:</w:t>
      </w:r>
    </w:p>
    <w:p w14:paraId="661E51AD" w14:textId="1C535ED2" w:rsidR="00BE6B22" w:rsidRPr="00172602" w:rsidRDefault="0071719D" w:rsidP="00BC0C43">
      <w:pPr>
        <w:rPr>
          <w:rFonts w:eastAsia="Segoe UI"/>
          <w:color w:val="000000"/>
          <w:sz w:val="24"/>
          <w:szCs w:val="24"/>
        </w:rPr>
      </w:pPr>
      <w:r>
        <w:rPr>
          <w:sz w:val="24"/>
          <w:szCs w:val="24"/>
        </w:rPr>
        <w:t xml:space="preserve">Quantification of </w:t>
      </w:r>
      <w:r w:rsidRPr="0071719D">
        <w:rPr>
          <w:sz w:val="24"/>
          <w:szCs w:val="24"/>
        </w:rPr>
        <w:t>Anti-Müllerian hormone for identifying Polycystic Ovarian Morphology.</w:t>
      </w:r>
    </w:p>
    <w:p w14:paraId="61D4A875" w14:textId="334BDEA3" w:rsidR="00BE6B22" w:rsidRPr="00940A7E" w:rsidRDefault="00665487" w:rsidP="00940A7E">
      <w:pPr>
        <w:rPr>
          <w:b/>
          <w:bCs/>
          <w:sz w:val="24"/>
          <w:szCs w:val="24"/>
        </w:rPr>
      </w:pPr>
      <w:r w:rsidRPr="00940A7E">
        <w:rPr>
          <w:b/>
          <w:bCs/>
          <w:sz w:val="24"/>
          <w:szCs w:val="24"/>
        </w:rPr>
        <w:t>Describe the key components and clinical steps involved in delivering the proposed health technology</w:t>
      </w:r>
      <w:r w:rsidR="00BE6B22" w:rsidRPr="00940A7E">
        <w:rPr>
          <w:b/>
          <w:bCs/>
          <w:sz w:val="24"/>
          <w:szCs w:val="24"/>
        </w:rPr>
        <w:t>:</w:t>
      </w:r>
    </w:p>
    <w:p w14:paraId="20B5DD25" w14:textId="2B8E8095" w:rsidR="00BE6B22" w:rsidRDefault="004F254C" w:rsidP="00BC0C43">
      <w:pPr>
        <w:rPr>
          <w:sz w:val="24"/>
          <w:szCs w:val="24"/>
        </w:rPr>
      </w:pPr>
      <w:r>
        <w:rPr>
          <w:sz w:val="24"/>
          <w:szCs w:val="24"/>
        </w:rPr>
        <w:t>The key components in the diagnosis of PMOS are summarised in Algorithm 1, p. 232 of the Australian / International Clinical Guidelines. The Guidelines note that establishing a diagnosis of PMOS remains complex, and that despite an estimated prevalence of up to 10% of women of reproductive age, patients are likely to remain undiagnosed. The diagnostic algorithm has three key steps:</w:t>
      </w:r>
    </w:p>
    <w:p w14:paraId="11FC4EF7" w14:textId="0984C484" w:rsidR="004F254C" w:rsidRDefault="004F254C" w:rsidP="004F254C">
      <w:pPr>
        <w:pStyle w:val="ListParagraph"/>
        <w:numPr>
          <w:ilvl w:val="0"/>
          <w:numId w:val="2"/>
        </w:numPr>
        <w:rPr>
          <w:rFonts w:eastAsia="Segoe UI"/>
          <w:color w:val="000000"/>
          <w:sz w:val="24"/>
          <w:szCs w:val="24"/>
        </w:rPr>
      </w:pPr>
      <w:r>
        <w:rPr>
          <w:rFonts w:eastAsia="Segoe UI"/>
          <w:color w:val="000000"/>
          <w:sz w:val="24"/>
          <w:szCs w:val="24"/>
        </w:rPr>
        <w:t>Diagnosis of PMOS based on clinical hyperandrogenism and irregular menstrual cycles, after excluding other potential causes.</w:t>
      </w:r>
    </w:p>
    <w:p w14:paraId="7B1B2488" w14:textId="45186DA4" w:rsidR="004F254C" w:rsidRDefault="004F254C" w:rsidP="004F254C">
      <w:pPr>
        <w:pStyle w:val="ListParagraph"/>
        <w:numPr>
          <w:ilvl w:val="0"/>
          <w:numId w:val="2"/>
        </w:numPr>
        <w:rPr>
          <w:rFonts w:eastAsia="Segoe UI"/>
          <w:color w:val="000000"/>
          <w:sz w:val="24"/>
          <w:szCs w:val="24"/>
        </w:rPr>
      </w:pPr>
      <w:r>
        <w:rPr>
          <w:rFonts w:eastAsia="Segoe UI"/>
          <w:color w:val="000000"/>
          <w:sz w:val="24"/>
          <w:szCs w:val="24"/>
        </w:rPr>
        <w:t>For patients with irregular cycles but without clinical hyperandrogenism, investigate biochemical hyperandrogenism.</w:t>
      </w:r>
    </w:p>
    <w:p w14:paraId="08E729C3" w14:textId="2EF38F73" w:rsidR="004F254C" w:rsidRDefault="004F254C" w:rsidP="004F254C">
      <w:pPr>
        <w:pStyle w:val="ListParagraph"/>
        <w:numPr>
          <w:ilvl w:val="0"/>
          <w:numId w:val="2"/>
        </w:numPr>
        <w:rPr>
          <w:rFonts w:eastAsia="Segoe UI"/>
          <w:color w:val="000000"/>
          <w:sz w:val="24"/>
          <w:szCs w:val="24"/>
        </w:rPr>
      </w:pPr>
      <w:r>
        <w:rPr>
          <w:rFonts w:eastAsia="Segoe UI"/>
          <w:color w:val="000000"/>
          <w:sz w:val="24"/>
          <w:szCs w:val="24"/>
        </w:rPr>
        <w:t xml:space="preserve">For patients who have only irregular cycles or hyperandrogenism (clinical or biochemical), without other explanation, consider ultrasound or AMH testing to identify PCOM. </w:t>
      </w:r>
    </w:p>
    <w:p w14:paraId="6B92977C" w14:textId="59B69BEA" w:rsidR="00B81B47" w:rsidRPr="00B81B47" w:rsidRDefault="00B81B47" w:rsidP="00B81B47">
      <w:pPr>
        <w:rPr>
          <w:rFonts w:eastAsia="Segoe UI"/>
          <w:color w:val="000000"/>
          <w:sz w:val="24"/>
          <w:szCs w:val="24"/>
        </w:rPr>
      </w:pPr>
      <w:r>
        <w:rPr>
          <w:rFonts w:eastAsia="Segoe UI"/>
          <w:color w:val="000000"/>
          <w:sz w:val="24"/>
          <w:szCs w:val="24"/>
        </w:rPr>
        <w:t xml:space="preserve">A positive PCOM investigation, in combination with patient history and excluding other potential causes, can support a clinician to make a diagnosis of PMOS. </w:t>
      </w:r>
    </w:p>
    <w:p w14:paraId="496F861E" w14:textId="6A84304D" w:rsidR="00BE6B22" w:rsidRPr="008522C1" w:rsidRDefault="00665487" w:rsidP="00940A7E">
      <w:pPr>
        <w:rPr>
          <w:b/>
          <w:bCs/>
          <w:sz w:val="24"/>
          <w:szCs w:val="24"/>
        </w:rPr>
      </w:pPr>
      <w:r w:rsidRPr="008522C1">
        <w:rPr>
          <w:b/>
          <w:bCs/>
          <w:sz w:val="24"/>
          <w:szCs w:val="24"/>
        </w:rPr>
        <w:t>Identify how the proposed technology achieves the intended patient outcomes</w:t>
      </w:r>
      <w:r w:rsidR="00BE6B22" w:rsidRPr="008522C1">
        <w:rPr>
          <w:b/>
          <w:bCs/>
          <w:sz w:val="24"/>
          <w:szCs w:val="24"/>
        </w:rPr>
        <w:t>:</w:t>
      </w:r>
    </w:p>
    <w:p w14:paraId="72015A67" w14:textId="08838F09" w:rsidR="00BE6B22" w:rsidRPr="00172602" w:rsidRDefault="00B81B47" w:rsidP="00BC0C43">
      <w:pPr>
        <w:rPr>
          <w:rFonts w:eastAsia="Segoe UI"/>
          <w:color w:val="000000"/>
          <w:sz w:val="24"/>
          <w:szCs w:val="24"/>
        </w:rPr>
      </w:pPr>
      <w:r>
        <w:rPr>
          <w:sz w:val="24"/>
          <w:szCs w:val="24"/>
        </w:rPr>
        <w:t xml:space="preserve">AMH is a protein produced by cells in developing ovarian follicles. AMH can be efficiently detected in serum, similarly to other hormones. Although AMH levels can vary substantially with age and environmental factors, the use of AMH levels in serum as part of PMOS diagnosis was considered by a robust independent clinical review process, as part of the guideline development process. Specifically, PCOM is associated with a higher number of small, developing follicles in the ovaries. This means that AMH levels are substantially higher in women with have PMOS, compared to women of a similar age. A systematic literature review related to the use of AMH in PCOM for the purposes of </w:t>
      </w:r>
      <w:r>
        <w:rPr>
          <w:sz w:val="24"/>
          <w:szCs w:val="24"/>
        </w:rPr>
        <w:lastRenderedPageBreak/>
        <w:t>PMOS diagnosis was conducted during the guideline development process, and is available in the published technical report (</w:t>
      </w:r>
      <w:r w:rsidRPr="00B81B47">
        <w:rPr>
          <w:sz w:val="24"/>
          <w:szCs w:val="24"/>
        </w:rPr>
        <w:t>https://www.monash.edu/__data/assets/pdf_file/0010/3379591/TechnicalReport-2023.pdf</w:t>
      </w:r>
      <w:r>
        <w:rPr>
          <w:sz w:val="24"/>
          <w:szCs w:val="24"/>
        </w:rPr>
        <w:t>)</w:t>
      </w:r>
    </w:p>
    <w:p w14:paraId="0F9D3230" w14:textId="4E02B21F" w:rsidR="00BE6B22" w:rsidRPr="008522C1" w:rsidRDefault="00665487" w:rsidP="00940A7E">
      <w:pPr>
        <w:rPr>
          <w:b/>
          <w:bCs/>
          <w:sz w:val="24"/>
          <w:szCs w:val="24"/>
        </w:rPr>
      </w:pPr>
      <w:r w:rsidRPr="008522C1">
        <w:rPr>
          <w:b/>
          <w:bCs/>
          <w:sz w:val="24"/>
          <w:szCs w:val="24"/>
        </w:rPr>
        <w:t>Does the proposed health technology include a registered trademark component with characteristics that distinguishes it from other similar health components</w:t>
      </w:r>
      <w:r w:rsidR="00BE6B22" w:rsidRPr="008522C1">
        <w:rPr>
          <w:b/>
          <w:bCs/>
          <w:sz w:val="24"/>
          <w:szCs w:val="24"/>
        </w:rPr>
        <w:t xml:space="preserve">? </w:t>
      </w:r>
    </w:p>
    <w:p w14:paraId="6F3B5B06" w14:textId="41151094" w:rsidR="00BE6B22" w:rsidRPr="00172602" w:rsidRDefault="00BE6B22" w:rsidP="00BC0C43">
      <w:pPr>
        <w:rPr>
          <w:sz w:val="24"/>
          <w:szCs w:val="24"/>
        </w:rPr>
      </w:pPr>
      <w:r w:rsidRPr="00172602">
        <w:rPr>
          <w:sz w:val="24"/>
          <w:szCs w:val="24"/>
          <w:highlight w:val="lightGray"/>
        </w:rPr>
        <w:t>No</w:t>
      </w:r>
    </w:p>
    <w:p w14:paraId="6FE677F6" w14:textId="53A28694" w:rsidR="00B759D1" w:rsidRPr="008522C1" w:rsidRDefault="00665487" w:rsidP="008522C1">
      <w:pPr>
        <w:rPr>
          <w:b/>
          <w:bCs/>
          <w:sz w:val="24"/>
          <w:szCs w:val="24"/>
        </w:rPr>
      </w:pPr>
      <w:r w:rsidRPr="008522C1">
        <w:rPr>
          <w:b/>
          <w:bCs/>
          <w:sz w:val="24"/>
          <w:szCs w:val="24"/>
        </w:rPr>
        <w:t>Explain whether it is essential to have this trademark component or whether there would be other components that would be suitable</w:t>
      </w:r>
      <w:r w:rsidR="00B759D1" w:rsidRPr="008522C1">
        <w:rPr>
          <w:b/>
          <w:bCs/>
          <w:sz w:val="24"/>
          <w:szCs w:val="24"/>
        </w:rPr>
        <w:t>:</w:t>
      </w:r>
    </w:p>
    <w:p w14:paraId="2D4411B7" w14:textId="08CB82A9" w:rsidR="00B759D1" w:rsidRPr="00172602" w:rsidRDefault="005E38F9" w:rsidP="00BC0C43">
      <w:pPr>
        <w:rPr>
          <w:rFonts w:eastAsia="Segoe UI"/>
          <w:color w:val="000000"/>
          <w:sz w:val="24"/>
          <w:szCs w:val="24"/>
        </w:rPr>
      </w:pPr>
      <w:r>
        <w:rPr>
          <w:sz w:val="24"/>
          <w:szCs w:val="24"/>
        </w:rPr>
        <w:t xml:space="preserve">A trademark component is not required. However, AMH testing should only be performed using either an IVD included on the Australian Register of Therapeutic Goods with a published clinical cut-off value relevant for establishing </w:t>
      </w:r>
      <w:proofErr w:type="gramStart"/>
      <w:r>
        <w:rPr>
          <w:sz w:val="24"/>
          <w:szCs w:val="24"/>
        </w:rPr>
        <w:t>PCOM, or</w:t>
      </w:r>
      <w:proofErr w:type="gramEnd"/>
      <w:r>
        <w:rPr>
          <w:sz w:val="24"/>
          <w:szCs w:val="24"/>
        </w:rPr>
        <w:t xml:space="preserve"> using a laboratory-developed test with an appropriate locally validated clinical cut-off. </w:t>
      </w:r>
    </w:p>
    <w:p w14:paraId="46AD8179" w14:textId="07B7F795" w:rsidR="00665487" w:rsidRPr="008522C1" w:rsidRDefault="00EA7B42" w:rsidP="008522C1">
      <w:pPr>
        <w:rPr>
          <w:b/>
          <w:bCs/>
          <w:sz w:val="24"/>
          <w:szCs w:val="24"/>
        </w:rPr>
      </w:pPr>
      <w:r w:rsidRPr="008522C1">
        <w:rPr>
          <w:b/>
          <w:bCs/>
          <w:sz w:val="24"/>
          <w:szCs w:val="24"/>
        </w:rPr>
        <w:t>Are there any proposed limitations on the provision of the proposed health technology delivered to the patient (For example: accessibility, dosage, quantity, duration or frequency):</w:t>
      </w:r>
      <w:r w:rsidR="00665487" w:rsidRPr="008522C1">
        <w:rPr>
          <w:b/>
          <w:bCs/>
          <w:sz w:val="24"/>
          <w:szCs w:val="24"/>
        </w:rPr>
        <w:t xml:space="preserve"> </w:t>
      </w:r>
    </w:p>
    <w:p w14:paraId="669B5F75" w14:textId="0D4926B0" w:rsidR="00665487" w:rsidRPr="00172602" w:rsidRDefault="005E38F9" w:rsidP="00BC0C43">
      <w:pPr>
        <w:rPr>
          <w:sz w:val="24"/>
          <w:szCs w:val="24"/>
        </w:rPr>
      </w:pPr>
      <w:r>
        <w:rPr>
          <w:sz w:val="24"/>
          <w:szCs w:val="24"/>
        </w:rPr>
        <w:t xml:space="preserve">Yes, as noted above, testing should only be conducted using a test with appropriate cut-off values. This is achievable due to the availability of commercial IVD assays with appropriate clinical cut-offs included in published instructions for use (IFU). </w:t>
      </w:r>
    </w:p>
    <w:p w14:paraId="207973FE" w14:textId="0108C50B" w:rsidR="00665487" w:rsidRPr="008522C1" w:rsidRDefault="00EA7B42" w:rsidP="008522C1">
      <w:pPr>
        <w:rPr>
          <w:b/>
          <w:bCs/>
          <w:sz w:val="24"/>
          <w:szCs w:val="24"/>
        </w:rPr>
      </w:pPr>
      <w:r w:rsidRPr="008522C1">
        <w:rPr>
          <w:b/>
          <w:bCs/>
          <w:sz w:val="24"/>
          <w:szCs w:val="24"/>
        </w:rPr>
        <w:t>Provide details and explain</w:t>
      </w:r>
      <w:r w:rsidR="00665487" w:rsidRPr="008522C1">
        <w:rPr>
          <w:b/>
          <w:bCs/>
          <w:sz w:val="24"/>
          <w:szCs w:val="24"/>
        </w:rPr>
        <w:t>:</w:t>
      </w:r>
    </w:p>
    <w:p w14:paraId="7EDC963E" w14:textId="012C39C6" w:rsidR="00665487" w:rsidRPr="00172602" w:rsidRDefault="005E38F9" w:rsidP="00BC0C43">
      <w:pPr>
        <w:rPr>
          <w:rFonts w:eastAsia="Segoe UI"/>
          <w:color w:val="000000"/>
          <w:sz w:val="24"/>
          <w:szCs w:val="24"/>
        </w:rPr>
      </w:pPr>
      <w:r>
        <w:rPr>
          <w:sz w:val="24"/>
          <w:szCs w:val="24"/>
        </w:rPr>
        <w:t>Not applicable</w:t>
      </w:r>
    </w:p>
    <w:p w14:paraId="2F90F356" w14:textId="56BF0008" w:rsidR="006227EF" w:rsidRPr="008522C1" w:rsidRDefault="006227EF" w:rsidP="008522C1">
      <w:pPr>
        <w:rPr>
          <w:b/>
          <w:bCs/>
          <w:sz w:val="24"/>
          <w:szCs w:val="24"/>
        </w:rPr>
      </w:pPr>
      <w:r w:rsidRPr="008522C1">
        <w:rPr>
          <w:b/>
          <w:bCs/>
          <w:sz w:val="24"/>
          <w:szCs w:val="24"/>
        </w:rPr>
        <w:t>If applicable, advise which health professionals will be needed to provide the proposed health technology:</w:t>
      </w:r>
    </w:p>
    <w:p w14:paraId="6BC4ECCB" w14:textId="10D2FC04" w:rsidR="006227EF" w:rsidRPr="00172602" w:rsidRDefault="005E38F9" w:rsidP="00BC0C43">
      <w:pPr>
        <w:rPr>
          <w:rFonts w:eastAsia="Segoe UI"/>
          <w:color w:val="000000"/>
          <w:sz w:val="24"/>
          <w:szCs w:val="24"/>
        </w:rPr>
      </w:pPr>
      <w:r>
        <w:rPr>
          <w:sz w:val="24"/>
          <w:szCs w:val="24"/>
        </w:rPr>
        <w:t xml:space="preserve">Approved pathology providers, in line with existing private (non-MBS funded) AMH testing. </w:t>
      </w:r>
    </w:p>
    <w:p w14:paraId="46150CA8" w14:textId="2602760A" w:rsidR="006227EF" w:rsidRPr="008522C1" w:rsidRDefault="006227EF" w:rsidP="008522C1">
      <w:pPr>
        <w:rPr>
          <w:b/>
          <w:bCs/>
          <w:sz w:val="24"/>
          <w:szCs w:val="24"/>
        </w:rPr>
      </w:pPr>
      <w:r w:rsidRPr="008522C1">
        <w:rPr>
          <w:b/>
          <w:bCs/>
          <w:sz w:val="24"/>
          <w:szCs w:val="24"/>
        </w:rPr>
        <w:t xml:space="preserve">If applicable, advise </w:t>
      </w:r>
      <w:r w:rsidR="00BE0612" w:rsidRPr="008522C1">
        <w:rPr>
          <w:b/>
          <w:bCs/>
          <w:sz w:val="24"/>
          <w:szCs w:val="24"/>
        </w:rPr>
        <w:t>whether delivery of the proposed health technology can be delegated to another</w:t>
      </w:r>
      <w:r w:rsidRPr="008522C1">
        <w:rPr>
          <w:b/>
          <w:bCs/>
          <w:sz w:val="24"/>
          <w:szCs w:val="24"/>
        </w:rPr>
        <w:t xml:space="preserve"> health professional:</w:t>
      </w:r>
    </w:p>
    <w:p w14:paraId="5A95FA3B" w14:textId="211D6F82" w:rsidR="00665487" w:rsidRPr="00172602" w:rsidRDefault="005E38F9" w:rsidP="00BC0C43">
      <w:pPr>
        <w:rPr>
          <w:rFonts w:eastAsia="Segoe UI"/>
          <w:color w:val="000000"/>
          <w:sz w:val="24"/>
          <w:szCs w:val="24"/>
        </w:rPr>
      </w:pPr>
      <w:r>
        <w:rPr>
          <w:sz w:val="24"/>
          <w:szCs w:val="24"/>
        </w:rPr>
        <w:t>Not applicable</w:t>
      </w:r>
    </w:p>
    <w:p w14:paraId="414D5196" w14:textId="42D4776C" w:rsidR="006227EF" w:rsidRPr="008522C1" w:rsidRDefault="006227EF" w:rsidP="008522C1">
      <w:pPr>
        <w:rPr>
          <w:b/>
          <w:bCs/>
          <w:sz w:val="24"/>
          <w:szCs w:val="24"/>
        </w:rPr>
      </w:pPr>
      <w:r w:rsidRPr="008522C1">
        <w:rPr>
          <w:b/>
          <w:bCs/>
          <w:sz w:val="24"/>
          <w:szCs w:val="24"/>
        </w:rPr>
        <w:t xml:space="preserve">If applicable, advise </w:t>
      </w:r>
      <w:r w:rsidR="00BE0612" w:rsidRPr="008522C1">
        <w:rPr>
          <w:b/>
          <w:bCs/>
          <w:sz w:val="24"/>
          <w:szCs w:val="24"/>
        </w:rPr>
        <w:t>if there are any limitations on which health professionals might provide a referral for</w:t>
      </w:r>
      <w:r w:rsidRPr="008522C1">
        <w:rPr>
          <w:b/>
          <w:bCs/>
          <w:sz w:val="24"/>
          <w:szCs w:val="24"/>
        </w:rPr>
        <w:t xml:space="preserve"> the proposed health technology:</w:t>
      </w:r>
    </w:p>
    <w:p w14:paraId="02BE6BC3" w14:textId="5CE2791D" w:rsidR="006227EF" w:rsidRPr="00172602" w:rsidRDefault="005E38F9" w:rsidP="00BC0C43">
      <w:pPr>
        <w:rPr>
          <w:rFonts w:eastAsia="Segoe UI"/>
          <w:color w:val="000000"/>
          <w:sz w:val="24"/>
          <w:szCs w:val="24"/>
        </w:rPr>
      </w:pPr>
      <w:r>
        <w:rPr>
          <w:sz w:val="24"/>
          <w:szCs w:val="24"/>
        </w:rPr>
        <w:t>Not applicable</w:t>
      </w:r>
    </w:p>
    <w:p w14:paraId="30AC00A8" w14:textId="634D8B2C" w:rsidR="00380C41" w:rsidRPr="00D163F8" w:rsidRDefault="00380C41" w:rsidP="00D163F8">
      <w:pPr>
        <w:rPr>
          <w:b/>
          <w:bCs/>
          <w:sz w:val="24"/>
          <w:szCs w:val="24"/>
        </w:rPr>
      </w:pPr>
      <w:proofErr w:type="gramStart"/>
      <w:r w:rsidRPr="00D163F8">
        <w:rPr>
          <w:b/>
          <w:bCs/>
          <w:sz w:val="24"/>
          <w:szCs w:val="24"/>
        </w:rPr>
        <w:t>Is</w:t>
      </w:r>
      <w:proofErr w:type="gramEnd"/>
      <w:r w:rsidRPr="00D163F8">
        <w:rPr>
          <w:b/>
          <w:bCs/>
          <w:sz w:val="24"/>
          <w:szCs w:val="24"/>
        </w:rPr>
        <w:t xml:space="preserve"> there specific training or qualifications required to provide or deliver the proposed service, and/or any accreditation requirements to support delivery of the health technology? </w:t>
      </w:r>
    </w:p>
    <w:p w14:paraId="4E1F9F81" w14:textId="635DC74B" w:rsidR="00380C41" w:rsidRPr="00172602" w:rsidRDefault="005E38F9" w:rsidP="00BC0C43">
      <w:pPr>
        <w:rPr>
          <w:sz w:val="24"/>
          <w:szCs w:val="24"/>
        </w:rPr>
      </w:pPr>
      <w:r>
        <w:rPr>
          <w:sz w:val="24"/>
          <w:szCs w:val="24"/>
        </w:rPr>
        <w:t>Yes</w:t>
      </w:r>
    </w:p>
    <w:p w14:paraId="0E842550" w14:textId="4EA98943" w:rsidR="00380C41" w:rsidRPr="00D163F8" w:rsidRDefault="00380C41" w:rsidP="00D163F8">
      <w:pPr>
        <w:rPr>
          <w:b/>
          <w:bCs/>
          <w:sz w:val="24"/>
          <w:szCs w:val="24"/>
        </w:rPr>
      </w:pPr>
      <w:r w:rsidRPr="00D163F8">
        <w:rPr>
          <w:b/>
          <w:bCs/>
          <w:sz w:val="24"/>
          <w:szCs w:val="24"/>
        </w:rPr>
        <w:t>Provide details and explain:</w:t>
      </w:r>
    </w:p>
    <w:p w14:paraId="7002A155" w14:textId="01E415AE" w:rsidR="00582377" w:rsidRPr="00172602" w:rsidRDefault="005E38F9" w:rsidP="00EA0AA0">
      <w:pPr>
        <w:rPr>
          <w:rFonts w:eastAsia="Segoe UI"/>
          <w:color w:val="000000"/>
          <w:sz w:val="24"/>
          <w:szCs w:val="24"/>
        </w:rPr>
      </w:pPr>
      <w:r>
        <w:rPr>
          <w:sz w:val="24"/>
          <w:szCs w:val="24"/>
        </w:rPr>
        <w:t xml:space="preserve">Standard pathology accreditation applies to providing chemical pathology results. The use of AMH testing as part of the diagnosis of PMOS is recommended in the relevant </w:t>
      </w:r>
      <w:r>
        <w:rPr>
          <w:sz w:val="24"/>
          <w:szCs w:val="24"/>
        </w:rPr>
        <w:lastRenderedPageBreak/>
        <w:t xml:space="preserve">Australian clinical guidelines, developed by Monash University and endorsed by the NHMRC. </w:t>
      </w:r>
    </w:p>
    <w:p w14:paraId="54E88C9C" w14:textId="29E2DD0A" w:rsidR="00380C41" w:rsidRPr="00D163F8" w:rsidRDefault="00BB494A" w:rsidP="00D163F8">
      <w:pPr>
        <w:rPr>
          <w:i/>
          <w:iCs/>
        </w:rPr>
      </w:pPr>
      <w:r w:rsidRPr="00D163F8">
        <w:rPr>
          <w:b/>
          <w:bCs/>
          <w:sz w:val="24"/>
          <w:szCs w:val="24"/>
        </w:rPr>
        <w:t xml:space="preserve">Indicate the proposed setting(s) in which the proposed health technology will be delivered: </w:t>
      </w:r>
    </w:p>
    <w:p w14:paraId="4EC927B2" w14:textId="480081E4" w:rsidR="00582377" w:rsidRPr="00E410BF" w:rsidRDefault="00582377" w:rsidP="00E410BF">
      <w:pPr>
        <w:pStyle w:val="Instructions"/>
      </w:pPr>
      <w:r w:rsidRPr="00E410BF">
        <w:rPr>
          <w:rStyle w:val="InstructionsChar"/>
          <w:i/>
          <w:iCs/>
          <w:sz w:val="24"/>
          <w:szCs w:val="24"/>
        </w:rPr>
        <w:t>(Select all relevant settings)</w:t>
      </w:r>
    </w:p>
    <w:p w14:paraId="6C4BF8E1" w14:textId="6C344610" w:rsidR="00BC0C43" w:rsidRPr="00172602" w:rsidRDefault="00701150" w:rsidP="00582377">
      <w:pPr>
        <w:pStyle w:val="Tickboxes"/>
        <w:rPr>
          <w:sz w:val="24"/>
          <w:szCs w:val="24"/>
        </w:rPr>
      </w:pPr>
      <w:r>
        <w:rPr>
          <w:sz w:val="24"/>
          <w:szCs w:val="24"/>
        </w:rPr>
        <w:fldChar w:fldCharType="begin">
          <w:ffData>
            <w:name w:val=""/>
            <w:enabled/>
            <w:calcOnExit w:val="0"/>
            <w:statusText w:type="text" w:val="Proposed setting for delivery Consulting rooms"/>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C0C43" w:rsidRPr="00172602">
        <w:rPr>
          <w:sz w:val="24"/>
          <w:szCs w:val="24"/>
        </w:rPr>
        <w:t xml:space="preserve"> </w:t>
      </w:r>
      <w:r w:rsidR="00BB494A" w:rsidRPr="00172602">
        <w:rPr>
          <w:sz w:val="24"/>
          <w:szCs w:val="24"/>
        </w:rPr>
        <w:t>Consulting rooms</w:t>
      </w:r>
      <w:r w:rsidR="00380C41" w:rsidRPr="00172602">
        <w:rPr>
          <w:sz w:val="24"/>
          <w:szCs w:val="24"/>
        </w:rPr>
        <w:t xml:space="preserve"> </w:t>
      </w:r>
    </w:p>
    <w:p w14:paraId="27A91C50" w14:textId="111E8A76" w:rsidR="00380C41" w:rsidRPr="00172602" w:rsidRDefault="00701150" w:rsidP="00582377">
      <w:pPr>
        <w:pStyle w:val="Tickboxes"/>
        <w:rPr>
          <w:sz w:val="24"/>
          <w:szCs w:val="24"/>
        </w:rPr>
      </w:pPr>
      <w:r>
        <w:rPr>
          <w:sz w:val="24"/>
          <w:szCs w:val="24"/>
        </w:rPr>
        <w:fldChar w:fldCharType="begin">
          <w:ffData>
            <w:name w:val=""/>
            <w:enabled/>
            <w:calcOnExit w:val="0"/>
            <w:statusText w:type="text" w:val="Proposed setting for delivery Day surgery centre"/>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172602">
        <w:rPr>
          <w:sz w:val="24"/>
          <w:szCs w:val="24"/>
        </w:rPr>
        <w:t xml:space="preserve"> </w:t>
      </w:r>
      <w:r w:rsidR="00BB494A" w:rsidRPr="00172602">
        <w:rPr>
          <w:sz w:val="24"/>
          <w:szCs w:val="24"/>
        </w:rPr>
        <w:t>Day surgery centre</w:t>
      </w:r>
    </w:p>
    <w:p w14:paraId="1DAFF305" w14:textId="605EA1A2" w:rsidR="00380C41" w:rsidRPr="00172602" w:rsidRDefault="00BF33FE" w:rsidP="00582377">
      <w:pPr>
        <w:pStyle w:val="Tickboxes"/>
        <w:rPr>
          <w:sz w:val="24"/>
          <w:szCs w:val="24"/>
        </w:rPr>
      </w:pPr>
      <w:r>
        <w:rPr>
          <w:sz w:val="24"/>
          <w:szCs w:val="24"/>
        </w:rPr>
        <w:fldChar w:fldCharType="begin">
          <w:ffData>
            <w:name w:val=""/>
            <w:enabled/>
            <w:calcOnExit w:val="0"/>
            <w:statusText w:type="text" w:val="Proposed setting for delivery Emergency Department"/>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172602">
        <w:rPr>
          <w:sz w:val="24"/>
          <w:szCs w:val="24"/>
        </w:rPr>
        <w:t xml:space="preserve"> </w:t>
      </w:r>
      <w:r w:rsidR="00BB494A" w:rsidRPr="00172602">
        <w:rPr>
          <w:sz w:val="24"/>
          <w:szCs w:val="24"/>
        </w:rPr>
        <w:t>Emergency Department</w:t>
      </w:r>
      <w:r w:rsidR="00380C41" w:rsidRPr="00172602">
        <w:rPr>
          <w:sz w:val="24"/>
          <w:szCs w:val="24"/>
        </w:rPr>
        <w:t xml:space="preserve"> </w:t>
      </w:r>
    </w:p>
    <w:p w14:paraId="020AC503" w14:textId="77C1FA61" w:rsidR="00380C41" w:rsidRPr="00172602" w:rsidRDefault="00701150" w:rsidP="00582377">
      <w:pPr>
        <w:pStyle w:val="Tickboxes"/>
        <w:rPr>
          <w:sz w:val="24"/>
          <w:szCs w:val="24"/>
        </w:rPr>
      </w:pPr>
      <w:r>
        <w:rPr>
          <w:sz w:val="24"/>
          <w:szCs w:val="24"/>
        </w:rPr>
        <w:fldChar w:fldCharType="begin">
          <w:ffData>
            <w:name w:val=""/>
            <w:enabled/>
            <w:calcOnExit w:val="0"/>
            <w:statusText w:type="text" w:val="Proposed setting for delivery Inpatient private hospital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172602">
        <w:rPr>
          <w:sz w:val="24"/>
          <w:szCs w:val="24"/>
        </w:rPr>
        <w:t xml:space="preserve"> </w:t>
      </w:r>
      <w:r w:rsidR="00BB494A" w:rsidRPr="00172602">
        <w:rPr>
          <w:sz w:val="24"/>
          <w:szCs w:val="24"/>
        </w:rPr>
        <w:t>Inpatient private hospital</w:t>
      </w:r>
    </w:p>
    <w:p w14:paraId="6E8C6D7D" w14:textId="5F53617D"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Inpatient public hospital"/>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Inpatient public hospital</w:t>
      </w:r>
    </w:p>
    <w:p w14:paraId="1C5133DF" w14:textId="0B9D0F95" w:rsidR="00BB494A" w:rsidRPr="00172602" w:rsidRDefault="005E38F9" w:rsidP="00582377">
      <w:pPr>
        <w:pStyle w:val="Tickboxes"/>
        <w:rPr>
          <w:sz w:val="24"/>
          <w:szCs w:val="24"/>
        </w:rPr>
      </w:pPr>
      <w:r>
        <w:rPr>
          <w:sz w:val="24"/>
          <w:szCs w:val="24"/>
        </w:rPr>
        <w:fldChar w:fldCharType="begin">
          <w:ffData>
            <w:name w:val=""/>
            <w:enabled/>
            <w:calcOnExit w:val="0"/>
            <w:statusText w:type="text" w:val="Proposed setting for delivery Laboratory"/>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Laboratory</w:t>
      </w:r>
    </w:p>
    <w:p w14:paraId="723FB55F" w14:textId="338D4638" w:rsidR="00BB494A" w:rsidRPr="00172602" w:rsidRDefault="00196EE9" w:rsidP="00582377">
      <w:pPr>
        <w:pStyle w:val="Tickboxes"/>
        <w:rPr>
          <w:sz w:val="24"/>
          <w:szCs w:val="24"/>
        </w:rPr>
      </w:pPr>
      <w:r>
        <w:rPr>
          <w:sz w:val="24"/>
          <w:szCs w:val="24"/>
        </w:rPr>
        <w:fldChar w:fldCharType="begin">
          <w:ffData>
            <w:name w:val=""/>
            <w:enabled/>
            <w:calcOnExit w:val="0"/>
            <w:statusText w:type="text" w:val="Proposed setting for delivery Outpatient clinic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Outpatient clinic </w:t>
      </w:r>
    </w:p>
    <w:p w14:paraId="111DE2AB" w14:textId="7EB39C16"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Patient’s home"/>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Patient’s home</w:t>
      </w:r>
    </w:p>
    <w:p w14:paraId="428D75FD" w14:textId="6EF92FF1"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Point of care testing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Point of care testing </w:t>
      </w:r>
    </w:p>
    <w:p w14:paraId="47F449C5" w14:textId="31522402"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Residential aged care facilit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Residential aged care facility</w:t>
      </w:r>
    </w:p>
    <w:bookmarkStart w:id="0" w:name="_Hlk181704751"/>
    <w:p w14:paraId="594B3A20" w14:textId="3B2FD047" w:rsidR="00BB494A" w:rsidRPr="00172602" w:rsidRDefault="00EC01FA" w:rsidP="00582377">
      <w:pPr>
        <w:pStyle w:val="Tickboxes"/>
        <w:rPr>
          <w:sz w:val="24"/>
          <w:szCs w:val="24"/>
        </w:rPr>
      </w:pPr>
      <w:r>
        <w:rPr>
          <w:sz w:val="24"/>
          <w:szCs w:val="24"/>
        </w:rPr>
        <w:fldChar w:fldCharType="begin">
          <w:ffData>
            <w:name w:val=""/>
            <w:enabled/>
            <w:calcOnExit w:val="0"/>
            <w:statusText w:type="text" w:val="Proposed setting for delivery Other (please specify)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Other (please specify</w:t>
      </w:r>
      <w:bookmarkEnd w:id="0"/>
      <w:r w:rsidR="00BB494A" w:rsidRPr="00172602">
        <w:rPr>
          <w:sz w:val="24"/>
          <w:szCs w:val="24"/>
        </w:rPr>
        <w:t xml:space="preserve">) </w:t>
      </w:r>
    </w:p>
    <w:p w14:paraId="0D56AD3D" w14:textId="25F0B217" w:rsidR="00BB494A" w:rsidRPr="00172602" w:rsidRDefault="00BB494A" w:rsidP="00BC0C43">
      <w:pPr>
        <w:rPr>
          <w:rFonts w:eastAsia="Segoe UI"/>
          <w:color w:val="000000"/>
          <w:sz w:val="24"/>
          <w:szCs w:val="24"/>
        </w:rPr>
      </w:pPr>
      <w:r w:rsidRPr="00172602">
        <w:rPr>
          <w:sz w:val="24"/>
          <w:szCs w:val="24"/>
        </w:rPr>
        <w:fldChar w:fldCharType="begin">
          <w:ffData>
            <w:name w:val=""/>
            <w:enabled/>
            <w:calcOnExit w:val="0"/>
            <w:textInput>
              <w:default w:val="Specify further details here"/>
            </w:textInput>
          </w:ffData>
        </w:fldChar>
      </w:r>
      <w:r w:rsidRPr="00172602">
        <w:rPr>
          <w:sz w:val="24"/>
          <w:szCs w:val="24"/>
        </w:rPr>
        <w:instrText xml:space="preserve"> FORMTEXT </w:instrText>
      </w:r>
      <w:r w:rsidRPr="00172602">
        <w:rPr>
          <w:sz w:val="24"/>
          <w:szCs w:val="24"/>
        </w:rPr>
      </w:r>
      <w:r w:rsidRPr="00172602">
        <w:rPr>
          <w:sz w:val="24"/>
          <w:szCs w:val="24"/>
        </w:rPr>
        <w:fldChar w:fldCharType="separate"/>
      </w:r>
      <w:r w:rsidR="00010AAA" w:rsidRPr="00172602">
        <w:rPr>
          <w:noProof/>
          <w:sz w:val="24"/>
          <w:szCs w:val="24"/>
        </w:rPr>
        <w:t>Specify further details here</w:t>
      </w:r>
      <w:r w:rsidRPr="00172602">
        <w:rPr>
          <w:sz w:val="24"/>
          <w:szCs w:val="24"/>
        </w:rPr>
        <w:fldChar w:fldCharType="end"/>
      </w:r>
    </w:p>
    <w:p w14:paraId="2A1C0D0A" w14:textId="3D79FC0A" w:rsidR="002D7216" w:rsidRPr="00D163F8" w:rsidRDefault="002D7216" w:rsidP="00D163F8">
      <w:pPr>
        <w:rPr>
          <w:b/>
          <w:bCs/>
          <w:sz w:val="24"/>
          <w:szCs w:val="24"/>
        </w:rPr>
      </w:pPr>
      <w:r w:rsidRPr="00D163F8">
        <w:rPr>
          <w:b/>
          <w:bCs/>
          <w:sz w:val="24"/>
          <w:szCs w:val="24"/>
        </w:rPr>
        <w:t xml:space="preserve">Is the proposed health technology intended to be entirely rendered inside Australia? </w:t>
      </w:r>
    </w:p>
    <w:p w14:paraId="0478F3B1" w14:textId="6BC0C566" w:rsidR="002D7216" w:rsidRPr="00172602" w:rsidRDefault="002D7216" w:rsidP="00BC0C43">
      <w:pPr>
        <w:rPr>
          <w:sz w:val="24"/>
          <w:szCs w:val="24"/>
        </w:rPr>
      </w:pPr>
      <w:r w:rsidRPr="00172602">
        <w:rPr>
          <w:sz w:val="24"/>
          <w:szCs w:val="24"/>
          <w:highlight w:val="lightGray"/>
        </w:rPr>
        <w:t>Yes</w:t>
      </w:r>
    </w:p>
    <w:p w14:paraId="659D2B35" w14:textId="6E584A32" w:rsidR="002D7216" w:rsidRPr="00D163F8" w:rsidRDefault="00EA0AA0" w:rsidP="00D163F8">
      <w:pPr>
        <w:rPr>
          <w:b/>
          <w:bCs/>
          <w:sz w:val="24"/>
          <w:szCs w:val="24"/>
        </w:rPr>
      </w:pPr>
      <w:r w:rsidRPr="00D163F8">
        <w:rPr>
          <w:b/>
          <w:bCs/>
          <w:sz w:val="24"/>
          <w:szCs w:val="24"/>
        </w:rPr>
        <w:t>P</w:t>
      </w:r>
      <w:r w:rsidR="002D7216" w:rsidRPr="00D163F8">
        <w:rPr>
          <w:b/>
          <w:bCs/>
          <w:sz w:val="24"/>
          <w:szCs w:val="24"/>
        </w:rPr>
        <w:t>rovide additional details on the proposed health technology to be rendered outside of Australia:</w:t>
      </w:r>
    </w:p>
    <w:p w14:paraId="598F6A3E" w14:textId="6C22BB5B" w:rsidR="002D7216" w:rsidRPr="00172602" w:rsidRDefault="005E38F9" w:rsidP="00BC0C43">
      <w:pPr>
        <w:rPr>
          <w:rFonts w:eastAsia="Segoe UI"/>
          <w:color w:val="000000"/>
          <w:sz w:val="24"/>
          <w:szCs w:val="24"/>
        </w:rPr>
      </w:pPr>
      <w:r>
        <w:rPr>
          <w:sz w:val="24"/>
          <w:szCs w:val="24"/>
        </w:rPr>
        <w:t>Not applicable</w:t>
      </w:r>
    </w:p>
    <w:p w14:paraId="5B9D9A2F" w14:textId="5569185C" w:rsidR="00FE257E" w:rsidRPr="003F4E49" w:rsidRDefault="00FE257E" w:rsidP="00EA0AA0">
      <w:pPr>
        <w:pStyle w:val="Heading1"/>
      </w:pPr>
      <w:r w:rsidRPr="00A84BCA">
        <w:rPr>
          <w:color w:val="002060"/>
        </w:rPr>
        <w:t>Comparator</w:t>
      </w:r>
    </w:p>
    <w:p w14:paraId="4FFBF7A2" w14:textId="68C9C7EE" w:rsidR="00FE257E" w:rsidRPr="00D163F8" w:rsidRDefault="00FE257E" w:rsidP="00D163F8">
      <w:pPr>
        <w:rPr>
          <w:b/>
          <w:bCs/>
          <w:sz w:val="24"/>
          <w:szCs w:val="24"/>
        </w:rPr>
      </w:pPr>
      <w:r w:rsidRPr="00D163F8">
        <w:rPr>
          <w:b/>
          <w:bCs/>
          <w:sz w:val="24"/>
          <w:szCs w:val="24"/>
        </w:rPr>
        <w:t>Nominate the appropriate comparator(s) for the proposed medical service (i.e.</w:t>
      </w:r>
      <w:r w:rsidR="00010AAA" w:rsidRPr="00D163F8">
        <w:rPr>
          <w:b/>
          <w:bCs/>
          <w:sz w:val="24"/>
          <w:szCs w:val="24"/>
        </w:rPr>
        <w:t>,</w:t>
      </w:r>
      <w:r w:rsidRPr="00D163F8">
        <w:rPr>
          <w:b/>
          <w:bCs/>
          <w:sz w:val="24"/>
          <w:szCs w:val="24"/>
        </w:rPr>
        <w:t xml:space="preserve"> how is the proposed population currently managed in the absence of the proposed medical service being available in the Australian healthcare system). This includes identifying healthcare resources that are needed to be delivered at the same time as the comparator service:</w:t>
      </w:r>
    </w:p>
    <w:p w14:paraId="4045D601" w14:textId="77777777" w:rsidR="00B81B47" w:rsidRPr="00B81B47" w:rsidRDefault="00B81B47" w:rsidP="00B81B47">
      <w:pPr>
        <w:rPr>
          <w:sz w:val="24"/>
          <w:szCs w:val="24"/>
        </w:rPr>
      </w:pPr>
      <w:r w:rsidRPr="00B81B47">
        <w:rPr>
          <w:sz w:val="24"/>
          <w:szCs w:val="24"/>
        </w:rPr>
        <w:t>Nomination of comparators for AMH testing for PCOM identification was informed by the recommendations outlined in the 2023 Guidelines. Based on the recommendations made in this clinical practice guidelines the nominated comparator is ultrasound (Table 1).</w:t>
      </w:r>
    </w:p>
    <w:p w14:paraId="522FBA61" w14:textId="77777777" w:rsidR="00B81B47" w:rsidRPr="00B81B47" w:rsidRDefault="00B81B47" w:rsidP="00B81B47">
      <w:pPr>
        <w:rPr>
          <w:sz w:val="24"/>
          <w:szCs w:val="24"/>
        </w:rPr>
      </w:pPr>
      <w:r w:rsidRPr="00B81B47">
        <w:rPr>
          <w:sz w:val="24"/>
          <w:szCs w:val="24"/>
        </w:rPr>
        <w:t>Ultrasound is the primary imaging modality used to measure these parameters in the diagnosis of polycystic ovary syndrome (PCOS). Diagnostic performance depends on both the imaging approach and the method used to record ovarian morphology:</w:t>
      </w:r>
    </w:p>
    <w:p w14:paraId="0C0E0929" w14:textId="77777777" w:rsidR="00B81B47" w:rsidRPr="00B81B47" w:rsidRDefault="00B81B47" w:rsidP="00B81B47">
      <w:pPr>
        <w:numPr>
          <w:ilvl w:val="0"/>
          <w:numId w:val="3"/>
        </w:numPr>
        <w:rPr>
          <w:sz w:val="24"/>
          <w:szCs w:val="24"/>
        </w:rPr>
      </w:pPr>
      <w:r w:rsidRPr="00B81B47">
        <w:rPr>
          <w:sz w:val="24"/>
          <w:szCs w:val="24"/>
        </w:rPr>
        <w:t xml:space="preserve">Transvaginal ultrasound (TVUS) – Considered the gold-standard approach for ovarian assessment. TVUS provides high-resolution visualization of the ovaries, allowing accurate measurement of FNPO, FNPS, OV, and stromal characteristics. It </w:t>
      </w:r>
      <w:r w:rsidRPr="00B81B47">
        <w:rPr>
          <w:sz w:val="24"/>
          <w:szCs w:val="24"/>
        </w:rPr>
        <w:lastRenderedPageBreak/>
        <w:t>is recommended where feasible and acceptable to the patient due to its superior diagnostic accuracy.</w:t>
      </w:r>
    </w:p>
    <w:p w14:paraId="11822F48" w14:textId="77777777" w:rsidR="00B81B47" w:rsidRPr="00B81B47" w:rsidRDefault="00B81B47" w:rsidP="00B81B47">
      <w:pPr>
        <w:numPr>
          <w:ilvl w:val="0"/>
          <w:numId w:val="3"/>
        </w:numPr>
        <w:rPr>
          <w:sz w:val="24"/>
          <w:szCs w:val="24"/>
        </w:rPr>
      </w:pPr>
      <w:r w:rsidRPr="00B81B47">
        <w:rPr>
          <w:sz w:val="24"/>
          <w:szCs w:val="24"/>
        </w:rPr>
        <w:t>Transabdominal ultrasound (TAUS) – Used when TVUS is not feasible or acceptable (e.g., in adolescents or individuals who decline TVUS). TAUS is non-invasive but has lower spatial resolution and reduced sensitivity for follicle detection. As a result, FNPO and OV may be less accurate, and FNPS and OV are more commonly relied upon in these cases.</w:t>
      </w:r>
    </w:p>
    <w:p w14:paraId="4A5C9846" w14:textId="77777777" w:rsidR="00B81B47" w:rsidRPr="00B81B47" w:rsidRDefault="00B81B47" w:rsidP="00B81B47">
      <w:pPr>
        <w:rPr>
          <w:sz w:val="24"/>
          <w:szCs w:val="24"/>
        </w:rPr>
      </w:pPr>
      <w:r w:rsidRPr="00B81B47">
        <w:rPr>
          <w:sz w:val="24"/>
          <w:szCs w:val="24"/>
        </w:rPr>
        <w:t>In conjunction with using one of the above methods, ovarian morphology can be evaluated using several measurements:</w:t>
      </w:r>
    </w:p>
    <w:p w14:paraId="5D4A9B55" w14:textId="77777777" w:rsidR="00B81B47" w:rsidRPr="00B81B47" w:rsidRDefault="00B81B47" w:rsidP="00B81B47">
      <w:pPr>
        <w:numPr>
          <w:ilvl w:val="0"/>
          <w:numId w:val="4"/>
        </w:numPr>
        <w:rPr>
          <w:sz w:val="24"/>
          <w:szCs w:val="24"/>
        </w:rPr>
      </w:pPr>
      <w:r w:rsidRPr="00B81B47">
        <w:rPr>
          <w:sz w:val="24"/>
          <w:szCs w:val="24"/>
        </w:rPr>
        <w:t>Follicle number per ovary (FNPO) – The total number of small follicles (typically 2–9 mm in diameter) in a single ovary. FNPO provides a comprehensive assessment of polycystic morphology and is preferred when feasible.</w:t>
      </w:r>
    </w:p>
    <w:p w14:paraId="1235E6EB" w14:textId="77777777" w:rsidR="00B81B47" w:rsidRPr="00B81B47" w:rsidRDefault="00B81B47" w:rsidP="00B81B47">
      <w:pPr>
        <w:numPr>
          <w:ilvl w:val="0"/>
          <w:numId w:val="4"/>
        </w:numPr>
        <w:rPr>
          <w:sz w:val="24"/>
          <w:szCs w:val="24"/>
        </w:rPr>
      </w:pPr>
      <w:r w:rsidRPr="00B81B47">
        <w:rPr>
          <w:sz w:val="24"/>
          <w:szCs w:val="24"/>
        </w:rPr>
        <w:t>Follicle number per single section (FNPS) – The number of follicles visible in a single cross-section of the ovary. FNPS is often used when full visualization of the ovary is limited.</w:t>
      </w:r>
    </w:p>
    <w:p w14:paraId="38E89372" w14:textId="77777777" w:rsidR="00B81B47" w:rsidRPr="00B81B47" w:rsidRDefault="00B81B47" w:rsidP="00B81B47">
      <w:pPr>
        <w:numPr>
          <w:ilvl w:val="0"/>
          <w:numId w:val="5"/>
        </w:numPr>
        <w:rPr>
          <w:sz w:val="24"/>
          <w:szCs w:val="24"/>
        </w:rPr>
      </w:pPr>
      <w:r w:rsidRPr="00B81B47">
        <w:rPr>
          <w:sz w:val="24"/>
          <w:szCs w:val="24"/>
        </w:rPr>
        <w:t>Ovarian volume (OV) – The total volume of the ovary, calculated from its dimensions. OV can serve as an alternative measure when follicle counts are difficult to obtain.</w:t>
      </w:r>
    </w:p>
    <w:p w14:paraId="4D6D6098" w14:textId="77777777" w:rsidR="00B81B47" w:rsidRPr="00B81B47" w:rsidRDefault="00B81B47" w:rsidP="00B81B47">
      <w:pPr>
        <w:rPr>
          <w:sz w:val="24"/>
          <w:szCs w:val="24"/>
        </w:rPr>
      </w:pPr>
      <w:r w:rsidRPr="00B81B47">
        <w:rPr>
          <w:sz w:val="24"/>
          <w:szCs w:val="24"/>
        </w:rPr>
        <w:t>These assessments are typically performed by a specialist, such as an obstetrician–gynaecologist, due to the expertise required for accurate measurement and interpretation. Access to specialist-performed ultrasound may be limited in some settings, which can create delays in diagnosis or require patients to travel to larger centres with appropriate expertise.</w:t>
      </w:r>
    </w:p>
    <w:p w14:paraId="781F7B6F" w14:textId="77777777" w:rsidR="00B81B47" w:rsidRPr="00B81B47" w:rsidRDefault="00B81B47" w:rsidP="00B81B47">
      <w:pPr>
        <w:rPr>
          <w:sz w:val="24"/>
          <w:szCs w:val="24"/>
        </w:rPr>
      </w:pPr>
      <w:r w:rsidRPr="00B81B47">
        <w:rPr>
          <w:sz w:val="24"/>
          <w:szCs w:val="24"/>
        </w:rPr>
        <w:t>These assessments are typically performed by a specialist, such as an obstetrician–gynaecologist, due to the expertise required for accurate measurement and interpretation. Access to specialist-performed ultrasound may be limited in some settings, potentially creating delays in diagnosis or requiring patients to travel to larger centres with appropriate expertise. In addition, the accuracy of ultrasound assessment can vary depending on several factors, including the operator’s experience, the ultrasound method used (transvaginal vs. transabdominal), and the type of ovarian measurement captured (FNPO, FNPS, or ovarian volume). These sources of variability can lead to differences in diagnostic performance across settings, which may affect consistency and reliability of PCOM identification.</w:t>
      </w:r>
    </w:p>
    <w:p w14:paraId="6ACF57D1" w14:textId="77777777" w:rsidR="00B81B47" w:rsidRPr="00B81B47" w:rsidRDefault="00B81B47" w:rsidP="00B81B47">
      <w:pPr>
        <w:rPr>
          <w:sz w:val="24"/>
          <w:szCs w:val="24"/>
        </w:rPr>
      </w:pPr>
      <w:r w:rsidRPr="00B81B47">
        <w:rPr>
          <w:i/>
          <w:iCs/>
          <w:sz w:val="24"/>
          <w:szCs w:val="24"/>
        </w:rPr>
        <w:t>Table 1: Nominated comparator</w:t>
      </w:r>
    </w:p>
    <w:tbl>
      <w:tblPr>
        <w:tblW w:w="0" w:type="auto"/>
        <w:tblCellMar>
          <w:top w:w="15" w:type="dxa"/>
          <w:left w:w="15" w:type="dxa"/>
          <w:bottom w:w="15" w:type="dxa"/>
          <w:right w:w="15" w:type="dxa"/>
        </w:tblCellMar>
        <w:tblLook w:val="04A0" w:firstRow="1" w:lastRow="0" w:firstColumn="1" w:lastColumn="0" w:noHBand="0" w:noVBand="1"/>
      </w:tblPr>
      <w:tblGrid>
        <w:gridCol w:w="1555"/>
        <w:gridCol w:w="5457"/>
        <w:gridCol w:w="2465"/>
      </w:tblGrid>
      <w:tr w:rsidR="00B81B47" w:rsidRPr="00B81B47" w14:paraId="781C940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8EEED" w14:textId="77777777" w:rsidR="00B81B47" w:rsidRPr="00B81B47" w:rsidRDefault="00B81B47" w:rsidP="00B81B47">
            <w:pPr>
              <w:rPr>
                <w:sz w:val="24"/>
                <w:szCs w:val="24"/>
              </w:rPr>
            </w:pPr>
            <w:r w:rsidRPr="00B81B47">
              <w:rPr>
                <w:b/>
                <w:bCs/>
                <w:sz w:val="24"/>
                <w:szCs w:val="24"/>
              </w:rPr>
              <w:t>Comparator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2D9A1" w14:textId="77777777" w:rsidR="00B81B47" w:rsidRPr="00B81B47" w:rsidRDefault="00B81B47" w:rsidP="00B81B47">
            <w:pPr>
              <w:rPr>
                <w:sz w:val="24"/>
                <w:szCs w:val="24"/>
              </w:rPr>
            </w:pPr>
            <w:r w:rsidRPr="00B81B47">
              <w:rPr>
                <w:b/>
                <w:bCs/>
                <w:sz w:val="24"/>
                <w:szCs w:val="24"/>
              </w:rPr>
              <w:t>Recommended Use: Guidelines 2023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3E607" w14:textId="77777777" w:rsidR="00B81B47" w:rsidRPr="00B81B47" w:rsidRDefault="00B81B47" w:rsidP="00B81B47">
            <w:pPr>
              <w:rPr>
                <w:sz w:val="24"/>
                <w:szCs w:val="24"/>
              </w:rPr>
            </w:pPr>
            <w:r w:rsidRPr="00B81B47">
              <w:rPr>
                <w:b/>
                <w:bCs/>
                <w:sz w:val="24"/>
                <w:szCs w:val="24"/>
              </w:rPr>
              <w:t>Thresholds</w:t>
            </w:r>
          </w:p>
        </w:tc>
      </w:tr>
      <w:tr w:rsidR="00B81B47" w:rsidRPr="00B81B47" w14:paraId="4A9C318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6AEC5" w14:textId="77777777" w:rsidR="00B81B47" w:rsidRPr="00B81B47" w:rsidRDefault="00B81B47" w:rsidP="00B81B47">
            <w:pPr>
              <w:rPr>
                <w:sz w:val="24"/>
                <w:szCs w:val="24"/>
              </w:rPr>
            </w:pPr>
            <w:r w:rsidRPr="00B81B47">
              <w:rPr>
                <w:sz w:val="24"/>
                <w:szCs w:val="24"/>
              </w:rPr>
              <w:t>Ultrasound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BB5A0" w14:textId="77777777" w:rsidR="00B81B47" w:rsidRPr="00B81B47" w:rsidRDefault="00B81B47" w:rsidP="00B81B47">
            <w:pPr>
              <w:rPr>
                <w:sz w:val="24"/>
                <w:szCs w:val="24"/>
              </w:rPr>
            </w:pPr>
            <w:r w:rsidRPr="00B81B47">
              <w:rPr>
                <w:sz w:val="24"/>
                <w:szCs w:val="24"/>
              </w:rPr>
              <w:t xml:space="preserve">TVUS is the preferred and most accurate modality for assessing polycystic ovarian morphology (PCOM) when ultrasound is </w:t>
            </w:r>
            <w:r w:rsidRPr="00B81B47">
              <w:rPr>
                <w:sz w:val="24"/>
                <w:szCs w:val="24"/>
              </w:rPr>
              <w:lastRenderedPageBreak/>
              <w:t>indicated and acceptable to the individual. Enables full visualisation of ovarian morphology.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8390EB" w14:textId="77777777" w:rsidR="00B81B47" w:rsidRPr="00B81B47" w:rsidRDefault="00B81B47" w:rsidP="00B81B47">
            <w:pPr>
              <w:rPr>
                <w:sz w:val="24"/>
                <w:szCs w:val="24"/>
              </w:rPr>
            </w:pPr>
            <w:r w:rsidRPr="00B81B47">
              <w:rPr>
                <w:sz w:val="24"/>
                <w:szCs w:val="24"/>
              </w:rPr>
              <w:lastRenderedPageBreak/>
              <w:t>• Follicle number per ovary (FNPO): ≥ 20 follicles in at least one ovary</w:t>
            </w:r>
          </w:p>
          <w:p w14:paraId="6E5B6062" w14:textId="77777777" w:rsidR="00B81B47" w:rsidRPr="00B81B47" w:rsidRDefault="00B81B47" w:rsidP="00B81B47">
            <w:pPr>
              <w:rPr>
                <w:sz w:val="24"/>
                <w:szCs w:val="24"/>
              </w:rPr>
            </w:pPr>
            <w:r w:rsidRPr="00B81B47">
              <w:rPr>
                <w:sz w:val="24"/>
                <w:szCs w:val="24"/>
              </w:rPr>
              <w:lastRenderedPageBreak/>
              <w:t>• Follicle size: 2–9 mm in diameter</w:t>
            </w:r>
          </w:p>
          <w:p w14:paraId="428D87B6" w14:textId="77777777" w:rsidR="00B81B47" w:rsidRPr="00B81B47" w:rsidRDefault="00B81B47" w:rsidP="00B81B47">
            <w:pPr>
              <w:rPr>
                <w:sz w:val="24"/>
                <w:szCs w:val="24"/>
              </w:rPr>
            </w:pPr>
            <w:r w:rsidRPr="00B81B47">
              <w:rPr>
                <w:sz w:val="24"/>
                <w:szCs w:val="24"/>
              </w:rPr>
              <w:t>• Ovarian volume (OV): ≥ 10 mL (if FNPO not available)</w:t>
            </w:r>
          </w:p>
        </w:tc>
      </w:tr>
    </w:tbl>
    <w:p w14:paraId="6525BF4B" w14:textId="77777777" w:rsidR="00B81B47" w:rsidRPr="00B81B47" w:rsidRDefault="00B81B47" w:rsidP="00B81B47">
      <w:pPr>
        <w:rPr>
          <w:sz w:val="24"/>
          <w:szCs w:val="24"/>
        </w:rPr>
      </w:pPr>
      <w:r w:rsidRPr="00B81B47">
        <w:rPr>
          <w:sz w:val="24"/>
          <w:szCs w:val="24"/>
        </w:rPr>
        <w:lastRenderedPageBreak/>
        <w:t>Source: p. 62 and 63 of the 2023 Guidelines</w:t>
      </w:r>
    </w:p>
    <w:p w14:paraId="3E3431F7" w14:textId="71478296" w:rsidR="00FE257E" w:rsidRPr="00D163F8" w:rsidRDefault="00955904" w:rsidP="00D163F8">
      <w:pPr>
        <w:rPr>
          <w:b/>
          <w:bCs/>
          <w:sz w:val="24"/>
          <w:szCs w:val="24"/>
        </w:rPr>
      </w:pPr>
      <w:r w:rsidRPr="00D163F8">
        <w:rPr>
          <w:b/>
          <w:bCs/>
          <w:sz w:val="24"/>
          <w:szCs w:val="24"/>
        </w:rPr>
        <w:t>List any existing MBS item numbers that are relevant for the nominated comparators</w:t>
      </w:r>
      <w:r w:rsidR="000627EF" w:rsidRPr="00D163F8">
        <w:rPr>
          <w:b/>
          <w:bCs/>
          <w:sz w:val="24"/>
          <w:szCs w:val="24"/>
        </w:rPr>
        <w:t>:</w:t>
      </w:r>
      <w:r w:rsidR="00FE257E" w:rsidRPr="00D163F8">
        <w:rPr>
          <w:b/>
          <w:bCs/>
          <w:sz w:val="24"/>
          <w:szCs w:val="24"/>
        </w:rPr>
        <w:t xml:space="preserve"> </w:t>
      </w:r>
    </w:p>
    <w:tbl>
      <w:tblPr>
        <w:tblW w:w="9026" w:type="dxa"/>
        <w:tblCellMar>
          <w:top w:w="15" w:type="dxa"/>
          <w:left w:w="15" w:type="dxa"/>
          <w:bottom w:w="15" w:type="dxa"/>
          <w:right w:w="15" w:type="dxa"/>
        </w:tblCellMar>
        <w:tblLook w:val="04A0" w:firstRow="1" w:lastRow="0" w:firstColumn="1" w:lastColumn="0" w:noHBand="0" w:noVBand="1"/>
      </w:tblPr>
      <w:tblGrid>
        <w:gridCol w:w="6905"/>
        <w:gridCol w:w="2121"/>
      </w:tblGrid>
      <w:tr w:rsidR="00174D43" w:rsidRPr="00174D43" w14:paraId="5E14682A" w14:textId="77777777" w:rsidTr="00470A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0D97C" w14:textId="77777777" w:rsidR="00174D43" w:rsidRPr="00174D43" w:rsidRDefault="00174D43" w:rsidP="00174D43">
            <w:pPr>
              <w:rPr>
                <w:sz w:val="24"/>
                <w:szCs w:val="24"/>
              </w:rPr>
            </w:pPr>
            <w:r w:rsidRPr="00174D43">
              <w:rPr>
                <w:b/>
                <w:bCs/>
                <w:sz w:val="24"/>
                <w:szCs w:val="24"/>
              </w:rPr>
              <w:t>Comparator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C4343B" w14:textId="77777777" w:rsidR="00174D43" w:rsidRPr="00174D43" w:rsidRDefault="00174D43" w:rsidP="00174D43">
            <w:pPr>
              <w:rPr>
                <w:sz w:val="24"/>
                <w:szCs w:val="24"/>
              </w:rPr>
            </w:pPr>
            <w:r w:rsidRPr="00174D43">
              <w:rPr>
                <w:b/>
                <w:bCs/>
                <w:sz w:val="24"/>
                <w:szCs w:val="24"/>
              </w:rPr>
              <w:t>MBS item numbers</w:t>
            </w:r>
          </w:p>
        </w:tc>
      </w:tr>
      <w:tr w:rsidR="00174D43" w:rsidRPr="00174D43" w14:paraId="7CB6E2B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CFDF4" w14:textId="77777777" w:rsidR="00174D43" w:rsidRPr="00174D43" w:rsidRDefault="00174D43" w:rsidP="00174D43">
            <w:pPr>
              <w:rPr>
                <w:sz w:val="24"/>
                <w:szCs w:val="24"/>
              </w:rPr>
            </w:pPr>
            <w:r w:rsidRPr="00174D43">
              <w:rPr>
                <w:sz w:val="24"/>
                <w:szCs w:val="24"/>
              </w:rPr>
              <w:t>Pelvic Ultrasound (including transvaginal and transabdominal)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76CA8" w14:textId="77777777" w:rsidR="00174D43" w:rsidRPr="00174D43" w:rsidRDefault="00174D43" w:rsidP="00174D43">
            <w:pPr>
              <w:rPr>
                <w:sz w:val="24"/>
                <w:szCs w:val="24"/>
              </w:rPr>
            </w:pPr>
            <w:r w:rsidRPr="00174D43">
              <w:rPr>
                <w:sz w:val="24"/>
                <w:szCs w:val="24"/>
              </w:rPr>
              <w:t>55065</w:t>
            </w:r>
          </w:p>
          <w:p w14:paraId="50703BE7" w14:textId="77777777" w:rsidR="00174D43" w:rsidRPr="00174D43" w:rsidRDefault="00174D43" w:rsidP="00174D43">
            <w:pPr>
              <w:rPr>
                <w:sz w:val="24"/>
                <w:szCs w:val="24"/>
              </w:rPr>
            </w:pPr>
          </w:p>
        </w:tc>
      </w:tr>
      <w:tr w:rsidR="00174D43" w:rsidRPr="00174D43" w14:paraId="0BD1534F" w14:textId="77777777">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43923" w14:textId="77777777" w:rsidR="00174D43" w:rsidRPr="00174D43" w:rsidRDefault="00174D43" w:rsidP="00174D43">
            <w:pPr>
              <w:rPr>
                <w:sz w:val="24"/>
                <w:szCs w:val="24"/>
              </w:rPr>
            </w:pPr>
            <w:r w:rsidRPr="00174D43">
              <w:rPr>
                <w:sz w:val="24"/>
                <w:szCs w:val="24"/>
              </w:rPr>
              <w:t>Complicated Pelvic Ultrasound (including transvaginal and transabdominal)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B09F18" w14:textId="77777777" w:rsidR="00174D43" w:rsidRPr="00174D43" w:rsidRDefault="00174D43" w:rsidP="00174D43">
            <w:pPr>
              <w:rPr>
                <w:sz w:val="24"/>
                <w:szCs w:val="24"/>
              </w:rPr>
            </w:pPr>
            <w:r w:rsidRPr="00174D43">
              <w:rPr>
                <w:sz w:val="24"/>
                <w:szCs w:val="24"/>
              </w:rPr>
              <w:t>55080</w:t>
            </w:r>
          </w:p>
          <w:p w14:paraId="41D46271" w14:textId="77777777" w:rsidR="00174D43" w:rsidRPr="00174D43" w:rsidRDefault="00174D43" w:rsidP="00174D43">
            <w:pPr>
              <w:rPr>
                <w:sz w:val="24"/>
                <w:szCs w:val="24"/>
              </w:rPr>
            </w:pPr>
          </w:p>
        </w:tc>
      </w:tr>
    </w:tbl>
    <w:p w14:paraId="7AE42CF7" w14:textId="1FFF8B0A" w:rsidR="00FE257E" w:rsidRPr="00D163F8" w:rsidRDefault="00EA0AA0" w:rsidP="00D163F8">
      <w:pPr>
        <w:rPr>
          <w:b/>
          <w:bCs/>
          <w:sz w:val="24"/>
          <w:szCs w:val="24"/>
        </w:rPr>
      </w:pPr>
      <w:r w:rsidRPr="00D163F8">
        <w:rPr>
          <w:b/>
          <w:bCs/>
          <w:sz w:val="24"/>
          <w:szCs w:val="24"/>
        </w:rPr>
        <w:t>P</w:t>
      </w:r>
      <w:r w:rsidR="005B5A58" w:rsidRPr="00D163F8">
        <w:rPr>
          <w:b/>
          <w:bCs/>
          <w:sz w:val="24"/>
          <w:szCs w:val="24"/>
        </w:rPr>
        <w:t>rovide a rationale for why this is a comparator</w:t>
      </w:r>
      <w:r w:rsidR="000627EF" w:rsidRPr="00D163F8">
        <w:rPr>
          <w:b/>
          <w:bCs/>
          <w:sz w:val="24"/>
          <w:szCs w:val="24"/>
        </w:rPr>
        <w:t>:</w:t>
      </w:r>
    </w:p>
    <w:p w14:paraId="2F47DBF3" w14:textId="206DAACE" w:rsidR="00FE257E" w:rsidRPr="0089269F" w:rsidRDefault="00174D43" w:rsidP="00BC0C43">
      <w:pPr>
        <w:rPr>
          <w:rFonts w:eastAsia="Segoe UI"/>
          <w:color w:val="000000"/>
          <w:sz w:val="24"/>
          <w:szCs w:val="24"/>
        </w:rPr>
      </w:pPr>
      <w:r>
        <w:rPr>
          <w:sz w:val="24"/>
          <w:szCs w:val="24"/>
        </w:rPr>
        <w:t xml:space="preserve">The selection of comparator is derived from the 2023 Guidelines, which indicate that AMH testing or ultrasound should be used as part of the diagnostic process. </w:t>
      </w:r>
    </w:p>
    <w:p w14:paraId="7D835BE0" w14:textId="77777777" w:rsidR="00361BBE" w:rsidRPr="00D163F8" w:rsidRDefault="005B5A58" w:rsidP="00D163F8">
      <w:pPr>
        <w:rPr>
          <w:b/>
          <w:bCs/>
          <w:sz w:val="24"/>
          <w:szCs w:val="24"/>
        </w:rPr>
      </w:pPr>
      <w:r w:rsidRPr="00D163F8">
        <w:rPr>
          <w:b/>
          <w:bCs/>
          <w:sz w:val="24"/>
          <w:szCs w:val="24"/>
        </w:rPr>
        <w:t xml:space="preserve">Pattern of substitution – Will the proposed health technology wholly replace the proposed comparator, partially replace </w:t>
      </w:r>
      <w:r w:rsidR="000627EF" w:rsidRPr="00D163F8">
        <w:rPr>
          <w:b/>
          <w:bCs/>
          <w:sz w:val="24"/>
          <w:szCs w:val="24"/>
        </w:rPr>
        <w:t>the proposed comparator, displace the proposed comparator or be used in combination with the proposed comparator?</w:t>
      </w:r>
      <w:r w:rsidR="00DB2D53" w:rsidRPr="00D163F8">
        <w:rPr>
          <w:b/>
          <w:bCs/>
          <w:sz w:val="24"/>
          <w:szCs w:val="24"/>
        </w:rPr>
        <w:t xml:space="preserve"> </w:t>
      </w:r>
    </w:p>
    <w:p w14:paraId="1DB01406" w14:textId="1F36345B" w:rsidR="000627EF" w:rsidRPr="00DB2AB9" w:rsidRDefault="00DB2D53" w:rsidP="00DB2AB9">
      <w:pPr>
        <w:pStyle w:val="Instructions"/>
        <w:rPr>
          <w:rStyle w:val="InstructionsChar"/>
          <w:i/>
          <w:iCs/>
          <w:sz w:val="24"/>
          <w:szCs w:val="24"/>
        </w:rPr>
      </w:pPr>
      <w:r w:rsidRPr="00DB2AB9">
        <w:rPr>
          <w:rStyle w:val="InstructionsChar"/>
          <w:i/>
          <w:iCs/>
          <w:sz w:val="24"/>
          <w:szCs w:val="24"/>
        </w:rPr>
        <w:t>(</w:t>
      </w:r>
      <w:r w:rsidR="00582377" w:rsidRPr="00DB2AB9">
        <w:rPr>
          <w:rStyle w:val="InstructionsChar"/>
          <w:i/>
          <w:iCs/>
          <w:sz w:val="24"/>
          <w:szCs w:val="24"/>
        </w:rPr>
        <w:t>P</w:t>
      </w:r>
      <w:r w:rsidRPr="00DB2AB9">
        <w:rPr>
          <w:rStyle w:val="InstructionsChar"/>
          <w:i/>
          <w:iCs/>
          <w:sz w:val="24"/>
          <w:szCs w:val="24"/>
        </w:rPr>
        <w:t>lease select your response)</w:t>
      </w:r>
    </w:p>
    <w:p w14:paraId="0A5F4C44" w14:textId="35C516A9" w:rsidR="000627EF" w:rsidRPr="0089269F" w:rsidRDefault="0088630C" w:rsidP="00582377">
      <w:pPr>
        <w:pStyle w:val="Tickboxes"/>
        <w:rPr>
          <w:sz w:val="24"/>
          <w:szCs w:val="24"/>
        </w:rPr>
      </w:pPr>
      <w:r>
        <w:rPr>
          <w:sz w:val="24"/>
          <w:szCs w:val="24"/>
        </w:rPr>
        <w:fldChar w:fldCharType="begin">
          <w:ffData>
            <w:name w:val=""/>
            <w:enabled/>
            <w:calcOnExit w:val="0"/>
            <w:statusText w:type="text" w:val="Pattern of substitution None (used with the comparator)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C0C43" w:rsidRPr="0089269F">
        <w:rPr>
          <w:sz w:val="24"/>
          <w:szCs w:val="24"/>
        </w:rPr>
        <w:t xml:space="preserve"> </w:t>
      </w:r>
      <w:r w:rsidR="000627EF" w:rsidRPr="0089269F">
        <w:rPr>
          <w:sz w:val="24"/>
          <w:szCs w:val="24"/>
        </w:rPr>
        <w:t xml:space="preserve">None </w:t>
      </w:r>
      <w:r w:rsidR="00BC0C43" w:rsidRPr="0089269F">
        <w:rPr>
          <w:sz w:val="24"/>
          <w:szCs w:val="24"/>
        </w:rPr>
        <w:t>(u</w:t>
      </w:r>
      <w:r w:rsidR="000627EF" w:rsidRPr="0089269F">
        <w:rPr>
          <w:sz w:val="24"/>
          <w:szCs w:val="24"/>
        </w:rPr>
        <w:t>sed with the comparator</w:t>
      </w:r>
      <w:r w:rsidR="00BC0C43" w:rsidRPr="0089269F">
        <w:rPr>
          <w:sz w:val="24"/>
          <w:szCs w:val="24"/>
        </w:rPr>
        <w:t>)</w:t>
      </w:r>
      <w:r w:rsidR="000627EF" w:rsidRPr="0089269F">
        <w:rPr>
          <w:sz w:val="24"/>
          <w:szCs w:val="24"/>
        </w:rPr>
        <w:t xml:space="preserve"> </w:t>
      </w:r>
    </w:p>
    <w:p w14:paraId="04FD711F" w14:textId="38F3144B" w:rsidR="000627EF" w:rsidRPr="0089269F" w:rsidRDefault="0088630C" w:rsidP="00582377">
      <w:pPr>
        <w:pStyle w:val="Tickboxes"/>
        <w:rPr>
          <w:sz w:val="24"/>
          <w:szCs w:val="24"/>
        </w:rPr>
      </w:pPr>
      <w:r>
        <w:rPr>
          <w:sz w:val="24"/>
          <w:szCs w:val="24"/>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0627EF" w:rsidRPr="0089269F">
        <w:rPr>
          <w:sz w:val="24"/>
          <w:szCs w:val="24"/>
        </w:rPr>
        <w:t xml:space="preserve"> Displaced </w:t>
      </w:r>
      <w:r w:rsidR="00BC0C43" w:rsidRPr="0089269F">
        <w:rPr>
          <w:sz w:val="24"/>
          <w:szCs w:val="24"/>
        </w:rPr>
        <w:t>(c</w:t>
      </w:r>
      <w:r w:rsidR="000627EF" w:rsidRPr="0089269F">
        <w:rPr>
          <w:sz w:val="24"/>
          <w:szCs w:val="24"/>
        </w:rPr>
        <w:t>omparator will likely be used following the proposed technology in some patients</w:t>
      </w:r>
      <w:r w:rsidR="00BC0C43" w:rsidRPr="0089269F">
        <w:rPr>
          <w:sz w:val="24"/>
          <w:szCs w:val="24"/>
        </w:rPr>
        <w:t>)</w:t>
      </w:r>
    </w:p>
    <w:p w14:paraId="3243B3BE" w14:textId="0BA8180B" w:rsidR="000627EF" w:rsidRPr="0089269F" w:rsidRDefault="005E38F9" w:rsidP="00582377">
      <w:pPr>
        <w:pStyle w:val="Tickboxes"/>
        <w:rPr>
          <w:sz w:val="24"/>
          <w:szCs w:val="24"/>
        </w:rPr>
      </w:pPr>
      <w:r>
        <w:rPr>
          <w:sz w:val="24"/>
          <w:szCs w:val="24"/>
        </w:rPr>
        <w:fldChar w:fldCharType="begin">
          <w:ffData>
            <w:name w:val=""/>
            <w:enabled/>
            <w:calcOnExit w:val="0"/>
            <w:statusText w:type="text" w:val="Pattern of substitution Partial (in some cases, the proposed technology will replace the use of the comparator, but not all)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0627EF" w:rsidRPr="0089269F">
        <w:rPr>
          <w:sz w:val="24"/>
          <w:szCs w:val="24"/>
        </w:rPr>
        <w:t xml:space="preserve"> Partial </w:t>
      </w:r>
      <w:r w:rsidR="00BC0C43" w:rsidRPr="0089269F">
        <w:rPr>
          <w:sz w:val="24"/>
          <w:szCs w:val="24"/>
        </w:rPr>
        <w:t>(in</w:t>
      </w:r>
      <w:r w:rsidR="000627EF" w:rsidRPr="0089269F">
        <w:rPr>
          <w:sz w:val="24"/>
          <w:szCs w:val="24"/>
        </w:rPr>
        <w:t xml:space="preserve"> some cases, the proposed technology will replace the use of the comparator, but not all</w:t>
      </w:r>
      <w:r w:rsidR="00BC0C43" w:rsidRPr="0089269F">
        <w:rPr>
          <w:sz w:val="24"/>
          <w:szCs w:val="24"/>
        </w:rPr>
        <w:t>)</w:t>
      </w:r>
      <w:r w:rsidR="000627EF" w:rsidRPr="0089269F">
        <w:rPr>
          <w:sz w:val="24"/>
          <w:szCs w:val="24"/>
        </w:rPr>
        <w:t xml:space="preserve"> </w:t>
      </w:r>
    </w:p>
    <w:p w14:paraId="32AA0FD6" w14:textId="79C89DB1" w:rsidR="000627EF" w:rsidRPr="0089269F" w:rsidRDefault="00C512C6" w:rsidP="00582377">
      <w:pPr>
        <w:pStyle w:val="Tickboxes"/>
        <w:rPr>
          <w:sz w:val="24"/>
          <w:szCs w:val="24"/>
        </w:rPr>
      </w:pPr>
      <w:r>
        <w:rPr>
          <w:sz w:val="24"/>
          <w:szCs w:val="24"/>
        </w:rPr>
        <w:fldChar w:fldCharType="begin">
          <w:ffData>
            <w:name w:val=""/>
            <w:enabled/>
            <w:calcOnExit w:val="0"/>
            <w:statusText w:type="text" w:val="Pattern of substitution Full (subjects who receive the proposed intervention will not receive the comparator)"/>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0627EF" w:rsidRPr="0089269F">
        <w:rPr>
          <w:sz w:val="24"/>
          <w:szCs w:val="24"/>
        </w:rPr>
        <w:t xml:space="preserve"> Full </w:t>
      </w:r>
      <w:r w:rsidR="00BC0C43" w:rsidRPr="0089269F">
        <w:rPr>
          <w:sz w:val="24"/>
          <w:szCs w:val="24"/>
        </w:rPr>
        <w:t>(s</w:t>
      </w:r>
      <w:r w:rsidR="000627EF" w:rsidRPr="0089269F">
        <w:rPr>
          <w:sz w:val="24"/>
          <w:szCs w:val="24"/>
        </w:rPr>
        <w:t>ubjects who receive the proposed intervention will not receive the comparator</w:t>
      </w:r>
      <w:r w:rsidR="00BC0C43" w:rsidRPr="0089269F">
        <w:rPr>
          <w:sz w:val="24"/>
          <w:szCs w:val="24"/>
        </w:rPr>
        <w:t>)</w:t>
      </w:r>
    </w:p>
    <w:p w14:paraId="3D9A6633" w14:textId="0FC8A361" w:rsidR="000627EF" w:rsidRPr="00D163F8" w:rsidRDefault="00EA0AA0" w:rsidP="00D163F8">
      <w:pPr>
        <w:rPr>
          <w:b/>
          <w:bCs/>
          <w:sz w:val="24"/>
          <w:szCs w:val="24"/>
        </w:rPr>
      </w:pPr>
      <w:r w:rsidRPr="00D163F8">
        <w:rPr>
          <w:b/>
          <w:bCs/>
          <w:sz w:val="24"/>
          <w:szCs w:val="24"/>
        </w:rPr>
        <w:t>Outline and e</w:t>
      </w:r>
      <w:r w:rsidR="000627EF" w:rsidRPr="00D163F8">
        <w:rPr>
          <w:b/>
          <w:bCs/>
          <w:sz w:val="24"/>
          <w:szCs w:val="24"/>
        </w:rPr>
        <w:t>xplain the extent to which the current comparator is expected to be substituted:</w:t>
      </w:r>
    </w:p>
    <w:p w14:paraId="674F8F96" w14:textId="3416D900" w:rsidR="000627EF" w:rsidRPr="0089269F" w:rsidRDefault="00174D43" w:rsidP="00BC0C43">
      <w:pPr>
        <w:rPr>
          <w:rFonts w:eastAsia="Segoe UI"/>
          <w:color w:val="000000"/>
          <w:sz w:val="24"/>
          <w:szCs w:val="24"/>
        </w:rPr>
      </w:pPr>
      <w:r>
        <w:rPr>
          <w:sz w:val="24"/>
          <w:szCs w:val="24"/>
        </w:rPr>
        <w:t xml:space="preserve">The 2023 Guidelines recommend the use of either AMH testing or ultrasound. AMH testing is most likely to be used where patients prefer a less-invasive test (compared to transvaginal ultrasound), and where there are no other clinical reasons to specifically recommend the use of ultrasound (such as the investigation of other anatomical features or alternative diagnoses which would require imaging investigation). AMH therefore represents an option which may increase access to diagnosis of PMOS. The rate of substitution of AMH testing for ultrasound is unknown, however, it is unlikely to replace </w:t>
      </w:r>
      <w:r>
        <w:rPr>
          <w:sz w:val="24"/>
          <w:szCs w:val="24"/>
        </w:rPr>
        <w:lastRenderedPageBreak/>
        <w:t xml:space="preserve">all ultrasound. This may be particularly the case for some specialist practitioners (such as obstetricians and gynaecologists) who may be able to offer office-based ultrasound, rather than requesting a diagnostic imaging service from another provider. The rate of substitution will be modelled as part of the proposed assessment </w:t>
      </w:r>
      <w:proofErr w:type="gramStart"/>
      <w:r>
        <w:rPr>
          <w:sz w:val="24"/>
          <w:szCs w:val="24"/>
        </w:rPr>
        <w:t>process, but</w:t>
      </w:r>
      <w:proofErr w:type="gramEnd"/>
      <w:r>
        <w:rPr>
          <w:sz w:val="24"/>
          <w:szCs w:val="24"/>
        </w:rPr>
        <w:t xml:space="preserve"> is not expected to exceed 50%. </w:t>
      </w:r>
    </w:p>
    <w:p w14:paraId="527F0163" w14:textId="2737A668" w:rsidR="0016065A" w:rsidRPr="00A84BCA" w:rsidRDefault="0016065A" w:rsidP="00EA0AA0">
      <w:pPr>
        <w:pStyle w:val="Heading1"/>
        <w:rPr>
          <w:color w:val="002060"/>
        </w:rPr>
      </w:pPr>
      <w:r w:rsidRPr="00A84BCA">
        <w:rPr>
          <w:color w:val="002060"/>
        </w:rPr>
        <w:t>Outcome</w:t>
      </w:r>
      <w:r w:rsidR="00770FA6" w:rsidRPr="00A84BCA">
        <w:rPr>
          <w:color w:val="002060"/>
        </w:rPr>
        <w:t>s</w:t>
      </w:r>
    </w:p>
    <w:p w14:paraId="3E7AD725" w14:textId="1CF7BD19" w:rsidR="00765B2C" w:rsidRPr="00DB2AB9" w:rsidRDefault="00FA6D97" w:rsidP="00DB2AB9">
      <w:pPr>
        <w:pStyle w:val="Instructions"/>
        <w:rPr>
          <w:rFonts w:eastAsia="Segoe UI"/>
          <w:b w:val="0"/>
          <w:bCs w:val="0"/>
        </w:rPr>
      </w:pPr>
      <w:r w:rsidRPr="00DB2AB9">
        <w:rPr>
          <w:b w:val="0"/>
          <w:bCs w:val="0"/>
        </w:rPr>
        <w:t>(Please copy the below questions and complete for each outcome</w:t>
      </w:r>
      <w:r w:rsidRPr="00DB2AB9">
        <w:rPr>
          <w:rFonts w:eastAsia="Segoe UI"/>
          <w:b w:val="0"/>
          <w:bCs w:val="0"/>
        </w:rPr>
        <w:t>)</w:t>
      </w:r>
    </w:p>
    <w:p w14:paraId="17E1F7BE" w14:textId="77777777" w:rsidR="00361BBE" w:rsidRPr="00D163F8" w:rsidRDefault="004C02B7" w:rsidP="00D163F8">
      <w:pPr>
        <w:rPr>
          <w:b/>
          <w:bCs/>
          <w:sz w:val="24"/>
          <w:szCs w:val="24"/>
        </w:rPr>
      </w:pPr>
      <w:r w:rsidRPr="00D163F8">
        <w:rPr>
          <w:b/>
          <w:bCs/>
          <w:sz w:val="24"/>
          <w:szCs w:val="24"/>
        </w:rPr>
        <w:t>List the key health outcomes (major and minor – prioritising major key health outcomes first) that will need to be measured in assessing the clinical claim for the proposed medical service/technology (versus the comparator):</w:t>
      </w:r>
      <w:r w:rsidR="00DB2D53" w:rsidRPr="00D163F8">
        <w:rPr>
          <w:b/>
          <w:bCs/>
          <w:sz w:val="24"/>
          <w:szCs w:val="24"/>
        </w:rPr>
        <w:t xml:space="preserve"> </w:t>
      </w:r>
    </w:p>
    <w:p w14:paraId="7DF00C74" w14:textId="1CC049F5" w:rsidR="004C02B7" w:rsidRPr="00DB2AB9" w:rsidRDefault="00582377" w:rsidP="00DB2AB9">
      <w:pPr>
        <w:pStyle w:val="Instructions"/>
        <w:rPr>
          <w:b w:val="0"/>
          <w:bCs w:val="0"/>
        </w:rPr>
      </w:pPr>
      <w:r w:rsidRPr="00DB2AB9">
        <w:rPr>
          <w:b w:val="0"/>
          <w:bCs w:val="0"/>
        </w:rPr>
        <w:t>(Please select your response)</w:t>
      </w:r>
    </w:p>
    <w:p w14:paraId="2BA09AC5" w14:textId="46B24E19" w:rsidR="004C02B7" w:rsidRPr="0089269F" w:rsidRDefault="00174D43" w:rsidP="00582377">
      <w:pPr>
        <w:pStyle w:val="Tickboxes"/>
        <w:rPr>
          <w:sz w:val="24"/>
          <w:szCs w:val="24"/>
        </w:rPr>
      </w:pPr>
      <w:r>
        <w:rPr>
          <w:sz w:val="24"/>
          <w:szCs w:val="24"/>
        </w:rPr>
        <w:fldChar w:fldCharType="begin">
          <w:ffData>
            <w:name w:val=""/>
            <w:enabled/>
            <w:calcOnExit w:val="0"/>
            <w:statusText w:type="text" w:val="Health outcomes Health benefits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C0C43" w:rsidRPr="0089269F">
        <w:rPr>
          <w:sz w:val="24"/>
          <w:szCs w:val="24"/>
        </w:rPr>
        <w:t xml:space="preserve"> </w:t>
      </w:r>
      <w:r w:rsidR="004C02B7" w:rsidRPr="0089269F">
        <w:rPr>
          <w:sz w:val="24"/>
          <w:szCs w:val="24"/>
        </w:rPr>
        <w:t xml:space="preserve">Health benefits </w:t>
      </w:r>
    </w:p>
    <w:p w14:paraId="4B5E35E8" w14:textId="5790DFE2" w:rsidR="004C02B7" w:rsidRPr="0089269F" w:rsidRDefault="002F1641" w:rsidP="00582377">
      <w:pPr>
        <w:pStyle w:val="Tickboxes"/>
        <w:rPr>
          <w:sz w:val="24"/>
          <w:szCs w:val="24"/>
        </w:rPr>
      </w:pPr>
      <w:r>
        <w:rPr>
          <w:sz w:val="24"/>
          <w:szCs w:val="24"/>
        </w:rPr>
        <w:fldChar w:fldCharType="begin">
          <w:ffData>
            <w:name w:val=""/>
            <w:enabled/>
            <w:calcOnExit w:val="0"/>
            <w:statusText w:type="text" w:val="Health outcomes Health harms"/>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C02B7" w:rsidRPr="0089269F">
        <w:rPr>
          <w:sz w:val="24"/>
          <w:szCs w:val="24"/>
        </w:rPr>
        <w:t xml:space="preserve"> Health harms</w:t>
      </w:r>
    </w:p>
    <w:p w14:paraId="7846E3EA" w14:textId="739E1FE9" w:rsidR="004C02B7" w:rsidRPr="0089269F" w:rsidRDefault="002F1641" w:rsidP="00582377">
      <w:pPr>
        <w:pStyle w:val="Tickboxes"/>
        <w:rPr>
          <w:sz w:val="24"/>
          <w:szCs w:val="24"/>
        </w:rPr>
      </w:pPr>
      <w:r>
        <w:rPr>
          <w:sz w:val="24"/>
          <w:szCs w:val="24"/>
        </w:rPr>
        <w:fldChar w:fldCharType="begin">
          <w:ffData>
            <w:name w:val=""/>
            <w:enabled/>
            <w:calcOnExit w:val="0"/>
            <w:statusText w:type="text" w:val="Health outcomes Resources"/>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C02B7" w:rsidRPr="0089269F">
        <w:rPr>
          <w:sz w:val="24"/>
          <w:szCs w:val="24"/>
        </w:rPr>
        <w:t xml:space="preserve"> Resources </w:t>
      </w:r>
    </w:p>
    <w:p w14:paraId="4A3C8161" w14:textId="4FDD152F" w:rsidR="00E00CD3" w:rsidRPr="0089269F" w:rsidRDefault="002C40F1" w:rsidP="00582377">
      <w:pPr>
        <w:pStyle w:val="Tickboxes"/>
        <w:rPr>
          <w:b/>
          <w:sz w:val="24"/>
          <w:szCs w:val="24"/>
        </w:rPr>
      </w:pPr>
      <w:r>
        <w:rPr>
          <w:sz w:val="24"/>
          <w:szCs w:val="24"/>
        </w:rPr>
        <w:fldChar w:fldCharType="begin">
          <w:ffData>
            <w:name w:val=""/>
            <w:enabled/>
            <w:calcOnExit w:val="0"/>
            <w:statusText w:type="text" w:val="Health outcomes Value of knowing"/>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C02B7" w:rsidRPr="0089269F">
        <w:rPr>
          <w:sz w:val="24"/>
          <w:szCs w:val="24"/>
        </w:rPr>
        <w:t xml:space="preserve"> Value of knowing</w:t>
      </w:r>
    </w:p>
    <w:p w14:paraId="36189B68" w14:textId="2A9DD4E8" w:rsidR="004C02B7" w:rsidRPr="00D163F8" w:rsidRDefault="00E00CD3" w:rsidP="00D163F8">
      <w:pPr>
        <w:rPr>
          <w:b/>
          <w:bCs/>
          <w:sz w:val="24"/>
          <w:szCs w:val="24"/>
        </w:rPr>
      </w:pPr>
      <w:r w:rsidRPr="00D163F8">
        <w:rPr>
          <w:b/>
          <w:bCs/>
          <w:sz w:val="24"/>
          <w:szCs w:val="24"/>
        </w:rPr>
        <w:t>O</w:t>
      </w:r>
      <w:r w:rsidR="00CB5480" w:rsidRPr="00D163F8">
        <w:rPr>
          <w:b/>
          <w:bCs/>
          <w:sz w:val="24"/>
          <w:szCs w:val="24"/>
        </w:rPr>
        <w:t>utcome description</w:t>
      </w:r>
      <w:r w:rsidRPr="00D163F8">
        <w:rPr>
          <w:b/>
          <w:bCs/>
          <w:sz w:val="24"/>
          <w:szCs w:val="24"/>
        </w:rPr>
        <w:t xml:space="preserve"> –</w:t>
      </w:r>
      <w:r w:rsidR="00EA0AA0" w:rsidRPr="00D163F8">
        <w:rPr>
          <w:b/>
          <w:bCs/>
          <w:sz w:val="24"/>
          <w:szCs w:val="24"/>
        </w:rPr>
        <w:t xml:space="preserve"> </w:t>
      </w:r>
      <w:r w:rsidRPr="00D163F8">
        <w:rPr>
          <w:b/>
          <w:bCs/>
          <w:sz w:val="24"/>
          <w:szCs w:val="24"/>
        </w:rPr>
        <w:t xml:space="preserve">include information about whether a change in patient management, or prognosis, occurs </w:t>
      </w:r>
      <w:proofErr w:type="gramStart"/>
      <w:r w:rsidRPr="00D163F8">
        <w:rPr>
          <w:b/>
          <w:bCs/>
          <w:sz w:val="24"/>
          <w:szCs w:val="24"/>
        </w:rPr>
        <w:t>as a result of</w:t>
      </w:r>
      <w:proofErr w:type="gramEnd"/>
      <w:r w:rsidRPr="00D163F8">
        <w:rPr>
          <w:b/>
          <w:bCs/>
          <w:sz w:val="24"/>
          <w:szCs w:val="24"/>
        </w:rPr>
        <w:t xml:space="preserve"> the test information</w:t>
      </w:r>
      <w:r w:rsidR="004C02B7" w:rsidRPr="00D163F8">
        <w:rPr>
          <w:b/>
          <w:bCs/>
          <w:sz w:val="24"/>
          <w:szCs w:val="24"/>
        </w:rPr>
        <w:t>:</w:t>
      </w:r>
    </w:p>
    <w:p w14:paraId="27009CC4" w14:textId="2CF1513C" w:rsidR="00241D68" w:rsidRDefault="00174D43" w:rsidP="00BC0C43">
      <w:pPr>
        <w:rPr>
          <w:sz w:val="24"/>
          <w:szCs w:val="24"/>
        </w:rPr>
      </w:pPr>
      <w:r>
        <w:rPr>
          <w:sz w:val="24"/>
          <w:szCs w:val="24"/>
        </w:rPr>
        <w:t xml:space="preserve">Diagnosis of PMOS, leading to improved management of medium to long-term health risks and impacts associated with PMOS. </w:t>
      </w:r>
      <w:r w:rsidR="00241D68">
        <w:rPr>
          <w:sz w:val="24"/>
          <w:szCs w:val="24"/>
        </w:rPr>
        <w:t xml:space="preserve">In comparison to ultrasound, AMH testing is likely to deliver non-inferior (equivalent) health outcomes, with potential improvements in health resource utilisation and access to alternative testing options that may be more convenient for patients and with features (such as type of variability or type of clinical cutoffs) that may be preferred by requesting physicians. </w:t>
      </w:r>
    </w:p>
    <w:p w14:paraId="690EA31F" w14:textId="07B0DC50" w:rsidR="004C02B7" w:rsidRDefault="00241D68" w:rsidP="00BC0C43">
      <w:pPr>
        <w:rPr>
          <w:sz w:val="24"/>
          <w:szCs w:val="24"/>
        </w:rPr>
      </w:pPr>
      <w:r>
        <w:rPr>
          <w:sz w:val="24"/>
          <w:szCs w:val="24"/>
        </w:rPr>
        <w:t>The sensitivity and specificity of the proposed technology, in comparison to ultrasound, is summarised briefly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847"/>
        <w:gridCol w:w="1405"/>
        <w:gridCol w:w="1402"/>
        <w:gridCol w:w="2193"/>
        <w:gridCol w:w="2630"/>
      </w:tblGrid>
      <w:tr w:rsidR="00241D68" w:rsidRPr="00241D68" w14:paraId="1C686325" w14:textId="77777777" w:rsidTr="00470A6B">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5A6DB"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Diagnostic Method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F022B"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Sensitivity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2E098"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Specificity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F112A"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Variability / Heterogeneity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827250"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Key Sources of Variability</w:t>
            </w:r>
          </w:p>
        </w:tc>
      </w:tr>
      <w:tr w:rsidR="00241D68" w:rsidRPr="00241D68" w14:paraId="3163B5CC" w14:textId="77777777">
        <w:trPr>
          <w:trHeight w:val="1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B0547C"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AMH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61547" w14:textId="77777777" w:rsidR="00241D68" w:rsidRPr="00241D68" w:rsidRDefault="00241D68" w:rsidP="00241D68">
            <w:pPr>
              <w:rPr>
                <w:rFonts w:eastAsia="Segoe UI"/>
                <w:color w:val="000000"/>
                <w:sz w:val="24"/>
                <w:szCs w:val="24"/>
              </w:rPr>
            </w:pPr>
            <w:r w:rsidRPr="00241D68">
              <w:rPr>
                <w:rFonts w:eastAsia="Segoe UI"/>
                <w:color w:val="000000"/>
                <w:sz w:val="24"/>
                <w:szCs w:val="24"/>
              </w:rPr>
              <w:t>0.79 (0.76–0.82)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B24EE" w14:textId="77777777" w:rsidR="00241D68" w:rsidRPr="00241D68" w:rsidRDefault="00241D68" w:rsidP="00241D68">
            <w:pPr>
              <w:rPr>
                <w:rFonts w:eastAsia="Segoe UI"/>
                <w:color w:val="000000"/>
                <w:sz w:val="24"/>
                <w:szCs w:val="24"/>
              </w:rPr>
            </w:pPr>
            <w:r w:rsidRPr="00241D68">
              <w:rPr>
                <w:rFonts w:eastAsia="Segoe UI"/>
                <w:color w:val="000000"/>
                <w:sz w:val="24"/>
                <w:szCs w:val="24"/>
              </w:rPr>
              <w:t>0.87 (0.84–0.89)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473A9" w14:textId="77777777" w:rsidR="00241D68" w:rsidRPr="00241D68" w:rsidRDefault="00241D68" w:rsidP="00241D68">
            <w:pPr>
              <w:rPr>
                <w:rFonts w:eastAsia="Segoe UI"/>
                <w:color w:val="000000"/>
                <w:sz w:val="24"/>
                <w:szCs w:val="24"/>
              </w:rPr>
            </w:pPr>
            <w:r w:rsidRPr="00241D68">
              <w:rPr>
                <w:rFonts w:eastAsia="Segoe UI"/>
                <w:color w:val="000000"/>
                <w:sz w:val="24"/>
                <w:szCs w:val="24"/>
              </w:rPr>
              <w:t>Relatively stable pooled estimate;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5F2E3" w14:textId="77777777" w:rsidR="00241D68" w:rsidRPr="00241D68" w:rsidRDefault="00241D68" w:rsidP="00241D68">
            <w:pPr>
              <w:rPr>
                <w:rFonts w:eastAsia="Segoe UI"/>
                <w:color w:val="000000"/>
                <w:sz w:val="24"/>
                <w:szCs w:val="24"/>
              </w:rPr>
            </w:pPr>
            <w:r w:rsidRPr="00241D68">
              <w:rPr>
                <w:rFonts w:eastAsia="Segoe UI"/>
                <w:color w:val="000000"/>
                <w:sz w:val="24"/>
                <w:szCs w:val="24"/>
              </w:rPr>
              <w:t xml:space="preserve">Assay platform (ELISA vs automated vs </w:t>
            </w:r>
            <w:proofErr w:type="spellStart"/>
            <w:r w:rsidRPr="00241D68">
              <w:rPr>
                <w:rFonts w:eastAsia="Segoe UI"/>
                <w:color w:val="000000"/>
                <w:sz w:val="24"/>
                <w:szCs w:val="24"/>
              </w:rPr>
              <w:t>Elecsys</w:t>
            </w:r>
            <w:proofErr w:type="spellEnd"/>
            <w:r w:rsidRPr="00241D68">
              <w:rPr>
                <w:rFonts w:eastAsia="Segoe UI"/>
                <w:color w:val="000000"/>
                <w:sz w:val="24"/>
                <w:szCs w:val="24"/>
              </w:rPr>
              <w:t>); age; BMI; PCOM inclusion in controls</w:t>
            </w:r>
          </w:p>
        </w:tc>
      </w:tr>
      <w:tr w:rsidR="00241D68" w:rsidRPr="00241D68" w14:paraId="08D191B7" w14:textId="77777777">
        <w:trPr>
          <w:trHeight w:val="15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229F3"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Ultrasound – Follicle Number per Ovary (FNPO)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03D1F" w14:textId="77777777" w:rsidR="00241D68" w:rsidRPr="00241D68" w:rsidRDefault="00241D68" w:rsidP="00241D68">
            <w:pPr>
              <w:rPr>
                <w:rFonts w:eastAsia="Segoe UI"/>
                <w:color w:val="000000"/>
                <w:sz w:val="24"/>
                <w:szCs w:val="24"/>
              </w:rPr>
            </w:pPr>
            <w:r w:rsidRPr="00241D68">
              <w:rPr>
                <w:rFonts w:eastAsia="Segoe UI"/>
                <w:color w:val="000000"/>
                <w:sz w:val="24"/>
                <w:szCs w:val="24"/>
              </w:rPr>
              <w:t>70–94%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45B30A" w14:textId="77777777" w:rsidR="00241D68" w:rsidRPr="00241D68" w:rsidRDefault="00241D68" w:rsidP="00241D68">
            <w:pPr>
              <w:rPr>
                <w:rFonts w:eastAsia="Segoe UI"/>
                <w:color w:val="000000"/>
                <w:sz w:val="24"/>
                <w:szCs w:val="24"/>
              </w:rPr>
            </w:pPr>
            <w:r w:rsidRPr="00241D68">
              <w:rPr>
                <w:rFonts w:eastAsia="Segoe UI"/>
                <w:color w:val="000000"/>
                <w:sz w:val="24"/>
                <w:szCs w:val="24"/>
              </w:rPr>
              <w:t>70–100%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26C3D" w14:textId="77777777" w:rsidR="00241D68" w:rsidRPr="00241D68" w:rsidRDefault="00241D68" w:rsidP="00241D68">
            <w:pPr>
              <w:rPr>
                <w:rFonts w:eastAsia="Segoe UI"/>
                <w:color w:val="000000"/>
                <w:sz w:val="24"/>
                <w:szCs w:val="24"/>
              </w:rPr>
            </w:pPr>
            <w:r w:rsidRPr="00241D68">
              <w:rPr>
                <w:rFonts w:eastAsia="Segoe UI"/>
                <w:color w:val="000000"/>
                <w:sz w:val="24"/>
                <w:szCs w:val="24"/>
              </w:rPr>
              <w:t>Wide range (24% sensitivity spread; 30% specificity spread)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2F1F52" w14:textId="77777777" w:rsidR="00241D68" w:rsidRPr="00241D68" w:rsidRDefault="00241D68" w:rsidP="00241D68">
            <w:pPr>
              <w:rPr>
                <w:rFonts w:eastAsia="Segoe UI"/>
                <w:color w:val="000000"/>
                <w:sz w:val="24"/>
                <w:szCs w:val="24"/>
              </w:rPr>
            </w:pPr>
            <w:r w:rsidRPr="00241D68">
              <w:rPr>
                <w:rFonts w:eastAsia="Segoe UI"/>
                <w:color w:val="000000"/>
                <w:sz w:val="24"/>
                <w:szCs w:val="24"/>
              </w:rPr>
              <w:t xml:space="preserve">Operator skill; machine resolution; transvaginal vs transabdominal; age; </w:t>
            </w:r>
            <w:r w:rsidRPr="00241D68">
              <w:rPr>
                <w:rFonts w:eastAsia="Segoe UI"/>
                <w:color w:val="000000"/>
                <w:sz w:val="24"/>
                <w:szCs w:val="24"/>
              </w:rPr>
              <w:lastRenderedPageBreak/>
              <w:t>BMI; percentile-based cut-offs</w:t>
            </w:r>
          </w:p>
        </w:tc>
      </w:tr>
      <w:tr w:rsidR="00241D68" w:rsidRPr="00241D68" w14:paraId="544EB400" w14:textId="77777777">
        <w:trPr>
          <w:trHeight w:val="1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FD5F2"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lastRenderedPageBreak/>
              <w:t>Ultrasound – Follicle Number per Cross-Section (FNPS)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4F9528" w14:textId="77777777" w:rsidR="00241D68" w:rsidRPr="00241D68" w:rsidRDefault="00241D68" w:rsidP="00241D68">
            <w:pPr>
              <w:rPr>
                <w:rFonts w:eastAsia="Segoe UI"/>
                <w:color w:val="000000"/>
                <w:sz w:val="24"/>
                <w:szCs w:val="24"/>
              </w:rPr>
            </w:pPr>
            <w:r w:rsidRPr="00241D68">
              <w:rPr>
                <w:rFonts w:eastAsia="Segoe UI"/>
                <w:color w:val="000000"/>
                <w:sz w:val="24"/>
                <w:szCs w:val="24"/>
              </w:rPr>
              <w:t>21–94%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9FD45" w14:textId="77777777" w:rsidR="00241D68" w:rsidRPr="00241D68" w:rsidRDefault="00241D68" w:rsidP="00241D68">
            <w:pPr>
              <w:rPr>
                <w:rFonts w:eastAsia="Segoe UI"/>
                <w:color w:val="000000"/>
                <w:sz w:val="24"/>
                <w:szCs w:val="24"/>
              </w:rPr>
            </w:pPr>
            <w:r w:rsidRPr="00241D68">
              <w:rPr>
                <w:rFonts w:eastAsia="Segoe UI"/>
                <w:color w:val="000000"/>
                <w:sz w:val="24"/>
                <w:szCs w:val="24"/>
              </w:rPr>
              <w:t>60–100%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15FC76" w14:textId="77777777" w:rsidR="00241D68" w:rsidRPr="00241D68" w:rsidRDefault="00241D68" w:rsidP="00241D68">
            <w:pPr>
              <w:rPr>
                <w:rFonts w:eastAsia="Segoe UI"/>
                <w:color w:val="000000"/>
                <w:sz w:val="24"/>
                <w:szCs w:val="24"/>
              </w:rPr>
            </w:pPr>
            <w:r w:rsidRPr="00241D68">
              <w:rPr>
                <w:rFonts w:eastAsia="Segoe UI"/>
                <w:color w:val="000000"/>
                <w:sz w:val="24"/>
                <w:szCs w:val="24"/>
              </w:rPr>
              <w:t>Extremely wide range (73% sensitivity spread)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2FDC7" w14:textId="77777777" w:rsidR="00241D68" w:rsidRPr="00241D68" w:rsidRDefault="00241D68" w:rsidP="00241D68">
            <w:pPr>
              <w:rPr>
                <w:rFonts w:eastAsia="Segoe UI"/>
                <w:color w:val="000000"/>
                <w:sz w:val="24"/>
                <w:szCs w:val="24"/>
              </w:rPr>
            </w:pPr>
            <w:r w:rsidRPr="00241D68">
              <w:rPr>
                <w:rFonts w:eastAsia="Segoe UI"/>
                <w:color w:val="000000"/>
                <w:sz w:val="24"/>
                <w:szCs w:val="24"/>
              </w:rPr>
              <w:t>Plane selection; counting technique; operator variability</w:t>
            </w:r>
          </w:p>
        </w:tc>
      </w:tr>
      <w:tr w:rsidR="00241D68" w:rsidRPr="00241D68" w14:paraId="1F672500" w14:textId="77777777">
        <w:trPr>
          <w:trHeight w:val="10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5C55D0" w14:textId="77777777" w:rsidR="00241D68" w:rsidRPr="00241D68" w:rsidRDefault="00241D68" w:rsidP="00241D68">
            <w:pPr>
              <w:rPr>
                <w:rFonts w:eastAsia="Segoe UI"/>
                <w:color w:val="000000"/>
                <w:sz w:val="24"/>
                <w:szCs w:val="24"/>
              </w:rPr>
            </w:pPr>
            <w:r w:rsidRPr="00241D68">
              <w:rPr>
                <w:rFonts w:eastAsia="Segoe UI"/>
                <w:b/>
                <w:bCs/>
                <w:color w:val="000000"/>
                <w:sz w:val="24"/>
                <w:szCs w:val="24"/>
              </w:rPr>
              <w:t>Ultrasound – Ovarian Volume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550964" w14:textId="77777777" w:rsidR="00241D68" w:rsidRPr="00241D68" w:rsidRDefault="00241D68" w:rsidP="00241D68">
            <w:pPr>
              <w:rPr>
                <w:rFonts w:eastAsia="Segoe UI"/>
                <w:color w:val="000000"/>
                <w:sz w:val="24"/>
                <w:szCs w:val="24"/>
              </w:rPr>
            </w:pPr>
            <w:r w:rsidRPr="00241D68">
              <w:rPr>
                <w:rFonts w:eastAsia="Segoe UI"/>
                <w:color w:val="000000"/>
                <w:sz w:val="24"/>
                <w:szCs w:val="24"/>
              </w:rPr>
              <w:t>21–94%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632B2" w14:textId="77777777" w:rsidR="00241D68" w:rsidRPr="00241D68" w:rsidRDefault="00241D68" w:rsidP="00241D68">
            <w:pPr>
              <w:rPr>
                <w:rFonts w:eastAsia="Segoe UI"/>
                <w:color w:val="000000"/>
                <w:sz w:val="24"/>
                <w:szCs w:val="24"/>
              </w:rPr>
            </w:pPr>
            <w:r w:rsidRPr="00241D68">
              <w:rPr>
                <w:rFonts w:eastAsia="Segoe UI"/>
                <w:color w:val="000000"/>
                <w:sz w:val="24"/>
                <w:szCs w:val="24"/>
              </w:rPr>
              <w:t>60–100%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3A9C3" w14:textId="77777777" w:rsidR="00241D68" w:rsidRPr="00241D68" w:rsidRDefault="00241D68" w:rsidP="00241D68">
            <w:pPr>
              <w:rPr>
                <w:rFonts w:eastAsia="Segoe UI"/>
                <w:color w:val="000000"/>
                <w:sz w:val="24"/>
                <w:szCs w:val="24"/>
              </w:rPr>
            </w:pPr>
            <w:r w:rsidRPr="00241D68">
              <w:rPr>
                <w:rFonts w:eastAsia="Segoe UI"/>
                <w:color w:val="000000"/>
                <w:sz w:val="24"/>
                <w:szCs w:val="24"/>
              </w:rPr>
              <w:t>Very wide range (73% sensitivity spread)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4622D" w14:textId="77777777" w:rsidR="00241D68" w:rsidRPr="00241D68" w:rsidRDefault="00241D68" w:rsidP="00241D68">
            <w:pPr>
              <w:rPr>
                <w:rFonts w:eastAsia="Segoe UI"/>
                <w:color w:val="000000"/>
                <w:sz w:val="24"/>
                <w:szCs w:val="24"/>
              </w:rPr>
            </w:pPr>
            <w:r w:rsidRPr="00241D68">
              <w:rPr>
                <w:rFonts w:eastAsia="Segoe UI"/>
                <w:color w:val="000000"/>
                <w:sz w:val="24"/>
                <w:szCs w:val="24"/>
              </w:rPr>
              <w:t>Measurement method; ovarian positioning; BMI; age; threshold choice</w:t>
            </w:r>
          </w:p>
        </w:tc>
      </w:tr>
    </w:tbl>
    <w:p w14:paraId="7D46FC7E" w14:textId="77777777" w:rsidR="00241D68" w:rsidRPr="0089269F" w:rsidRDefault="00241D68" w:rsidP="00BC0C43">
      <w:pPr>
        <w:rPr>
          <w:rFonts w:eastAsia="Segoe UI"/>
          <w:color w:val="000000"/>
          <w:sz w:val="24"/>
          <w:szCs w:val="24"/>
        </w:rPr>
      </w:pPr>
    </w:p>
    <w:p w14:paraId="51234613" w14:textId="244CDB64" w:rsidR="00566CF9" w:rsidRPr="00A84BCA" w:rsidRDefault="00566CF9" w:rsidP="00EA0AA0">
      <w:pPr>
        <w:pStyle w:val="Heading1"/>
        <w:rPr>
          <w:color w:val="002060"/>
        </w:rPr>
      </w:pPr>
      <w:r w:rsidRPr="00A84BCA">
        <w:rPr>
          <w:color w:val="002060"/>
        </w:rPr>
        <w:t>Proposed MBS items</w:t>
      </w:r>
    </w:p>
    <w:p w14:paraId="65E4A37C" w14:textId="17B967C3" w:rsidR="009C0554" w:rsidRPr="00D163F8" w:rsidRDefault="009C0554" w:rsidP="00D163F8">
      <w:pPr>
        <w:rPr>
          <w:b/>
          <w:bCs/>
          <w:sz w:val="24"/>
          <w:szCs w:val="24"/>
        </w:rPr>
      </w:pPr>
      <w:r w:rsidRPr="00D163F8">
        <w:rPr>
          <w:b/>
          <w:bCs/>
          <w:sz w:val="24"/>
          <w:szCs w:val="24"/>
        </w:rPr>
        <w:t>How is the technology/service funded at present? (</w:t>
      </w:r>
      <w:r w:rsidR="00EA0AA0" w:rsidRPr="00D163F8">
        <w:rPr>
          <w:b/>
          <w:bCs/>
          <w:sz w:val="24"/>
          <w:szCs w:val="24"/>
        </w:rPr>
        <w:t>e.g.,</w:t>
      </w:r>
      <w:r w:rsidRPr="00D163F8">
        <w:rPr>
          <w:b/>
          <w:bCs/>
          <w:sz w:val="24"/>
          <w:szCs w:val="24"/>
        </w:rPr>
        <w:t xml:space="preserve"> research funding; State-based funding; self-funded by patients; no funding or payments): </w:t>
      </w:r>
    </w:p>
    <w:p w14:paraId="212E410A" w14:textId="7D7BC8A0" w:rsidR="009C0554" w:rsidRPr="0089269F" w:rsidRDefault="00174D43" w:rsidP="00BC0C43">
      <w:pPr>
        <w:rPr>
          <w:rFonts w:eastAsia="Segoe UI"/>
          <w:color w:val="000000"/>
          <w:sz w:val="24"/>
          <w:szCs w:val="24"/>
        </w:rPr>
      </w:pPr>
      <w:r>
        <w:rPr>
          <w:sz w:val="24"/>
          <w:szCs w:val="24"/>
        </w:rPr>
        <w:t>Private payment.</w:t>
      </w:r>
    </w:p>
    <w:p w14:paraId="3F158DED" w14:textId="77777777" w:rsidR="00361BBE" w:rsidRPr="00D163F8" w:rsidRDefault="00EA0AA0" w:rsidP="00D163F8">
      <w:pPr>
        <w:rPr>
          <w:b/>
          <w:bCs/>
          <w:sz w:val="24"/>
          <w:szCs w:val="24"/>
        </w:rPr>
      </w:pPr>
      <w:r w:rsidRPr="00D163F8">
        <w:rPr>
          <w:b/>
          <w:bCs/>
          <w:sz w:val="24"/>
          <w:szCs w:val="24"/>
        </w:rPr>
        <w:t>P</w:t>
      </w:r>
      <w:r w:rsidR="00566CF9" w:rsidRPr="00D163F8">
        <w:rPr>
          <w:b/>
          <w:bCs/>
          <w:sz w:val="24"/>
          <w:szCs w:val="24"/>
        </w:rPr>
        <w:t xml:space="preserve">rovide at least one proposed item with their descriptor and associated costs, for each </w:t>
      </w:r>
      <w:r w:rsidRPr="00D163F8">
        <w:rPr>
          <w:b/>
          <w:bCs/>
          <w:sz w:val="24"/>
          <w:szCs w:val="24"/>
        </w:rPr>
        <w:t>P</w:t>
      </w:r>
      <w:r w:rsidR="00566CF9" w:rsidRPr="00D163F8">
        <w:rPr>
          <w:b/>
          <w:bCs/>
          <w:sz w:val="24"/>
          <w:szCs w:val="24"/>
        </w:rPr>
        <w:t xml:space="preserve">opulation/Intervention: </w:t>
      </w:r>
    </w:p>
    <w:p w14:paraId="17C1E836" w14:textId="6DB85E0C" w:rsidR="00836A15" w:rsidRPr="00DB2AB9" w:rsidRDefault="0009097A" w:rsidP="00DB2AB9">
      <w:pPr>
        <w:pStyle w:val="Instructions"/>
        <w:rPr>
          <w:b w:val="0"/>
          <w:bCs w:val="0"/>
        </w:rPr>
      </w:pPr>
      <w:r w:rsidRPr="00DB2AB9">
        <w:rPr>
          <w:b w:val="0"/>
          <w:bCs w:val="0"/>
        </w:rPr>
        <w:t>(</w:t>
      </w:r>
      <w:r w:rsidR="00361BBE" w:rsidRPr="00DB2AB9">
        <w:rPr>
          <w:b w:val="0"/>
          <w:bCs w:val="0"/>
        </w:rPr>
        <w:t>P</w:t>
      </w:r>
      <w:r w:rsidRPr="00DB2AB9">
        <w:rPr>
          <w:b w:val="0"/>
          <w:bCs w:val="0"/>
        </w:rPr>
        <w:t>lease copy the below questions and complete for each proposed item)</w:t>
      </w:r>
    </w:p>
    <w:tbl>
      <w:tblPr>
        <w:tblStyle w:val="TableGrid"/>
        <w:tblW w:w="0" w:type="auto"/>
        <w:tblLook w:val="04A0" w:firstRow="1" w:lastRow="0" w:firstColumn="1" w:lastColumn="0" w:noHBand="0" w:noVBand="1"/>
      </w:tblPr>
      <w:tblGrid>
        <w:gridCol w:w="3256"/>
        <w:gridCol w:w="6209"/>
      </w:tblGrid>
      <w:tr w:rsidR="00A05B4D" w:rsidRPr="0089269F" w14:paraId="550CA6B5" w14:textId="77777777" w:rsidTr="00A05B4D">
        <w:tc>
          <w:tcPr>
            <w:tcW w:w="3256" w:type="dxa"/>
          </w:tcPr>
          <w:p w14:paraId="392E8065" w14:textId="291357C7" w:rsidR="00A05B4D" w:rsidRPr="0089269F" w:rsidRDefault="00A05B4D" w:rsidP="00BC0C43">
            <w:pPr>
              <w:rPr>
                <w:sz w:val="24"/>
                <w:szCs w:val="24"/>
              </w:rPr>
            </w:pPr>
            <w:bookmarkStart w:id="1" w:name="_Hlk121232719"/>
            <w:r w:rsidRPr="0089269F">
              <w:rPr>
                <w:sz w:val="24"/>
                <w:szCs w:val="24"/>
              </w:rPr>
              <w:t xml:space="preserve">MBS item number </w:t>
            </w:r>
            <w:r w:rsidR="00BC0C43" w:rsidRPr="0089269F">
              <w:rPr>
                <w:sz w:val="24"/>
                <w:szCs w:val="24"/>
              </w:rPr>
              <w:br/>
            </w:r>
            <w:r w:rsidRPr="0089269F">
              <w:rPr>
                <w:sz w:val="24"/>
                <w:szCs w:val="24"/>
              </w:rPr>
              <w:t>(where used as a template for the proposed item)</w:t>
            </w:r>
          </w:p>
        </w:tc>
        <w:tc>
          <w:tcPr>
            <w:tcW w:w="6209" w:type="dxa"/>
          </w:tcPr>
          <w:p w14:paraId="4800781C" w14:textId="0704FC1C" w:rsidR="00A05B4D" w:rsidRPr="0089269F" w:rsidRDefault="002D7243" w:rsidP="00BC0C43">
            <w:pPr>
              <w:rPr>
                <w:sz w:val="24"/>
                <w:szCs w:val="24"/>
              </w:rPr>
            </w:pPr>
            <w:r>
              <w:rPr>
                <w:sz w:val="24"/>
                <w:szCs w:val="24"/>
              </w:rPr>
              <w:t>AAAAA</w:t>
            </w:r>
          </w:p>
        </w:tc>
      </w:tr>
      <w:tr w:rsidR="00A05B4D" w:rsidRPr="0089269F" w14:paraId="28C30EF6" w14:textId="77777777" w:rsidTr="00A05B4D">
        <w:tc>
          <w:tcPr>
            <w:tcW w:w="3256" w:type="dxa"/>
          </w:tcPr>
          <w:p w14:paraId="6164541B" w14:textId="67698528" w:rsidR="00A05B4D" w:rsidRPr="0089269F" w:rsidRDefault="00A05B4D" w:rsidP="00BC0C43">
            <w:pPr>
              <w:rPr>
                <w:sz w:val="24"/>
                <w:szCs w:val="24"/>
              </w:rPr>
            </w:pPr>
            <w:r w:rsidRPr="0089269F">
              <w:rPr>
                <w:sz w:val="24"/>
                <w:szCs w:val="24"/>
              </w:rPr>
              <w:t>Category number</w:t>
            </w:r>
          </w:p>
        </w:tc>
        <w:tc>
          <w:tcPr>
            <w:tcW w:w="6209" w:type="dxa"/>
          </w:tcPr>
          <w:p w14:paraId="60FB6E4B" w14:textId="62938D1F" w:rsidR="00A05B4D" w:rsidRPr="0089269F" w:rsidRDefault="002D7243" w:rsidP="00BC0C43">
            <w:pPr>
              <w:rPr>
                <w:sz w:val="24"/>
                <w:szCs w:val="24"/>
              </w:rPr>
            </w:pPr>
            <w:r>
              <w:rPr>
                <w:sz w:val="24"/>
                <w:szCs w:val="24"/>
              </w:rPr>
              <w:t>6</w:t>
            </w:r>
          </w:p>
        </w:tc>
      </w:tr>
      <w:tr w:rsidR="00A05B4D" w:rsidRPr="0089269F" w14:paraId="27CB821A" w14:textId="77777777" w:rsidTr="00A05B4D">
        <w:tc>
          <w:tcPr>
            <w:tcW w:w="3256" w:type="dxa"/>
          </w:tcPr>
          <w:p w14:paraId="5E21B36E" w14:textId="39749155" w:rsidR="00A05B4D" w:rsidRPr="0089269F" w:rsidRDefault="00A05B4D" w:rsidP="00BC0C43">
            <w:pPr>
              <w:rPr>
                <w:sz w:val="24"/>
                <w:szCs w:val="24"/>
              </w:rPr>
            </w:pPr>
            <w:r w:rsidRPr="0089269F">
              <w:rPr>
                <w:sz w:val="24"/>
                <w:szCs w:val="24"/>
              </w:rPr>
              <w:t>Category description</w:t>
            </w:r>
          </w:p>
        </w:tc>
        <w:tc>
          <w:tcPr>
            <w:tcW w:w="6209" w:type="dxa"/>
          </w:tcPr>
          <w:p w14:paraId="4DED686A" w14:textId="5DC88A4C" w:rsidR="00A05B4D" w:rsidRPr="0089269F" w:rsidRDefault="002D7243" w:rsidP="00BC0C43">
            <w:pPr>
              <w:rPr>
                <w:sz w:val="24"/>
                <w:szCs w:val="24"/>
              </w:rPr>
            </w:pPr>
            <w:r>
              <w:rPr>
                <w:sz w:val="24"/>
                <w:szCs w:val="24"/>
              </w:rPr>
              <w:t>Pathology Services</w:t>
            </w:r>
          </w:p>
        </w:tc>
      </w:tr>
      <w:tr w:rsidR="00A05B4D" w:rsidRPr="0089269F" w14:paraId="7AF5F341" w14:textId="77777777" w:rsidTr="00A05B4D">
        <w:tc>
          <w:tcPr>
            <w:tcW w:w="3256" w:type="dxa"/>
          </w:tcPr>
          <w:p w14:paraId="454ADFE2" w14:textId="5F0060E6" w:rsidR="00A05B4D" w:rsidRPr="0089269F" w:rsidRDefault="00A05B4D" w:rsidP="00BC0C43">
            <w:pPr>
              <w:rPr>
                <w:sz w:val="24"/>
                <w:szCs w:val="24"/>
              </w:rPr>
            </w:pPr>
            <w:r w:rsidRPr="0089269F">
              <w:rPr>
                <w:sz w:val="24"/>
                <w:szCs w:val="24"/>
              </w:rPr>
              <w:t>Proposed item descriptor</w:t>
            </w:r>
          </w:p>
        </w:tc>
        <w:tc>
          <w:tcPr>
            <w:tcW w:w="6209" w:type="dxa"/>
          </w:tcPr>
          <w:p w14:paraId="647BC308" w14:textId="6FE80562" w:rsidR="00A05B4D" w:rsidRPr="0089269F" w:rsidRDefault="00FE376F" w:rsidP="00BC0C43">
            <w:pPr>
              <w:rPr>
                <w:sz w:val="24"/>
                <w:szCs w:val="24"/>
              </w:rPr>
            </w:pPr>
            <w:r>
              <w:rPr>
                <w:sz w:val="24"/>
                <w:szCs w:val="24"/>
              </w:rPr>
              <w:t>Quantification of Anti-</w:t>
            </w:r>
            <w:proofErr w:type="spellStart"/>
            <w:r>
              <w:rPr>
                <w:sz w:val="24"/>
                <w:szCs w:val="24"/>
              </w:rPr>
              <w:t>Mūllerian</w:t>
            </w:r>
            <w:proofErr w:type="spellEnd"/>
            <w:r>
              <w:rPr>
                <w:sz w:val="24"/>
                <w:szCs w:val="24"/>
              </w:rPr>
              <w:t xml:space="preserve"> Hormone to detect polycystic ovarian morphology for the diagnosis of polyendocrine metabolic ovarian syndrome (PMOS).</w:t>
            </w:r>
          </w:p>
        </w:tc>
      </w:tr>
      <w:tr w:rsidR="00A05B4D" w:rsidRPr="0089269F" w14:paraId="2C0CA02D" w14:textId="77777777" w:rsidTr="00A05B4D">
        <w:tc>
          <w:tcPr>
            <w:tcW w:w="3256" w:type="dxa"/>
          </w:tcPr>
          <w:p w14:paraId="4881ED4A" w14:textId="6F25EF4B" w:rsidR="00A05B4D" w:rsidRPr="0089269F" w:rsidRDefault="00A05B4D" w:rsidP="00BC0C43">
            <w:pPr>
              <w:rPr>
                <w:sz w:val="24"/>
                <w:szCs w:val="24"/>
              </w:rPr>
            </w:pPr>
            <w:r w:rsidRPr="0089269F">
              <w:rPr>
                <w:sz w:val="24"/>
                <w:szCs w:val="24"/>
              </w:rPr>
              <w:t>Proposed MBS fee</w:t>
            </w:r>
          </w:p>
        </w:tc>
        <w:tc>
          <w:tcPr>
            <w:tcW w:w="6209" w:type="dxa"/>
          </w:tcPr>
          <w:p w14:paraId="3B790048" w14:textId="0E9FEEEC" w:rsidR="00A05B4D" w:rsidRPr="0089269F" w:rsidRDefault="002D7243" w:rsidP="00BC0C43">
            <w:pPr>
              <w:rPr>
                <w:sz w:val="24"/>
                <w:szCs w:val="24"/>
              </w:rPr>
            </w:pPr>
            <w:r>
              <w:rPr>
                <w:sz w:val="24"/>
                <w:szCs w:val="24"/>
              </w:rPr>
              <w:t>$58.50</w:t>
            </w:r>
          </w:p>
        </w:tc>
      </w:tr>
      <w:tr w:rsidR="00A05B4D" w:rsidRPr="0089269F" w14:paraId="0984AD65" w14:textId="77777777" w:rsidTr="00A05B4D">
        <w:tc>
          <w:tcPr>
            <w:tcW w:w="3256" w:type="dxa"/>
          </w:tcPr>
          <w:p w14:paraId="7B69A5E7" w14:textId="0C7AED59" w:rsidR="00A05B4D" w:rsidRPr="0089269F" w:rsidRDefault="00A05B4D" w:rsidP="00BC0C43">
            <w:pPr>
              <w:rPr>
                <w:sz w:val="24"/>
                <w:szCs w:val="24"/>
              </w:rPr>
            </w:pPr>
            <w:r w:rsidRPr="0089269F">
              <w:rPr>
                <w:sz w:val="24"/>
                <w:szCs w:val="24"/>
              </w:rPr>
              <w:t>Indicate the overall cost per patient of providing the proposed health technology</w:t>
            </w:r>
          </w:p>
        </w:tc>
        <w:tc>
          <w:tcPr>
            <w:tcW w:w="6209" w:type="dxa"/>
          </w:tcPr>
          <w:p w14:paraId="1F0E7AAB" w14:textId="5532B93F" w:rsidR="00A05B4D" w:rsidRPr="0089269F" w:rsidRDefault="002D7243" w:rsidP="00BC0C43">
            <w:pPr>
              <w:rPr>
                <w:sz w:val="24"/>
                <w:szCs w:val="24"/>
              </w:rPr>
            </w:pPr>
            <w:r>
              <w:rPr>
                <w:sz w:val="24"/>
                <w:szCs w:val="24"/>
              </w:rPr>
              <w:t>$58.50</w:t>
            </w:r>
          </w:p>
        </w:tc>
      </w:tr>
      <w:tr w:rsidR="00A05B4D" w:rsidRPr="0089269F" w14:paraId="273F94AE" w14:textId="77777777" w:rsidTr="00A05B4D">
        <w:tc>
          <w:tcPr>
            <w:tcW w:w="3256" w:type="dxa"/>
          </w:tcPr>
          <w:p w14:paraId="41FCA2CE" w14:textId="1F2EB5A8" w:rsidR="00A05B4D" w:rsidRPr="0089269F" w:rsidRDefault="00A05B4D" w:rsidP="00BC0C43">
            <w:pPr>
              <w:rPr>
                <w:sz w:val="24"/>
                <w:szCs w:val="24"/>
              </w:rPr>
            </w:pPr>
            <w:r w:rsidRPr="0089269F">
              <w:rPr>
                <w:sz w:val="24"/>
                <w:szCs w:val="24"/>
              </w:rPr>
              <w:lastRenderedPageBreak/>
              <w:t>Please specify any anticipated out of pocket expenses</w:t>
            </w:r>
          </w:p>
        </w:tc>
        <w:tc>
          <w:tcPr>
            <w:tcW w:w="6209" w:type="dxa"/>
          </w:tcPr>
          <w:p w14:paraId="13FE8BA2" w14:textId="69F6AD20" w:rsidR="00A05B4D" w:rsidRPr="0089269F" w:rsidRDefault="002D7243" w:rsidP="00BC0C43">
            <w:pPr>
              <w:rPr>
                <w:rFonts w:eastAsia="Segoe UI"/>
                <w:bCs/>
                <w:color w:val="000000"/>
                <w:sz w:val="24"/>
                <w:szCs w:val="24"/>
              </w:rPr>
            </w:pPr>
            <w:r>
              <w:rPr>
                <w:sz w:val="24"/>
                <w:szCs w:val="24"/>
              </w:rPr>
              <w:t>Nil</w:t>
            </w:r>
          </w:p>
        </w:tc>
      </w:tr>
      <w:tr w:rsidR="00A05B4D" w:rsidRPr="0089269F" w14:paraId="553E9440" w14:textId="77777777" w:rsidTr="00A05B4D">
        <w:tc>
          <w:tcPr>
            <w:tcW w:w="3256" w:type="dxa"/>
          </w:tcPr>
          <w:p w14:paraId="4D378DFC" w14:textId="4C67A6B8" w:rsidR="00A05B4D" w:rsidRPr="0089269F" w:rsidRDefault="00A05B4D" w:rsidP="00BC0C43">
            <w:pPr>
              <w:rPr>
                <w:sz w:val="24"/>
                <w:szCs w:val="24"/>
              </w:rPr>
            </w:pPr>
            <w:r w:rsidRPr="0089269F">
              <w:rPr>
                <w:sz w:val="24"/>
                <w:szCs w:val="24"/>
              </w:rPr>
              <w:t>Provide any further details and explain</w:t>
            </w:r>
          </w:p>
        </w:tc>
        <w:tc>
          <w:tcPr>
            <w:tcW w:w="6209" w:type="dxa"/>
          </w:tcPr>
          <w:p w14:paraId="1A15C994" w14:textId="77777777" w:rsidR="00FE376F" w:rsidRDefault="00FE376F" w:rsidP="00BC0C43">
            <w:pPr>
              <w:rPr>
                <w:sz w:val="24"/>
                <w:szCs w:val="24"/>
              </w:rPr>
            </w:pPr>
            <w:r>
              <w:rPr>
                <w:sz w:val="24"/>
                <w:szCs w:val="24"/>
              </w:rPr>
              <w:t>Recommended associated practice note:</w:t>
            </w:r>
          </w:p>
          <w:p w14:paraId="674ECDEB" w14:textId="7467B31B" w:rsidR="00A05B4D" w:rsidRPr="0089269F" w:rsidRDefault="00FE376F" w:rsidP="00BC0C43">
            <w:pPr>
              <w:rPr>
                <w:rFonts w:eastAsia="Segoe UI"/>
                <w:bCs/>
                <w:color w:val="000000"/>
                <w:sz w:val="24"/>
                <w:szCs w:val="24"/>
              </w:rPr>
            </w:pPr>
            <w:r>
              <w:rPr>
                <w:sz w:val="24"/>
                <w:szCs w:val="24"/>
              </w:rPr>
              <w:t xml:space="preserve">Medicare benefits for AMH testing only apply in cases where reports are provided using a validated age-specific cut-off for determining polycystic ovarian morphology. Eligible patients must be aged &gt;19 years. </w:t>
            </w:r>
            <w:r w:rsidR="002D7243">
              <w:rPr>
                <w:sz w:val="24"/>
                <w:szCs w:val="24"/>
              </w:rPr>
              <w:t xml:space="preserve"> </w:t>
            </w:r>
          </w:p>
        </w:tc>
      </w:tr>
    </w:tbl>
    <w:bookmarkEnd w:id="1"/>
    <w:p w14:paraId="321449D0" w14:textId="53188756" w:rsidR="005E1CFB" w:rsidRPr="00A84BCA" w:rsidRDefault="0090168B" w:rsidP="00EA0AA0">
      <w:pPr>
        <w:pStyle w:val="Heading1"/>
        <w:rPr>
          <w:color w:val="002060"/>
        </w:rPr>
      </w:pPr>
      <w:r w:rsidRPr="00A84BCA">
        <w:rPr>
          <w:color w:val="002060"/>
        </w:rPr>
        <w:t>Algorithms</w:t>
      </w:r>
    </w:p>
    <w:p w14:paraId="7EDD3EB5" w14:textId="76582628" w:rsidR="0090168B" w:rsidRPr="0089269F" w:rsidRDefault="00EA0AA0" w:rsidP="00BC0C43">
      <w:pPr>
        <w:pStyle w:val="Heading2"/>
        <w:rPr>
          <w:sz w:val="24"/>
          <w:szCs w:val="24"/>
          <w:u w:val="single"/>
        </w:rPr>
      </w:pPr>
      <w:r w:rsidRPr="0089269F">
        <w:rPr>
          <w:sz w:val="24"/>
          <w:szCs w:val="24"/>
          <w:u w:val="single"/>
        </w:rPr>
        <w:t>PREPARATION FOR USING THE HEALTH TECHNOLOGY</w:t>
      </w:r>
    </w:p>
    <w:p w14:paraId="463FDC5D" w14:textId="5634DB9D" w:rsidR="005E1CFB" w:rsidRPr="00D163F8" w:rsidRDefault="0090168B" w:rsidP="00D163F8">
      <w:pPr>
        <w:rPr>
          <w:b/>
          <w:bCs/>
          <w:sz w:val="24"/>
          <w:szCs w:val="24"/>
        </w:rPr>
      </w:pPr>
      <w:r w:rsidRPr="00D163F8">
        <w:rPr>
          <w:b/>
          <w:bCs/>
          <w:sz w:val="24"/>
          <w:szCs w:val="24"/>
        </w:rPr>
        <w:t>Define and summarise the clinical management algorithm, including any required tests or healthcare resources, before patients would be eligible for the proposed health technology</w:t>
      </w:r>
      <w:r w:rsidR="005E1CFB" w:rsidRPr="00D163F8">
        <w:rPr>
          <w:b/>
          <w:bCs/>
          <w:sz w:val="24"/>
          <w:szCs w:val="24"/>
        </w:rPr>
        <w:t>:</w:t>
      </w:r>
    </w:p>
    <w:p w14:paraId="6195B227" w14:textId="6AEA4CFE" w:rsidR="005E1CFB" w:rsidRDefault="002D7243" w:rsidP="00BC0C43">
      <w:pPr>
        <w:rPr>
          <w:sz w:val="24"/>
          <w:szCs w:val="24"/>
        </w:rPr>
      </w:pPr>
      <w:r>
        <w:rPr>
          <w:sz w:val="24"/>
          <w:szCs w:val="24"/>
        </w:rPr>
        <w:t>The clinical management algorithm is summarised in relevant clinical guidelines (Algorithm 1):</w:t>
      </w:r>
    </w:p>
    <w:p w14:paraId="280A2024" w14:textId="17579EBB" w:rsidR="002D7243" w:rsidRDefault="002D7243" w:rsidP="00BC0C43">
      <w:pPr>
        <w:rPr>
          <w:sz w:val="24"/>
          <w:szCs w:val="24"/>
        </w:rPr>
      </w:pPr>
      <w:r w:rsidRPr="002D7243">
        <w:rPr>
          <w:noProof/>
          <w:sz w:val="24"/>
          <w:szCs w:val="24"/>
        </w:rPr>
        <w:drawing>
          <wp:inline distT="0" distB="0" distL="0" distR="0" wp14:anchorId="17712ABA" wp14:editId="06CCBC81">
            <wp:extent cx="6030595" cy="3390900"/>
            <wp:effectExtent l="0" t="0" r="8255" b="0"/>
            <wp:docPr id="131503169" name="Picture 1" descr="A flowchart showing the clinical management algorithm. Text as follows:&#10;Step 1: Irregular cycles &amp; clinical hyperandrogenism&#10;exclude other causes - diagnosis&#10;Step 2: If no clinical hyperandrogenism&#10;Test for biochemical hyperandrogenism (exclude other causes) - diagnosis&#10;Step 3: If ONLY irregular cycles OR  hyperandrogenism&#10;Adolescents ultrasound not indicates - consider at risk and reassess later&#10;Adults request ultrasound - if positive diagno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3169" name="Picture 1" descr="A flowchart showing the clinical management algorithm. Text as follows:&#10;Step 1: Irregular cycles &amp; clinical hyperandrogenism&#10;exclude other causes - diagnosis&#10;Step 2: If no clinical hyperandrogenism&#10;Test for biochemical hyperandrogenism (exclude other causes) - diagnosis&#10;Step 3: If ONLY irregular cycles OR  hyperandrogenism&#10;Adolescents ultrasound not indicates - consider at risk and reassess later&#10;Adults request ultrasound - if positive diagnosis"/>
                    <pic:cNvPicPr/>
                  </pic:nvPicPr>
                  <pic:blipFill>
                    <a:blip r:embed="rId8"/>
                    <a:stretch>
                      <a:fillRect/>
                    </a:stretch>
                  </pic:blipFill>
                  <pic:spPr>
                    <a:xfrm>
                      <a:off x="0" y="0"/>
                      <a:ext cx="6030595" cy="3390900"/>
                    </a:xfrm>
                    <a:prstGeom prst="rect">
                      <a:avLst/>
                    </a:prstGeom>
                  </pic:spPr>
                </pic:pic>
              </a:graphicData>
            </a:graphic>
          </wp:inline>
        </w:drawing>
      </w:r>
    </w:p>
    <w:p w14:paraId="0445FDE3" w14:textId="77777777" w:rsidR="00E55111" w:rsidRPr="00E55111" w:rsidRDefault="00E55111" w:rsidP="00E55111">
      <w:pPr>
        <w:rPr>
          <w:rFonts w:ascii="Arial" w:hAnsi="Arial" w:cs="Arial"/>
          <w:b/>
          <w:bCs/>
          <w:sz w:val="20"/>
          <w:szCs w:val="20"/>
        </w:rPr>
      </w:pPr>
      <w:r w:rsidRPr="00E55111">
        <w:rPr>
          <w:rFonts w:ascii="Arial" w:hAnsi="Arial" w:cs="Arial"/>
          <w:b/>
          <w:bCs/>
          <w:sz w:val="20"/>
          <w:szCs w:val="20"/>
        </w:rPr>
        <w:t>Ultrasound and polycystic ovary morphology</w:t>
      </w:r>
    </w:p>
    <w:p w14:paraId="33B1337E" w14:textId="4F1EB498" w:rsidR="00E55111" w:rsidRPr="00E55111" w:rsidRDefault="00E55111" w:rsidP="00E55111">
      <w:pPr>
        <w:rPr>
          <w:rFonts w:ascii="Arial" w:hAnsi="Arial" w:cs="Arial"/>
          <w:sz w:val="20"/>
          <w:szCs w:val="20"/>
        </w:rPr>
      </w:pPr>
      <w:r w:rsidRPr="00E55111">
        <w:rPr>
          <w:rFonts w:ascii="Arial" w:hAnsi="Arial" w:cs="Arial"/>
          <w:sz w:val="20"/>
          <w:szCs w:val="20"/>
        </w:rPr>
        <w:t>With irregular menstrual cycles and hyperandrogenism, an ovarian ultrasound is not necessary for diagnosis.</w:t>
      </w:r>
      <w:r>
        <w:rPr>
          <w:rFonts w:ascii="Arial" w:hAnsi="Arial" w:cs="Arial"/>
          <w:sz w:val="20"/>
          <w:szCs w:val="20"/>
        </w:rPr>
        <w:br/>
      </w:r>
      <w:r w:rsidRPr="00E55111">
        <w:rPr>
          <w:rFonts w:ascii="Arial" w:hAnsi="Arial" w:cs="Arial"/>
          <w:sz w:val="20"/>
          <w:szCs w:val="20"/>
        </w:rPr>
        <w:t>In diagnosis, follicle number per ovary is most effective, followed by follicle number per cross-section and ovarian volume as ultrasound markers in adults.</w:t>
      </w:r>
    </w:p>
    <w:p w14:paraId="71B65034" w14:textId="7253625E" w:rsidR="00E55111" w:rsidRPr="00E55111" w:rsidRDefault="00E55111" w:rsidP="00E55111">
      <w:pPr>
        <w:rPr>
          <w:rFonts w:ascii="Arial" w:hAnsi="Arial" w:cs="Arial"/>
          <w:sz w:val="20"/>
          <w:szCs w:val="20"/>
        </w:rPr>
      </w:pPr>
      <w:r w:rsidRPr="00E55111">
        <w:rPr>
          <w:rFonts w:ascii="Arial" w:hAnsi="Arial" w:cs="Arial"/>
          <w:sz w:val="20"/>
          <w:szCs w:val="20"/>
        </w:rPr>
        <w:t>Ultrasound should not be used for PMOS/PCOS diagnosis in adolescents, due to the high incidence of multi-follicular ovaries in this life stage.</w:t>
      </w:r>
      <w:r>
        <w:rPr>
          <w:rFonts w:ascii="Arial" w:hAnsi="Arial" w:cs="Arial"/>
          <w:sz w:val="20"/>
          <w:szCs w:val="20"/>
        </w:rPr>
        <w:br/>
      </w:r>
      <w:r w:rsidRPr="00E55111">
        <w:rPr>
          <w:rFonts w:ascii="Arial" w:hAnsi="Arial" w:cs="Arial"/>
          <w:sz w:val="20"/>
          <w:szCs w:val="20"/>
        </w:rPr>
        <w:t>Transvaginal ultrasound approach is preferred in diagnosis of PMOS/PCOS, if sexually active or if acceptable to the individual.</w:t>
      </w:r>
      <w:r>
        <w:rPr>
          <w:rFonts w:ascii="Arial" w:hAnsi="Arial" w:cs="Arial"/>
          <w:sz w:val="20"/>
          <w:szCs w:val="20"/>
        </w:rPr>
        <w:br/>
      </w:r>
      <w:r w:rsidRPr="00E55111">
        <w:rPr>
          <w:rFonts w:ascii="Arial" w:hAnsi="Arial" w:cs="Arial"/>
          <w:sz w:val="20"/>
          <w:szCs w:val="20"/>
        </w:rPr>
        <w:t xml:space="preserve">Using ultrasound transducers with a frequency bandwidth including 8 MHz, the PCOM threshold is a follicle number per ovary of ≥ 20 and/or an ovarian volume ≥ 10 ml on either ovary, avoiding corpora lutea, cysts </w:t>
      </w:r>
      <w:r w:rsidRPr="00E55111">
        <w:rPr>
          <w:rFonts w:ascii="Arial" w:hAnsi="Arial" w:cs="Arial"/>
          <w:sz w:val="20"/>
          <w:szCs w:val="20"/>
        </w:rPr>
        <w:lastRenderedPageBreak/>
        <w:t>or dominant follicles.</w:t>
      </w:r>
      <w:r>
        <w:rPr>
          <w:rFonts w:ascii="Arial" w:hAnsi="Arial" w:cs="Arial"/>
          <w:sz w:val="20"/>
          <w:szCs w:val="20"/>
        </w:rPr>
        <w:br/>
      </w:r>
      <w:r w:rsidRPr="00E55111">
        <w:rPr>
          <w:rFonts w:ascii="Arial" w:hAnsi="Arial" w:cs="Arial"/>
          <w:sz w:val="20"/>
          <w:szCs w:val="20"/>
        </w:rPr>
        <w:t xml:space="preserve">Serum AMH could be used for defining PCOM in adults as an alternative to pelvic ultrasound. Either serum AMH OR ultrasound may be used but not both to avoid </w:t>
      </w:r>
      <w:proofErr w:type="gramStart"/>
      <w:r w:rsidRPr="00E55111">
        <w:rPr>
          <w:rFonts w:ascii="Arial" w:hAnsi="Arial" w:cs="Arial"/>
          <w:sz w:val="20"/>
          <w:szCs w:val="20"/>
        </w:rPr>
        <w:t>overdiagnosis.*</w:t>
      </w:r>
      <w:proofErr w:type="gramEnd"/>
    </w:p>
    <w:p w14:paraId="7A2FCAAE" w14:textId="454AA592" w:rsidR="00E55111" w:rsidRPr="00E55111" w:rsidRDefault="00E55111" w:rsidP="00E55111">
      <w:pPr>
        <w:rPr>
          <w:rFonts w:ascii="Arial" w:hAnsi="Arial" w:cs="Arial"/>
          <w:sz w:val="20"/>
          <w:szCs w:val="20"/>
        </w:rPr>
      </w:pPr>
    </w:p>
    <w:p w14:paraId="167F75B7" w14:textId="77777777" w:rsidR="00E55111" w:rsidRPr="00E55111" w:rsidRDefault="00E55111" w:rsidP="00E55111">
      <w:pPr>
        <w:rPr>
          <w:rFonts w:ascii="Arial" w:hAnsi="Arial" w:cs="Arial"/>
          <w:b/>
          <w:bCs/>
          <w:sz w:val="20"/>
          <w:szCs w:val="20"/>
        </w:rPr>
      </w:pPr>
      <w:r w:rsidRPr="00E55111">
        <w:rPr>
          <w:rFonts w:ascii="Arial" w:hAnsi="Arial" w:cs="Arial"/>
          <w:b/>
          <w:bCs/>
          <w:sz w:val="20"/>
          <w:szCs w:val="20"/>
        </w:rPr>
        <w:t>Anti-mullerian hormone (AMH) *</w:t>
      </w:r>
    </w:p>
    <w:p w14:paraId="32D3B4BD" w14:textId="77777777" w:rsidR="00E55111" w:rsidRPr="00E55111" w:rsidRDefault="00E55111" w:rsidP="00E55111">
      <w:pPr>
        <w:rPr>
          <w:rFonts w:ascii="Arial" w:hAnsi="Arial" w:cs="Arial"/>
          <w:sz w:val="20"/>
          <w:szCs w:val="20"/>
        </w:rPr>
      </w:pPr>
      <w:r w:rsidRPr="00E55111">
        <w:rPr>
          <w:rFonts w:ascii="Arial" w:hAnsi="Arial" w:cs="Arial"/>
          <w:sz w:val="20"/>
          <w:szCs w:val="20"/>
        </w:rPr>
        <w:t xml:space="preserve">Serum AMH could be used for defining PCOM in adults as an alternative to pelvic ultrasound. Either serum AMH OR ultrasound may be used but not both to avoid </w:t>
      </w:r>
      <w:proofErr w:type="gramStart"/>
      <w:r w:rsidRPr="00E55111">
        <w:rPr>
          <w:rFonts w:ascii="Arial" w:hAnsi="Arial" w:cs="Arial"/>
          <w:sz w:val="20"/>
          <w:szCs w:val="20"/>
        </w:rPr>
        <w:t>overdiagnosis.*</w:t>
      </w:r>
      <w:proofErr w:type="gramEnd"/>
    </w:p>
    <w:p w14:paraId="107A4406" w14:textId="77777777" w:rsidR="00470A6B" w:rsidRDefault="00470A6B" w:rsidP="002D7243">
      <w:pPr>
        <w:rPr>
          <w:sz w:val="24"/>
          <w:szCs w:val="24"/>
        </w:rPr>
      </w:pPr>
    </w:p>
    <w:p w14:paraId="7C0A5B8A" w14:textId="43FB084D" w:rsidR="002D7243" w:rsidRPr="002D7243" w:rsidRDefault="002D7243" w:rsidP="002D7243">
      <w:pPr>
        <w:rPr>
          <w:rFonts w:eastAsia="Segoe UI"/>
          <w:color w:val="000000"/>
          <w:sz w:val="24"/>
          <w:szCs w:val="24"/>
        </w:rPr>
      </w:pPr>
      <w:r w:rsidRPr="002D7243">
        <w:rPr>
          <w:sz w:val="24"/>
          <w:szCs w:val="24"/>
        </w:rPr>
        <w:t>Patients would be considered eligible for the proposed AMH test only where biochemical androgen testing is negative or inconclusive, but clinical suspicion of PCOS remains (e.g., persistent ovulatory dysfunction with or without clinical features suggestive of hyperandrogenism). In this context, AMH testing is intended to support the diagnostic assessment by providing evidence of polycystic ovarian morphology, potentially reducing the need for imaging-based investigations (e.g., pelvic ultrasound), particularly in populations where ultrasound is less accessible or acceptable.</w:t>
      </w:r>
    </w:p>
    <w:p w14:paraId="4131E93D" w14:textId="44D9E7B5" w:rsidR="005E1CFB" w:rsidRPr="00A86A86" w:rsidRDefault="0090168B" w:rsidP="00BC0C43">
      <w:pPr>
        <w:rPr>
          <w:b/>
          <w:bCs/>
          <w:sz w:val="24"/>
          <w:szCs w:val="24"/>
        </w:rPr>
      </w:pPr>
      <w:r w:rsidRPr="00A86A86">
        <w:rPr>
          <w:b/>
          <w:bCs/>
          <w:sz w:val="24"/>
          <w:szCs w:val="24"/>
        </w:rPr>
        <w:t>Is there any expectation that the clinical management algorithm before the health technology is used will change due to the introduction of the proposed health technology</w:t>
      </w:r>
      <w:r w:rsidR="005E1CFB" w:rsidRPr="00A86A86">
        <w:rPr>
          <w:b/>
          <w:bCs/>
          <w:sz w:val="24"/>
          <w:szCs w:val="24"/>
        </w:rPr>
        <w:t xml:space="preserve">? </w:t>
      </w:r>
    </w:p>
    <w:p w14:paraId="1546906F" w14:textId="6634A7F1" w:rsidR="005E1CFB" w:rsidRPr="0089269F" w:rsidRDefault="005E1CFB" w:rsidP="00BC0C43">
      <w:pPr>
        <w:rPr>
          <w:sz w:val="24"/>
          <w:szCs w:val="24"/>
        </w:rPr>
      </w:pPr>
      <w:r w:rsidRPr="0089269F">
        <w:rPr>
          <w:sz w:val="24"/>
          <w:szCs w:val="24"/>
          <w:highlight w:val="lightGray"/>
        </w:rPr>
        <w:t>No</w:t>
      </w:r>
    </w:p>
    <w:p w14:paraId="0EA69E70" w14:textId="2F8BA449" w:rsidR="005E1CFB" w:rsidRPr="00A86A86" w:rsidRDefault="0090168B" w:rsidP="00A86A86">
      <w:pPr>
        <w:rPr>
          <w:b/>
          <w:bCs/>
          <w:sz w:val="24"/>
          <w:szCs w:val="24"/>
        </w:rPr>
      </w:pPr>
      <w:r w:rsidRPr="00A86A86">
        <w:rPr>
          <w:b/>
          <w:bCs/>
          <w:sz w:val="24"/>
          <w:szCs w:val="24"/>
        </w:rPr>
        <w:t>Describe and explain any differences in the clinical management algorithm prior to the use of the proposed health technology vs. the comparator health technology</w:t>
      </w:r>
      <w:r w:rsidR="005E1CFB" w:rsidRPr="00A86A86">
        <w:rPr>
          <w:b/>
          <w:bCs/>
          <w:sz w:val="24"/>
          <w:szCs w:val="24"/>
        </w:rPr>
        <w:t>:</w:t>
      </w:r>
    </w:p>
    <w:p w14:paraId="16F3E419" w14:textId="34E70164" w:rsidR="00BE6B22" w:rsidRPr="0089269F" w:rsidRDefault="00174D43" w:rsidP="00BC0C43">
      <w:pPr>
        <w:rPr>
          <w:rFonts w:eastAsia="Segoe UI"/>
          <w:color w:val="000000"/>
          <w:sz w:val="24"/>
          <w:szCs w:val="24"/>
        </w:rPr>
      </w:pPr>
      <w:r>
        <w:rPr>
          <w:sz w:val="24"/>
          <w:szCs w:val="24"/>
        </w:rPr>
        <w:t xml:space="preserve">The use of AMH testing is included within the current clinical algorithm, </w:t>
      </w:r>
      <w:r w:rsidR="002D7243">
        <w:rPr>
          <w:sz w:val="24"/>
          <w:szCs w:val="24"/>
        </w:rPr>
        <w:t xml:space="preserve">developed as part of the </w:t>
      </w:r>
      <w:r>
        <w:rPr>
          <w:sz w:val="24"/>
          <w:szCs w:val="24"/>
        </w:rPr>
        <w:t xml:space="preserve">2023 Australian / International Clinical Guidelines. </w:t>
      </w:r>
    </w:p>
    <w:p w14:paraId="2AEB8C28" w14:textId="17DF89E6" w:rsidR="00F16239" w:rsidRPr="0089269F" w:rsidRDefault="00EA0AA0" w:rsidP="00BC0C43">
      <w:pPr>
        <w:pStyle w:val="Heading2"/>
        <w:rPr>
          <w:sz w:val="24"/>
          <w:szCs w:val="24"/>
          <w:u w:val="single"/>
        </w:rPr>
      </w:pPr>
      <w:r w:rsidRPr="0089269F">
        <w:rPr>
          <w:sz w:val="24"/>
          <w:szCs w:val="24"/>
          <w:u w:val="single"/>
        </w:rPr>
        <w:t>USE OF THE HEALTH TECHNOLOGY</w:t>
      </w:r>
    </w:p>
    <w:p w14:paraId="7C130FEF" w14:textId="04FF653C" w:rsidR="0090168B" w:rsidRPr="00A86A86" w:rsidRDefault="00F16239" w:rsidP="00A86A86">
      <w:pPr>
        <w:rPr>
          <w:b/>
          <w:bCs/>
          <w:sz w:val="24"/>
          <w:szCs w:val="24"/>
        </w:rPr>
      </w:pPr>
      <w:r w:rsidRPr="00A86A86">
        <w:rPr>
          <w:b/>
          <w:bCs/>
          <w:sz w:val="24"/>
          <w:szCs w:val="24"/>
        </w:rPr>
        <w:t>Explain what other healthcare resources are used in conjunction with delivering the proposed health technology</w:t>
      </w:r>
      <w:r w:rsidR="0090168B" w:rsidRPr="00A86A86">
        <w:rPr>
          <w:b/>
          <w:bCs/>
          <w:sz w:val="24"/>
          <w:szCs w:val="24"/>
        </w:rPr>
        <w:t>:</w:t>
      </w:r>
    </w:p>
    <w:p w14:paraId="69244EED" w14:textId="59F13E37" w:rsidR="0090168B" w:rsidRDefault="002D7243" w:rsidP="00BC0C43">
      <w:pPr>
        <w:rPr>
          <w:sz w:val="24"/>
          <w:szCs w:val="24"/>
        </w:rPr>
      </w:pPr>
      <w:r>
        <w:rPr>
          <w:sz w:val="24"/>
          <w:szCs w:val="24"/>
        </w:rPr>
        <w:t>The proposed health technology would be part of the diagnosis of PMOS (as outlined above). This would involve:</w:t>
      </w:r>
    </w:p>
    <w:p w14:paraId="0DDF996E" w14:textId="5FB86A70" w:rsidR="002D7243" w:rsidRDefault="002D7243" w:rsidP="002D7243">
      <w:pPr>
        <w:pStyle w:val="ListParagraph"/>
        <w:numPr>
          <w:ilvl w:val="0"/>
          <w:numId w:val="1"/>
        </w:numPr>
        <w:rPr>
          <w:rFonts w:eastAsia="Segoe UI"/>
          <w:color w:val="000000"/>
          <w:sz w:val="24"/>
          <w:szCs w:val="24"/>
        </w:rPr>
      </w:pPr>
      <w:r>
        <w:rPr>
          <w:rFonts w:eastAsia="Segoe UI"/>
          <w:color w:val="000000"/>
          <w:sz w:val="24"/>
          <w:szCs w:val="24"/>
        </w:rPr>
        <w:t>Clinical consultations (attendance items)</w:t>
      </w:r>
    </w:p>
    <w:p w14:paraId="5B56238E" w14:textId="02FD3F8C" w:rsidR="002D7243" w:rsidRDefault="002D7243" w:rsidP="002D7243">
      <w:pPr>
        <w:pStyle w:val="ListParagraph"/>
        <w:numPr>
          <w:ilvl w:val="0"/>
          <w:numId w:val="1"/>
        </w:numPr>
        <w:rPr>
          <w:rFonts w:eastAsia="Segoe UI"/>
          <w:color w:val="000000"/>
          <w:sz w:val="24"/>
          <w:szCs w:val="24"/>
        </w:rPr>
      </w:pPr>
      <w:r>
        <w:rPr>
          <w:rFonts w:eastAsia="Segoe UI"/>
          <w:color w:val="000000"/>
          <w:sz w:val="24"/>
          <w:szCs w:val="24"/>
        </w:rPr>
        <w:t>Prior pathology investigations (pathology services to assess hormone levels / biochemical hyperandrogenism)</w:t>
      </w:r>
    </w:p>
    <w:p w14:paraId="19BAAFB4" w14:textId="14126BF6" w:rsidR="002D7243" w:rsidRPr="002D7243" w:rsidRDefault="002D7243" w:rsidP="002D7243">
      <w:pPr>
        <w:rPr>
          <w:rFonts w:eastAsia="Segoe UI"/>
          <w:color w:val="000000"/>
          <w:sz w:val="24"/>
          <w:szCs w:val="24"/>
        </w:rPr>
      </w:pPr>
      <w:r>
        <w:rPr>
          <w:rFonts w:eastAsia="Segoe UI"/>
          <w:color w:val="000000"/>
          <w:sz w:val="24"/>
          <w:szCs w:val="24"/>
        </w:rPr>
        <w:t xml:space="preserve">It is possible that some patients who receive a negative AMH serum result may be referred for an additional ultrasound if there are either suspicions of a false negative or further investigational work-up. </w:t>
      </w:r>
      <w:r w:rsidR="00C03C1D">
        <w:rPr>
          <w:rFonts w:eastAsia="Segoe UI"/>
          <w:color w:val="000000"/>
          <w:sz w:val="24"/>
          <w:szCs w:val="24"/>
        </w:rPr>
        <w:t xml:space="preserve">AMH testing is likely to be </w:t>
      </w:r>
      <w:proofErr w:type="gramStart"/>
      <w:r w:rsidR="00C03C1D">
        <w:rPr>
          <w:rFonts w:eastAsia="Segoe UI"/>
          <w:color w:val="000000"/>
          <w:sz w:val="24"/>
          <w:szCs w:val="24"/>
        </w:rPr>
        <w:t>cost-minimising</w:t>
      </w:r>
      <w:proofErr w:type="gramEnd"/>
      <w:r w:rsidR="00C03C1D">
        <w:rPr>
          <w:rFonts w:eastAsia="Segoe UI"/>
          <w:color w:val="000000"/>
          <w:sz w:val="24"/>
          <w:szCs w:val="24"/>
        </w:rPr>
        <w:t xml:space="preserve"> as the proposed scheduled fee is less than the comparator ultrasound item. </w:t>
      </w:r>
    </w:p>
    <w:p w14:paraId="38D2ADE7" w14:textId="00333F26" w:rsidR="0090168B" w:rsidRPr="00A86A86" w:rsidRDefault="00F16239" w:rsidP="00A86A86">
      <w:pPr>
        <w:rPr>
          <w:b/>
          <w:bCs/>
          <w:sz w:val="24"/>
          <w:szCs w:val="24"/>
        </w:rPr>
      </w:pPr>
      <w:r w:rsidRPr="00A86A86">
        <w:rPr>
          <w:b/>
          <w:bCs/>
          <w:sz w:val="24"/>
          <w:szCs w:val="24"/>
        </w:rPr>
        <w:t>Explain what other healthcare resources are used in conjunction with the comparator health technology</w:t>
      </w:r>
      <w:r w:rsidR="0090168B" w:rsidRPr="00A86A86">
        <w:rPr>
          <w:b/>
          <w:bCs/>
          <w:sz w:val="24"/>
          <w:szCs w:val="24"/>
        </w:rPr>
        <w:t>:</w:t>
      </w:r>
    </w:p>
    <w:p w14:paraId="4151B2DB" w14:textId="6EB652DF" w:rsidR="0090168B" w:rsidRPr="0089269F" w:rsidRDefault="002D7243" w:rsidP="00BC0C43">
      <w:pPr>
        <w:rPr>
          <w:rFonts w:eastAsia="Segoe UI"/>
          <w:color w:val="000000"/>
          <w:sz w:val="24"/>
          <w:szCs w:val="24"/>
        </w:rPr>
      </w:pPr>
      <w:r>
        <w:rPr>
          <w:sz w:val="24"/>
          <w:szCs w:val="24"/>
        </w:rPr>
        <w:t xml:space="preserve">Healthcare </w:t>
      </w:r>
      <w:r w:rsidR="00C03C1D">
        <w:rPr>
          <w:sz w:val="24"/>
          <w:szCs w:val="24"/>
        </w:rPr>
        <w:t xml:space="preserve">resource utilisation is likely to be similar between comparators, with the exception that ultrasound may be delivered in-office by some specialist clinicians. </w:t>
      </w:r>
    </w:p>
    <w:p w14:paraId="378F78D9" w14:textId="28E2F695" w:rsidR="00F16239" w:rsidRPr="00A86A86" w:rsidRDefault="00F16239" w:rsidP="00A86A86">
      <w:pPr>
        <w:rPr>
          <w:b/>
          <w:bCs/>
          <w:sz w:val="24"/>
          <w:szCs w:val="24"/>
        </w:rPr>
      </w:pPr>
      <w:r w:rsidRPr="00A86A86">
        <w:rPr>
          <w:b/>
          <w:bCs/>
          <w:sz w:val="24"/>
          <w:szCs w:val="24"/>
        </w:rPr>
        <w:lastRenderedPageBreak/>
        <w:t>Describe and explain any differences in the healthcare resources used in conjunction with the proposed health technology vs. the comparator health technology:</w:t>
      </w:r>
    </w:p>
    <w:p w14:paraId="0D1BCE9A" w14:textId="4D9BDE72" w:rsidR="00C03C1D" w:rsidRPr="00C03C1D" w:rsidRDefault="00C03C1D" w:rsidP="00C03C1D">
      <w:pPr>
        <w:rPr>
          <w:sz w:val="24"/>
          <w:szCs w:val="24"/>
        </w:rPr>
      </w:pPr>
      <w:r w:rsidRPr="00C03C1D">
        <w:rPr>
          <w:sz w:val="24"/>
          <w:szCs w:val="24"/>
        </w:rPr>
        <w:t xml:space="preserve">In Australia, the use of ultrasound to identify PCOM is relatively resource-intensive and relies on specialised infrastructure and workforce. The pathway typically requires access to an imaging facility, a trained sonographer to perform the scan, and a radiologist or appropriately qualified clinician to interpret and report the findings. It involves capital-intensive equipment (high-resolution ultrasound machines and transvaginal probes), dedicated clinical space, ongoing maintenance, and scheduling of a separate appointment that may introduce waiting times. From the patient perspective, the procedure is more time-consuming and, when performed </w:t>
      </w:r>
      <w:proofErr w:type="spellStart"/>
      <w:r w:rsidRPr="00C03C1D">
        <w:rPr>
          <w:sz w:val="24"/>
          <w:szCs w:val="24"/>
        </w:rPr>
        <w:t>transvaginally</w:t>
      </w:r>
      <w:proofErr w:type="spellEnd"/>
      <w:r w:rsidRPr="00C03C1D">
        <w:rPr>
          <w:sz w:val="24"/>
          <w:szCs w:val="24"/>
        </w:rPr>
        <w:t>, invasive, which may limit acceptability in some populations. These factors collectively result in higher per-episode resource use and greater system dependency on imaging capacity.</w:t>
      </w:r>
    </w:p>
    <w:p w14:paraId="7ED1B000" w14:textId="77777777" w:rsidR="00C03C1D" w:rsidRPr="00C03C1D" w:rsidRDefault="00C03C1D" w:rsidP="00C03C1D">
      <w:pPr>
        <w:rPr>
          <w:sz w:val="24"/>
          <w:szCs w:val="24"/>
        </w:rPr>
      </w:pPr>
      <w:r w:rsidRPr="00C03C1D">
        <w:rPr>
          <w:sz w:val="24"/>
          <w:szCs w:val="24"/>
        </w:rPr>
        <w:t>By contrast, AMH testing uses fewer healthcare resources and can be more easily integrated into routine clinical care. The test requires only a standard blood draw by a GP, nurse, with analysis undertaken in an existing pathology laboratory using widely available assay platforms. There is no need for specialised imaging equipment or dedicated procedural rooms, and the patient time burden is minimal. AMH testing can often be ordered and completed within a single primary-care encounter, improving accessibility, particularly in rural or resource-constrained settings. Overall, compared with ultrasound, AMH testing represents a lower-intensity, more scalable use of healthcare resources, with reduced reliance on specialised personnel and infrastructure, albeit with the need for careful clinical interpretation within established diagnostic pathways.</w:t>
      </w:r>
    </w:p>
    <w:p w14:paraId="161BEF1B" w14:textId="4D59E9D5" w:rsidR="00F16239" w:rsidRPr="0089269F" w:rsidRDefault="00F16239" w:rsidP="00BC0C43">
      <w:pPr>
        <w:rPr>
          <w:rFonts w:eastAsia="Segoe UI"/>
          <w:color w:val="000000"/>
          <w:sz w:val="24"/>
          <w:szCs w:val="24"/>
        </w:rPr>
      </w:pPr>
    </w:p>
    <w:p w14:paraId="2BE17ED5" w14:textId="0F1E92FD" w:rsidR="00F16239" w:rsidRPr="0089269F" w:rsidRDefault="00EA0AA0" w:rsidP="00BF4BAA">
      <w:pPr>
        <w:pStyle w:val="Heading2"/>
        <w:rPr>
          <w:sz w:val="24"/>
          <w:szCs w:val="24"/>
          <w:u w:val="single"/>
        </w:rPr>
      </w:pPr>
      <w:r w:rsidRPr="0089269F">
        <w:rPr>
          <w:sz w:val="24"/>
          <w:szCs w:val="24"/>
          <w:u w:val="single"/>
        </w:rPr>
        <w:t>CLINICAL MANAGEMENT AFTER THE USE OF HEALTH TECHNOLOGY</w:t>
      </w:r>
    </w:p>
    <w:p w14:paraId="3017C87B" w14:textId="631F5EC6" w:rsidR="00F16239" w:rsidRPr="00A86A86" w:rsidRDefault="00F16239" w:rsidP="00A86A86">
      <w:pPr>
        <w:rPr>
          <w:b/>
          <w:bCs/>
          <w:sz w:val="24"/>
          <w:szCs w:val="24"/>
        </w:rPr>
      </w:pPr>
      <w:r w:rsidRPr="00A86A86">
        <w:rPr>
          <w:b/>
          <w:bCs/>
          <w:sz w:val="24"/>
          <w:szCs w:val="24"/>
        </w:rPr>
        <w:t>Define and summarise the clinical management algorithm, including any required tests or healthcare resources, after the use of the proposed health technology:</w:t>
      </w:r>
    </w:p>
    <w:p w14:paraId="22F53CB1" w14:textId="4A1947EA" w:rsidR="00F16239" w:rsidRPr="0089269F" w:rsidRDefault="00C03C1D" w:rsidP="00BC0C43">
      <w:pPr>
        <w:rPr>
          <w:rFonts w:eastAsia="Segoe UI"/>
          <w:color w:val="000000"/>
          <w:sz w:val="24"/>
          <w:szCs w:val="24"/>
        </w:rPr>
      </w:pPr>
      <w:r>
        <w:rPr>
          <w:sz w:val="24"/>
          <w:szCs w:val="24"/>
        </w:rPr>
        <w:t xml:space="preserve">The introduction of AMH testing is not anticipated to change the utilisation of healthcare resources, in comparison to current standard of care. Healthcare resource utilisation after detection of PCOM and confirmation of PMOS diagnosis is dependent on individual patient risk factors and clinical judgement, in line with </w:t>
      </w:r>
      <w:proofErr w:type="gramStart"/>
      <w:r>
        <w:rPr>
          <w:sz w:val="24"/>
          <w:szCs w:val="24"/>
        </w:rPr>
        <w:t>evidence based</w:t>
      </w:r>
      <w:proofErr w:type="gramEnd"/>
      <w:r>
        <w:rPr>
          <w:sz w:val="24"/>
          <w:szCs w:val="24"/>
        </w:rPr>
        <w:t xml:space="preserve"> recommendations in the Australian clinical guidelines. </w:t>
      </w:r>
    </w:p>
    <w:p w14:paraId="09165252" w14:textId="69360128" w:rsidR="00F16239" w:rsidRPr="00A86A86" w:rsidRDefault="00F16239" w:rsidP="00A86A86">
      <w:pPr>
        <w:rPr>
          <w:b/>
          <w:bCs/>
          <w:sz w:val="24"/>
          <w:szCs w:val="24"/>
        </w:rPr>
      </w:pPr>
      <w:r w:rsidRPr="00A86A86">
        <w:rPr>
          <w:b/>
          <w:bCs/>
          <w:sz w:val="24"/>
          <w:szCs w:val="24"/>
        </w:rPr>
        <w:t>Define and summarise the clinical management algorithm, including any required tests or healthcare resources, after the use of the comparator health technology:</w:t>
      </w:r>
    </w:p>
    <w:p w14:paraId="7261FD8A" w14:textId="6F0BD42A" w:rsidR="00F16239" w:rsidRPr="0089269F" w:rsidRDefault="00C03C1D" w:rsidP="00BC0C43">
      <w:pPr>
        <w:rPr>
          <w:rFonts w:eastAsia="Segoe UI"/>
          <w:color w:val="000000"/>
          <w:sz w:val="24"/>
          <w:szCs w:val="24"/>
        </w:rPr>
      </w:pPr>
      <w:r>
        <w:rPr>
          <w:sz w:val="24"/>
          <w:szCs w:val="24"/>
        </w:rPr>
        <w:t xml:space="preserve">Overall clinical management after use of comparator is expected to be identical to after AMH testing. </w:t>
      </w:r>
    </w:p>
    <w:p w14:paraId="5C871695" w14:textId="78E78F7F" w:rsidR="00F16239" w:rsidRPr="00A86A86" w:rsidRDefault="00F16239" w:rsidP="00A86A86">
      <w:pPr>
        <w:rPr>
          <w:b/>
          <w:bCs/>
          <w:sz w:val="24"/>
          <w:szCs w:val="24"/>
        </w:rPr>
      </w:pPr>
      <w:r w:rsidRPr="00A86A86">
        <w:rPr>
          <w:b/>
          <w:bCs/>
          <w:sz w:val="24"/>
          <w:szCs w:val="24"/>
        </w:rPr>
        <w:t>Describe and explain any differences in the healthcare resources used after the proposed health technology vs. the comparator health technology:</w:t>
      </w:r>
    </w:p>
    <w:p w14:paraId="457A3017" w14:textId="766F044E" w:rsidR="00F16239" w:rsidRPr="0089269F" w:rsidRDefault="00C03C1D" w:rsidP="00BC0C43">
      <w:pPr>
        <w:rPr>
          <w:rFonts w:eastAsia="Segoe UI"/>
          <w:color w:val="000000"/>
          <w:sz w:val="24"/>
          <w:szCs w:val="24"/>
        </w:rPr>
      </w:pPr>
      <w:r>
        <w:rPr>
          <w:sz w:val="24"/>
          <w:szCs w:val="24"/>
        </w:rPr>
        <w:t xml:space="preserve">No differences are expected. </w:t>
      </w:r>
    </w:p>
    <w:p w14:paraId="5574CCE6" w14:textId="562A47EE" w:rsidR="003B5CCD" w:rsidRPr="00A86A86" w:rsidRDefault="00364572" w:rsidP="00A86A86">
      <w:pPr>
        <w:rPr>
          <w:b/>
          <w:bCs/>
          <w:sz w:val="24"/>
          <w:szCs w:val="24"/>
        </w:rPr>
      </w:pPr>
      <w:r w:rsidRPr="00A86A86">
        <w:rPr>
          <w:b/>
          <w:bCs/>
          <w:sz w:val="24"/>
          <w:szCs w:val="24"/>
        </w:rPr>
        <w:t xml:space="preserve">Insert </w:t>
      </w:r>
      <w:r w:rsidR="00545A4C" w:rsidRPr="00A86A86">
        <w:rPr>
          <w:b/>
          <w:bCs/>
          <w:sz w:val="24"/>
          <w:szCs w:val="24"/>
        </w:rPr>
        <w:t>diagrams demonstrating the clinical management algorithm with and without the proposed health technology:</w:t>
      </w:r>
    </w:p>
    <w:p w14:paraId="54B68C4F" w14:textId="47779342" w:rsidR="00F16239" w:rsidRDefault="00C03C1D" w:rsidP="00BC0C43">
      <w:pPr>
        <w:rPr>
          <w:sz w:val="24"/>
          <w:szCs w:val="24"/>
        </w:rPr>
      </w:pPr>
      <w:r>
        <w:rPr>
          <w:sz w:val="24"/>
          <w:szCs w:val="24"/>
        </w:rPr>
        <w:lastRenderedPageBreak/>
        <w:t>PMOS / PCOS diagnosis with AMH testing:</w:t>
      </w:r>
    </w:p>
    <w:p w14:paraId="59760F32" w14:textId="46690299" w:rsidR="00C03C1D" w:rsidRDefault="00C03C1D" w:rsidP="00BC0C43">
      <w:pPr>
        <w:rPr>
          <w:sz w:val="24"/>
          <w:szCs w:val="24"/>
        </w:rPr>
      </w:pPr>
      <w:r>
        <w:rPr>
          <w:rFonts w:ascii="Quattrocento Sans" w:hAnsi="Quattrocento Sans"/>
          <w:noProof/>
          <w:color w:val="000000"/>
        </w:rPr>
        <w:drawing>
          <wp:inline distT="0" distB="0" distL="0" distR="0" wp14:anchorId="6CAF0523" wp14:editId="07ACA93F">
            <wp:extent cx="5734050" cy="2362200"/>
            <wp:effectExtent l="0" t="0" r="0" b="0"/>
            <wp:docPr id="287232728" name="Picture 1" descr="Flow chart of clinical management algorithm with AMH testing as an alternative to transvaginal US at step 3.&#10;Step 1: Clinical Assessment&#10;Step 2: Biochemical Andro Testing&#10;Step 3: PCOM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32728" name="Picture 1" descr="Flow chart of clinical management algorithm with AMH testing as an alternative to transvaginal US at step 3.&#10;Step 1: Clinical Assessment&#10;Step 2: Biochemical Andro Testing&#10;Step 3: PCOM Assess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2362200"/>
                    </a:xfrm>
                    <a:prstGeom prst="rect">
                      <a:avLst/>
                    </a:prstGeom>
                    <a:noFill/>
                    <a:ln>
                      <a:noFill/>
                    </a:ln>
                  </pic:spPr>
                </pic:pic>
              </a:graphicData>
            </a:graphic>
          </wp:inline>
        </w:drawing>
      </w:r>
    </w:p>
    <w:p w14:paraId="123FAD2B" w14:textId="54B0AF8C" w:rsidR="00C03C1D" w:rsidRDefault="00C03C1D" w:rsidP="00BC0C43">
      <w:pPr>
        <w:rPr>
          <w:sz w:val="24"/>
          <w:szCs w:val="24"/>
        </w:rPr>
      </w:pPr>
      <w:r>
        <w:rPr>
          <w:sz w:val="24"/>
          <w:szCs w:val="24"/>
        </w:rPr>
        <w:t>PMOS / PCOS diagnosis without AMH testing:</w:t>
      </w:r>
    </w:p>
    <w:p w14:paraId="75C1563A" w14:textId="794F54DD" w:rsidR="00C03C1D" w:rsidRPr="0089269F" w:rsidRDefault="00C03C1D" w:rsidP="00BC0C43">
      <w:pPr>
        <w:rPr>
          <w:sz w:val="24"/>
          <w:szCs w:val="24"/>
        </w:rPr>
      </w:pPr>
      <w:r>
        <w:rPr>
          <w:rFonts w:ascii="Quattrocento Sans" w:hAnsi="Quattrocento Sans"/>
          <w:noProof/>
          <w:color w:val="000000"/>
        </w:rPr>
        <w:drawing>
          <wp:inline distT="0" distB="0" distL="0" distR="0" wp14:anchorId="78E9D9DD" wp14:editId="69EEC1F5">
            <wp:extent cx="5734050" cy="2362200"/>
            <wp:effectExtent l="0" t="0" r="0" b="0"/>
            <wp:docPr id="670978917" name="Picture 2" descr="A flowchart showing clinical management without AMH testing&#10;&#10;Step 1: Clinical Assessment&#10;Step 2: Biochemical Andro Testing&#10;Step 3: PCOM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78917" name="Picture 2" descr="A flowchart showing clinical management without AMH testing&#10;&#10;Step 1: Clinical Assessment&#10;Step 2: Biochemical Andro Testing&#10;Step 3: PCOM Assess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4050" cy="2362200"/>
                    </a:xfrm>
                    <a:prstGeom prst="rect">
                      <a:avLst/>
                    </a:prstGeom>
                    <a:noFill/>
                    <a:ln>
                      <a:noFill/>
                    </a:ln>
                  </pic:spPr>
                </pic:pic>
              </a:graphicData>
            </a:graphic>
          </wp:inline>
        </w:drawing>
      </w:r>
    </w:p>
    <w:p w14:paraId="5C94C69B" w14:textId="4B95100F" w:rsidR="004A45BE" w:rsidRPr="00A84BCA" w:rsidRDefault="004A45BE" w:rsidP="00EA0AA0">
      <w:pPr>
        <w:pStyle w:val="Heading1"/>
        <w:rPr>
          <w:color w:val="002060"/>
        </w:rPr>
      </w:pPr>
      <w:r w:rsidRPr="00A84BCA">
        <w:rPr>
          <w:color w:val="002060"/>
        </w:rPr>
        <w:t>Claims</w:t>
      </w:r>
    </w:p>
    <w:p w14:paraId="022C40EC" w14:textId="77777777" w:rsidR="00361BBE" w:rsidRPr="00A86A86" w:rsidRDefault="004A45BE" w:rsidP="00A86A86">
      <w:pPr>
        <w:rPr>
          <w:b/>
          <w:bCs/>
          <w:sz w:val="24"/>
          <w:szCs w:val="24"/>
        </w:rPr>
      </w:pPr>
      <w:bookmarkStart w:id="2" w:name="_Hlk121218597"/>
      <w:r w:rsidRPr="00A86A86">
        <w:rPr>
          <w:b/>
          <w:bCs/>
          <w:sz w:val="24"/>
          <w:szCs w:val="24"/>
        </w:rPr>
        <w:t xml:space="preserve">In terms of health outcomes (comparative benefits and harms), is the proposed technology claimed to be superior, non-inferior or inferior to the comparator(s)? </w:t>
      </w:r>
    </w:p>
    <w:p w14:paraId="6CA90951" w14:textId="2C48DBFD" w:rsidR="00582377" w:rsidRPr="00DB2AB9" w:rsidRDefault="00582377" w:rsidP="00E410BF">
      <w:pPr>
        <w:pStyle w:val="Instructions"/>
        <w:rPr>
          <w:b w:val="0"/>
          <w:bCs w:val="0"/>
        </w:rPr>
      </w:pPr>
      <w:r w:rsidRPr="00DB2AB9">
        <w:rPr>
          <w:b w:val="0"/>
          <w:bCs w:val="0"/>
        </w:rPr>
        <w:t>(Please select your response)</w:t>
      </w:r>
    </w:p>
    <w:p w14:paraId="137243BD" w14:textId="0F2488CE" w:rsidR="004209FC" w:rsidRPr="0089269F" w:rsidRDefault="007F165F" w:rsidP="00582377">
      <w:pPr>
        <w:pStyle w:val="Tickboxes"/>
        <w:rPr>
          <w:sz w:val="24"/>
          <w:szCs w:val="24"/>
        </w:rPr>
      </w:pPr>
      <w:r>
        <w:rPr>
          <w:sz w:val="24"/>
          <w:szCs w:val="24"/>
        </w:rPr>
        <w:fldChar w:fldCharType="begin">
          <w:ffData>
            <w:name w:val="Check1"/>
            <w:enabled/>
            <w:calcOnExit w:val="0"/>
            <w:statusText w:type="text" w:val="Health outcomes superior"/>
            <w:checkBox>
              <w:sizeAuto/>
              <w:default w:val="0"/>
            </w:checkBox>
          </w:ffData>
        </w:fldChar>
      </w:r>
      <w:bookmarkStart w:id="3" w:name="Check1"/>
      <w:r>
        <w:rPr>
          <w:sz w:val="24"/>
          <w:szCs w:val="24"/>
        </w:rPr>
        <w:instrText xml:space="preserve"> FORMCHECKBOX </w:instrText>
      </w:r>
      <w:r>
        <w:rPr>
          <w:sz w:val="24"/>
          <w:szCs w:val="24"/>
        </w:rPr>
      </w:r>
      <w:r>
        <w:rPr>
          <w:sz w:val="24"/>
          <w:szCs w:val="24"/>
        </w:rPr>
        <w:fldChar w:fldCharType="separate"/>
      </w:r>
      <w:r>
        <w:rPr>
          <w:sz w:val="24"/>
          <w:szCs w:val="24"/>
        </w:rPr>
        <w:fldChar w:fldCharType="end"/>
      </w:r>
      <w:bookmarkEnd w:id="3"/>
      <w:r w:rsidR="004209FC" w:rsidRPr="0089269F">
        <w:rPr>
          <w:sz w:val="24"/>
          <w:szCs w:val="24"/>
        </w:rPr>
        <w:t xml:space="preserve"> Superior </w:t>
      </w:r>
    </w:p>
    <w:p w14:paraId="219D6AC6" w14:textId="5BE468EC" w:rsidR="004209FC" w:rsidRPr="0089269F" w:rsidRDefault="00C03C1D" w:rsidP="00582377">
      <w:pPr>
        <w:pStyle w:val="Tickboxes"/>
        <w:rPr>
          <w:sz w:val="24"/>
          <w:szCs w:val="24"/>
        </w:rPr>
      </w:pPr>
      <w:r>
        <w:rPr>
          <w:sz w:val="24"/>
          <w:szCs w:val="24"/>
        </w:rPr>
        <w:fldChar w:fldCharType="begin">
          <w:ffData>
            <w:name w:val="Check2"/>
            <w:enabled/>
            <w:calcOnExit w:val="0"/>
            <w:statusText w:type="text" w:val="Health outcomes non-inferior"/>
            <w:checkBox>
              <w:sizeAuto/>
              <w:default w:val="1"/>
            </w:checkBox>
          </w:ffData>
        </w:fldChar>
      </w:r>
      <w:bookmarkStart w:id="4" w:name="Check2"/>
      <w:r>
        <w:rPr>
          <w:sz w:val="24"/>
          <w:szCs w:val="24"/>
        </w:rPr>
        <w:instrText xml:space="preserve"> FORMCHECKBOX </w:instrText>
      </w:r>
      <w:r>
        <w:rPr>
          <w:sz w:val="24"/>
          <w:szCs w:val="24"/>
        </w:rPr>
      </w:r>
      <w:r>
        <w:rPr>
          <w:sz w:val="24"/>
          <w:szCs w:val="24"/>
        </w:rPr>
        <w:fldChar w:fldCharType="separate"/>
      </w:r>
      <w:r>
        <w:rPr>
          <w:sz w:val="24"/>
          <w:szCs w:val="24"/>
        </w:rPr>
        <w:fldChar w:fldCharType="end"/>
      </w:r>
      <w:bookmarkEnd w:id="4"/>
      <w:r w:rsidR="004209FC" w:rsidRPr="0089269F">
        <w:rPr>
          <w:sz w:val="24"/>
          <w:szCs w:val="24"/>
        </w:rPr>
        <w:t xml:space="preserve"> Non-inferior</w:t>
      </w:r>
    </w:p>
    <w:p w14:paraId="1E1E7FC3" w14:textId="243BEEB3" w:rsidR="00364572" w:rsidRPr="0089269F" w:rsidRDefault="007F165F" w:rsidP="00582377">
      <w:pPr>
        <w:pStyle w:val="Tickboxes"/>
        <w:rPr>
          <w:sz w:val="24"/>
          <w:szCs w:val="24"/>
        </w:rPr>
      </w:pPr>
      <w:r>
        <w:rPr>
          <w:sz w:val="24"/>
          <w:szCs w:val="24"/>
        </w:rPr>
        <w:fldChar w:fldCharType="begin">
          <w:ffData>
            <w:name w:val=""/>
            <w:enabled/>
            <w:calcOnExit w:val="0"/>
            <w:statusText w:type="text" w:val="Health outcomes inferior"/>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209FC" w:rsidRPr="0089269F">
        <w:rPr>
          <w:sz w:val="24"/>
          <w:szCs w:val="24"/>
        </w:rPr>
        <w:t xml:space="preserve"> Inferior </w:t>
      </w:r>
    </w:p>
    <w:p w14:paraId="12D880D8" w14:textId="573EC961" w:rsidR="004A45BE" w:rsidRPr="00A86A86" w:rsidRDefault="00364572" w:rsidP="00A86A86">
      <w:pPr>
        <w:rPr>
          <w:b/>
          <w:bCs/>
          <w:sz w:val="24"/>
          <w:szCs w:val="24"/>
        </w:rPr>
      </w:pPr>
      <w:r w:rsidRPr="00A86A86">
        <w:rPr>
          <w:b/>
          <w:bCs/>
          <w:sz w:val="24"/>
          <w:szCs w:val="24"/>
        </w:rPr>
        <w:t>Please state what the overall claim is, and provide a rationale:</w:t>
      </w:r>
    </w:p>
    <w:bookmarkEnd w:id="2"/>
    <w:p w14:paraId="4C50D112" w14:textId="16C6C680" w:rsidR="004A45BE" w:rsidRPr="0089269F" w:rsidRDefault="00C03C1D" w:rsidP="00BC0C43">
      <w:pPr>
        <w:rPr>
          <w:rFonts w:eastAsia="Segoe UI"/>
          <w:color w:val="000000"/>
          <w:sz w:val="24"/>
          <w:szCs w:val="24"/>
        </w:rPr>
      </w:pPr>
      <w:r>
        <w:rPr>
          <w:sz w:val="24"/>
          <w:szCs w:val="24"/>
        </w:rPr>
        <w:t>AMH testing is a non-inferior option to establish PCOM in the context of PMOS diagnosis.</w:t>
      </w:r>
    </w:p>
    <w:p w14:paraId="43670E9E" w14:textId="3DAE6738" w:rsidR="004A45BE" w:rsidRPr="00A86A86" w:rsidRDefault="004A45BE" w:rsidP="00A86A86">
      <w:pPr>
        <w:rPr>
          <w:b/>
          <w:bCs/>
          <w:sz w:val="24"/>
          <w:szCs w:val="24"/>
        </w:rPr>
      </w:pPr>
      <w:r w:rsidRPr="00A86A86">
        <w:rPr>
          <w:b/>
          <w:bCs/>
          <w:sz w:val="24"/>
          <w:szCs w:val="24"/>
        </w:rPr>
        <w:t>Why would the requestor seek to use the proposed investigative technology rather than the comparator(s)?</w:t>
      </w:r>
    </w:p>
    <w:p w14:paraId="56268485" w14:textId="43DED4FC" w:rsidR="004A45BE" w:rsidRPr="0089269F" w:rsidRDefault="00C03C1D" w:rsidP="00BC0C43">
      <w:pPr>
        <w:rPr>
          <w:rFonts w:eastAsia="Segoe UI"/>
          <w:color w:val="000000"/>
          <w:sz w:val="24"/>
          <w:szCs w:val="24"/>
        </w:rPr>
      </w:pPr>
      <w:r>
        <w:rPr>
          <w:sz w:val="24"/>
          <w:szCs w:val="24"/>
        </w:rPr>
        <w:t xml:space="preserve">Serum (blood) tests may be seen as less invasive and less time consuming than a transvaginal ultrasound. Chemical pathology tests are often </w:t>
      </w:r>
      <w:proofErr w:type="gramStart"/>
      <w:r>
        <w:rPr>
          <w:sz w:val="24"/>
          <w:szCs w:val="24"/>
        </w:rPr>
        <w:t>bulk-billed</w:t>
      </w:r>
      <w:proofErr w:type="gramEnd"/>
      <w:r>
        <w:rPr>
          <w:sz w:val="24"/>
          <w:szCs w:val="24"/>
        </w:rPr>
        <w:t xml:space="preserve"> by </w:t>
      </w:r>
      <w:proofErr w:type="gramStart"/>
      <w:r>
        <w:rPr>
          <w:sz w:val="24"/>
          <w:szCs w:val="24"/>
        </w:rPr>
        <w:t>providers, and</w:t>
      </w:r>
      <w:proofErr w:type="gramEnd"/>
      <w:r>
        <w:rPr>
          <w:sz w:val="24"/>
          <w:szCs w:val="24"/>
        </w:rPr>
        <w:t xml:space="preserve"> </w:t>
      </w:r>
      <w:r>
        <w:rPr>
          <w:sz w:val="24"/>
          <w:szCs w:val="24"/>
        </w:rPr>
        <w:lastRenderedPageBreak/>
        <w:t xml:space="preserve">are likely to be a less costly option for patients. Requestors may also prefer AMH testing as it may provide faster test turn-around depending on availability of ultrasound appointments. </w:t>
      </w:r>
    </w:p>
    <w:p w14:paraId="67792CDE" w14:textId="20F96D42" w:rsidR="004A45BE" w:rsidRPr="00A86A86" w:rsidRDefault="004A45BE" w:rsidP="00A86A86">
      <w:pPr>
        <w:rPr>
          <w:b/>
          <w:bCs/>
          <w:sz w:val="24"/>
          <w:szCs w:val="24"/>
        </w:rPr>
      </w:pPr>
      <w:r w:rsidRPr="00A86A86">
        <w:rPr>
          <w:b/>
          <w:bCs/>
          <w:sz w:val="24"/>
          <w:szCs w:val="24"/>
        </w:rPr>
        <w:t>Identify how the proposed technology achieves the intended patient outcomes:</w:t>
      </w:r>
    </w:p>
    <w:p w14:paraId="750B7F94" w14:textId="77777777" w:rsidR="00C03C1D" w:rsidRPr="00C03C1D" w:rsidRDefault="00C03C1D" w:rsidP="00C03C1D">
      <w:pPr>
        <w:rPr>
          <w:sz w:val="24"/>
          <w:szCs w:val="24"/>
        </w:rPr>
      </w:pPr>
      <w:r w:rsidRPr="00C03C1D">
        <w:rPr>
          <w:sz w:val="24"/>
          <w:szCs w:val="24"/>
        </w:rPr>
        <w:t>In women with suspected PCOS, ovarian morphology is typically assessed using transvaginal or transabdominal ultrasound to determine FNPO and/or ovarian volume. PCOM is characterised by an increased number of small antral follicles (typically 2–9 mm in diameter). These follicles contain granulosa cells, which are the primary source of AMH secretion. Consequently, serum AMH concentration is directly proportional to the number of small growing follicles present in the ovary. Women with PCOM therefore have elevated AMH levels compared with women without PCOM.</w:t>
      </w:r>
    </w:p>
    <w:p w14:paraId="552A4ECB" w14:textId="77777777" w:rsidR="00C03C1D" w:rsidRPr="00C03C1D" w:rsidRDefault="00C03C1D" w:rsidP="00C03C1D">
      <w:pPr>
        <w:rPr>
          <w:sz w:val="24"/>
          <w:szCs w:val="24"/>
        </w:rPr>
      </w:pPr>
      <w:r w:rsidRPr="00C03C1D">
        <w:rPr>
          <w:sz w:val="24"/>
          <w:szCs w:val="24"/>
        </w:rPr>
        <w:t>Because AMH reflects the same biological substrate measured by ultrasound follicle count, AMH testing can serve as a surrogate marker for FNPO. Higher follicle counts lead to higher circulating AMH concentrations, allowing biochemical identification of PCOM without the need for imaging. This relationship is supported by multiple studies demonstrating strong correlations between AMH levels and ultrasound-derived follicle counts.</w:t>
      </w:r>
    </w:p>
    <w:p w14:paraId="0C2BEC69" w14:textId="2C345F79" w:rsidR="004A45BE" w:rsidRPr="00A86A86" w:rsidRDefault="004A45BE" w:rsidP="00A86A86">
      <w:pPr>
        <w:rPr>
          <w:b/>
          <w:bCs/>
          <w:sz w:val="24"/>
          <w:szCs w:val="24"/>
        </w:rPr>
      </w:pPr>
      <w:r w:rsidRPr="00A86A86">
        <w:rPr>
          <w:b/>
          <w:bCs/>
          <w:sz w:val="24"/>
          <w:szCs w:val="24"/>
        </w:rPr>
        <w:t xml:space="preserve">For some people, compared with the comparator(s), does the test information result in: </w:t>
      </w:r>
    </w:p>
    <w:p w14:paraId="67DE36BA" w14:textId="0D20C852" w:rsidR="004A45BE" w:rsidRPr="0089269F" w:rsidRDefault="004A45BE" w:rsidP="00361BBE">
      <w:pPr>
        <w:spacing w:before="120"/>
        <w:rPr>
          <w:bCs/>
          <w:sz w:val="24"/>
          <w:szCs w:val="24"/>
        </w:rPr>
      </w:pPr>
      <w:r w:rsidRPr="0089269F">
        <w:rPr>
          <w:b/>
          <w:bCs/>
          <w:sz w:val="24"/>
          <w:szCs w:val="24"/>
        </w:rPr>
        <w:t>A change in clinical management?</w:t>
      </w:r>
      <w:r w:rsidRPr="0089269F">
        <w:rPr>
          <w:bCs/>
          <w:sz w:val="24"/>
          <w:szCs w:val="24"/>
        </w:rPr>
        <w:tab/>
      </w:r>
      <w:r w:rsidRPr="0089269F">
        <w:rPr>
          <w:bCs/>
          <w:sz w:val="24"/>
          <w:szCs w:val="24"/>
          <w:highlight w:val="lightGray"/>
        </w:rPr>
        <w:t>No</w:t>
      </w:r>
    </w:p>
    <w:p w14:paraId="6C54CA8D" w14:textId="797889C7" w:rsidR="004A45BE" w:rsidRPr="0089269F" w:rsidRDefault="004A45BE" w:rsidP="00BC0C43">
      <w:pPr>
        <w:rPr>
          <w:bCs/>
          <w:sz w:val="24"/>
          <w:szCs w:val="24"/>
        </w:rPr>
      </w:pPr>
      <w:r w:rsidRPr="0089269F">
        <w:rPr>
          <w:b/>
          <w:bCs/>
          <w:sz w:val="24"/>
          <w:szCs w:val="24"/>
        </w:rPr>
        <w:t>A change in health outcome?</w:t>
      </w:r>
      <w:r w:rsidRPr="0089269F">
        <w:rPr>
          <w:bCs/>
          <w:sz w:val="24"/>
          <w:szCs w:val="24"/>
        </w:rPr>
        <w:tab/>
      </w:r>
      <w:r w:rsidRPr="0089269F">
        <w:rPr>
          <w:bCs/>
          <w:sz w:val="24"/>
          <w:szCs w:val="24"/>
          <w:highlight w:val="lightGray"/>
        </w:rPr>
        <w:t>No</w:t>
      </w:r>
    </w:p>
    <w:p w14:paraId="0434A6A4" w14:textId="37576E90" w:rsidR="004A45BE" w:rsidRPr="0089269F" w:rsidRDefault="004A45BE" w:rsidP="00BC0C43">
      <w:pPr>
        <w:rPr>
          <w:bCs/>
          <w:sz w:val="24"/>
          <w:szCs w:val="24"/>
        </w:rPr>
      </w:pPr>
      <w:r w:rsidRPr="0089269F">
        <w:rPr>
          <w:b/>
          <w:bCs/>
          <w:sz w:val="24"/>
          <w:szCs w:val="24"/>
        </w:rPr>
        <w:t>Other benefits?</w:t>
      </w:r>
      <w:r w:rsidRPr="0089269F">
        <w:rPr>
          <w:b/>
          <w:bCs/>
          <w:sz w:val="24"/>
          <w:szCs w:val="24"/>
        </w:rPr>
        <w:tab/>
      </w:r>
      <w:r w:rsidRPr="0089269F">
        <w:rPr>
          <w:bCs/>
          <w:sz w:val="24"/>
          <w:szCs w:val="24"/>
        </w:rPr>
        <w:tab/>
      </w:r>
      <w:r w:rsidRPr="0089269F">
        <w:rPr>
          <w:bCs/>
          <w:sz w:val="24"/>
          <w:szCs w:val="24"/>
        </w:rPr>
        <w:tab/>
      </w:r>
      <w:r w:rsidRPr="0089269F">
        <w:rPr>
          <w:bCs/>
          <w:sz w:val="24"/>
          <w:szCs w:val="24"/>
          <w:highlight w:val="lightGray"/>
        </w:rPr>
        <w:t>Yes</w:t>
      </w:r>
    </w:p>
    <w:p w14:paraId="04716397" w14:textId="0FE58BC1" w:rsidR="004A45BE" w:rsidRPr="008D1A34" w:rsidRDefault="009D5D20" w:rsidP="008D1A34">
      <w:pPr>
        <w:rPr>
          <w:b/>
          <w:bCs/>
          <w:sz w:val="24"/>
          <w:szCs w:val="24"/>
        </w:rPr>
      </w:pPr>
      <w:r w:rsidRPr="008D1A34">
        <w:rPr>
          <w:b/>
          <w:bCs/>
          <w:sz w:val="24"/>
          <w:szCs w:val="24"/>
        </w:rPr>
        <w:t>Please provide a rationale, and information on other benefits if relevant</w:t>
      </w:r>
      <w:r w:rsidR="004A45BE" w:rsidRPr="008D1A34">
        <w:rPr>
          <w:b/>
          <w:bCs/>
          <w:sz w:val="24"/>
          <w:szCs w:val="24"/>
        </w:rPr>
        <w:t>:</w:t>
      </w:r>
    </w:p>
    <w:p w14:paraId="4559AF7E" w14:textId="363AA3AC" w:rsidR="004A45BE" w:rsidRPr="0089269F" w:rsidRDefault="00241D68" w:rsidP="00BC0C43">
      <w:pPr>
        <w:rPr>
          <w:rFonts w:eastAsia="Segoe UI"/>
          <w:color w:val="000000"/>
          <w:sz w:val="24"/>
          <w:szCs w:val="24"/>
        </w:rPr>
      </w:pPr>
      <w:r>
        <w:rPr>
          <w:sz w:val="24"/>
          <w:szCs w:val="24"/>
        </w:rPr>
        <w:t xml:space="preserve">AMH testing is likely to be lower </w:t>
      </w:r>
      <w:proofErr w:type="gramStart"/>
      <w:r>
        <w:rPr>
          <w:sz w:val="24"/>
          <w:szCs w:val="24"/>
        </w:rPr>
        <w:t>cost, and</w:t>
      </w:r>
      <w:proofErr w:type="gramEnd"/>
      <w:r>
        <w:rPr>
          <w:sz w:val="24"/>
          <w:szCs w:val="24"/>
        </w:rPr>
        <w:t xml:space="preserve"> offers a less invasive and potentially more accessible option for patients in diagnosing PMOS. </w:t>
      </w:r>
    </w:p>
    <w:p w14:paraId="387EB1A7" w14:textId="77777777" w:rsidR="00361BBE" w:rsidRPr="008D1A34" w:rsidRDefault="009D5D20" w:rsidP="008D1A34">
      <w:pPr>
        <w:rPr>
          <w:b/>
          <w:bCs/>
          <w:sz w:val="24"/>
          <w:szCs w:val="24"/>
        </w:rPr>
      </w:pPr>
      <w:r w:rsidRPr="008D1A34">
        <w:rPr>
          <w:b/>
          <w:bCs/>
          <w:sz w:val="24"/>
          <w:szCs w:val="24"/>
        </w:rPr>
        <w:t>In terms of the immediate costs of the proposed technology (and immediate cost consequences, such as procedural costs, testing costs etc.), is the proposed technology claimed to be more costly, the same cost or less costly than the comparator?</w:t>
      </w:r>
      <w:r w:rsidR="004A45BE" w:rsidRPr="008D1A34">
        <w:rPr>
          <w:b/>
          <w:bCs/>
          <w:sz w:val="24"/>
          <w:szCs w:val="24"/>
        </w:rPr>
        <w:t xml:space="preserve"> </w:t>
      </w:r>
    </w:p>
    <w:p w14:paraId="576F477A" w14:textId="41A02A2C" w:rsidR="00582377" w:rsidRPr="00DB2AB9" w:rsidRDefault="00582377" w:rsidP="00E410BF">
      <w:pPr>
        <w:pStyle w:val="Instructions"/>
        <w:rPr>
          <w:b w:val="0"/>
          <w:bCs w:val="0"/>
        </w:rPr>
      </w:pPr>
      <w:r w:rsidRPr="00DB2AB9">
        <w:rPr>
          <w:b w:val="0"/>
          <w:bCs w:val="0"/>
        </w:rPr>
        <w:t>(Please select your response)</w:t>
      </w:r>
    </w:p>
    <w:p w14:paraId="0EB954C3" w14:textId="26B7B1DA" w:rsidR="006437E6" w:rsidRPr="0089269F" w:rsidRDefault="002C40F1" w:rsidP="00582377">
      <w:pPr>
        <w:pStyle w:val="Tickboxes"/>
        <w:rPr>
          <w:sz w:val="24"/>
          <w:szCs w:val="24"/>
        </w:rPr>
      </w:pPr>
      <w:r>
        <w:rPr>
          <w:sz w:val="24"/>
          <w:szCs w:val="24"/>
        </w:rPr>
        <w:fldChar w:fldCharType="begin">
          <w:ffData>
            <w:name w:val=""/>
            <w:enabled/>
            <w:calcOnExit w:val="0"/>
            <w:statusText w:type="text" w:val="Costs of the proposed technology More costl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6437E6" w:rsidRPr="0089269F">
        <w:rPr>
          <w:sz w:val="24"/>
          <w:szCs w:val="24"/>
        </w:rPr>
        <w:t xml:space="preserve"> More costly </w:t>
      </w:r>
    </w:p>
    <w:p w14:paraId="76F56838" w14:textId="69217CA6" w:rsidR="006437E6" w:rsidRPr="0089269F" w:rsidRDefault="00D94BA6" w:rsidP="00582377">
      <w:pPr>
        <w:pStyle w:val="Tickboxes"/>
        <w:rPr>
          <w:sz w:val="24"/>
          <w:szCs w:val="24"/>
        </w:rPr>
      </w:pPr>
      <w:r>
        <w:rPr>
          <w:sz w:val="24"/>
          <w:szCs w:val="24"/>
        </w:rPr>
        <w:fldChar w:fldCharType="begin">
          <w:ffData>
            <w:name w:val=""/>
            <w:enabled/>
            <w:calcOnExit w:val="0"/>
            <w:statusText w:type="text" w:val="Costs of the proposed technology Same cost"/>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6437E6" w:rsidRPr="0089269F">
        <w:rPr>
          <w:sz w:val="24"/>
          <w:szCs w:val="24"/>
        </w:rPr>
        <w:t xml:space="preserve"> Same cost</w:t>
      </w:r>
    </w:p>
    <w:p w14:paraId="7925F574" w14:textId="4BCCA69C" w:rsidR="00025969" w:rsidRPr="0089269F" w:rsidRDefault="00241D68" w:rsidP="00582377">
      <w:pPr>
        <w:pStyle w:val="Tickboxes"/>
        <w:rPr>
          <w:sz w:val="24"/>
          <w:szCs w:val="24"/>
        </w:rPr>
      </w:pPr>
      <w:r>
        <w:rPr>
          <w:sz w:val="24"/>
          <w:szCs w:val="24"/>
        </w:rPr>
        <w:fldChar w:fldCharType="begin">
          <w:ffData>
            <w:name w:val=""/>
            <w:enabled/>
            <w:calcOnExit w:val="0"/>
            <w:statusText w:type="text" w:val="Costs of the proposed technology Less costly"/>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6437E6" w:rsidRPr="0089269F">
        <w:rPr>
          <w:sz w:val="24"/>
          <w:szCs w:val="24"/>
        </w:rPr>
        <w:t xml:space="preserve"> Less costly </w:t>
      </w:r>
    </w:p>
    <w:p w14:paraId="3797314E" w14:textId="321C0DC3" w:rsidR="004A45BE" w:rsidRPr="008D1A34" w:rsidRDefault="009D5D20" w:rsidP="008D1A34">
      <w:pPr>
        <w:rPr>
          <w:b/>
          <w:bCs/>
          <w:sz w:val="24"/>
          <w:szCs w:val="24"/>
        </w:rPr>
      </w:pPr>
      <w:r w:rsidRPr="008D1A34">
        <w:rPr>
          <w:b/>
          <w:bCs/>
          <w:sz w:val="24"/>
          <w:szCs w:val="24"/>
        </w:rPr>
        <w:t>Provide a brief rationale for the claim</w:t>
      </w:r>
      <w:r w:rsidR="004A45BE" w:rsidRPr="008D1A34">
        <w:rPr>
          <w:b/>
          <w:bCs/>
          <w:sz w:val="24"/>
          <w:szCs w:val="24"/>
        </w:rPr>
        <w:t>:</w:t>
      </w:r>
    </w:p>
    <w:p w14:paraId="7EED0EFE" w14:textId="15150AFB" w:rsidR="00D67744" w:rsidRPr="0089269F" w:rsidRDefault="00241D68" w:rsidP="00BC0C43">
      <w:pPr>
        <w:rPr>
          <w:sz w:val="24"/>
          <w:szCs w:val="24"/>
        </w:rPr>
      </w:pPr>
      <w:r>
        <w:rPr>
          <w:sz w:val="24"/>
          <w:szCs w:val="24"/>
        </w:rPr>
        <w:t>The proposed scheduled fee has been benchmarked to existing MBS reimbursement for NT-</w:t>
      </w:r>
      <w:proofErr w:type="spellStart"/>
      <w:r>
        <w:rPr>
          <w:sz w:val="24"/>
          <w:szCs w:val="24"/>
        </w:rPr>
        <w:t>proBNP</w:t>
      </w:r>
      <w:proofErr w:type="spellEnd"/>
      <w:r>
        <w:rPr>
          <w:sz w:val="24"/>
          <w:szCs w:val="24"/>
        </w:rPr>
        <w:t xml:space="preserve"> testing. It is likely that this scheduled fee represents a cost-saving, including considering cases in which a false negative AMH test results in a subsequent referral for ultrasound to further investigate PCOM. It is also likely that AMH testing will represent a substantial saving for patients, as out-of-pocket costs for ultrasound are more common </w:t>
      </w:r>
      <w:r>
        <w:rPr>
          <w:sz w:val="24"/>
          <w:szCs w:val="24"/>
        </w:rPr>
        <w:lastRenderedPageBreak/>
        <w:t xml:space="preserve">than out-of-pocket costs for pathology services. This will substantially improve access to health-care services for </w:t>
      </w:r>
      <w:proofErr w:type="gramStart"/>
      <w:r>
        <w:rPr>
          <w:sz w:val="24"/>
          <w:szCs w:val="24"/>
        </w:rPr>
        <w:t>women, and</w:t>
      </w:r>
      <w:proofErr w:type="gramEnd"/>
      <w:r>
        <w:rPr>
          <w:sz w:val="24"/>
          <w:szCs w:val="24"/>
        </w:rPr>
        <w:t xml:space="preserve"> may lead to indirect benefits to the health system more broadly through more effective identification of people at increased risk of long-term metabolic and cardiovascular disease risk (both of which are associated with PMOS</w:t>
      </w:r>
      <w:r w:rsidR="00C158A7">
        <w:rPr>
          <w:sz w:val="24"/>
          <w:szCs w:val="24"/>
        </w:rPr>
        <w:t>, see for example, Gupta et al 2026</w:t>
      </w:r>
      <w:r>
        <w:rPr>
          <w:sz w:val="24"/>
          <w:szCs w:val="24"/>
        </w:rPr>
        <w:t xml:space="preserve">). </w:t>
      </w:r>
    </w:p>
    <w:p w14:paraId="7988E8B6" w14:textId="69C88183" w:rsidR="007316E0" w:rsidRPr="0089269F" w:rsidRDefault="007316E0" w:rsidP="007316E0">
      <w:pPr>
        <w:rPr>
          <w:b/>
          <w:bCs/>
          <w:sz w:val="24"/>
          <w:szCs w:val="24"/>
          <w:lang w:eastAsia="en-AU"/>
        </w:rPr>
      </w:pPr>
      <w:r w:rsidRPr="0089269F">
        <w:rPr>
          <w:b/>
          <w:bCs/>
          <w:sz w:val="24"/>
          <w:szCs w:val="24"/>
          <w:lang w:eastAsia="en-AU"/>
        </w:rPr>
        <w:t xml:space="preserve">If your application is in relation to a specific radiopharmaceutical(s) or a set of radiopharmaceuticals, identify whether your clinical claim is dependent on the evidence base of the radiopharmaceutical(s) for which MBS funding is being requested. If your clinical claim is dependent on the evidence base of another radiopharmaceutical product(s), a claim of clinical noninferiority between the radiopharmaceutical products is also required. </w:t>
      </w:r>
    </w:p>
    <w:p w14:paraId="27B789AA" w14:textId="6179D749" w:rsidR="00D67744" w:rsidRPr="0089269F" w:rsidRDefault="00C158A7" w:rsidP="00D67744">
      <w:pPr>
        <w:rPr>
          <w:b/>
          <w:bCs/>
          <w:sz w:val="24"/>
          <w:szCs w:val="24"/>
          <w:lang w:eastAsia="en-AU"/>
        </w:rPr>
      </w:pPr>
      <w:r>
        <w:rPr>
          <w:sz w:val="24"/>
          <w:szCs w:val="24"/>
        </w:rPr>
        <w:t>Not applicable</w:t>
      </w:r>
    </w:p>
    <w:p w14:paraId="3AB32B11" w14:textId="77777777" w:rsidR="00D67744" w:rsidRPr="003F4E49" w:rsidRDefault="00D67744" w:rsidP="00BC0C43"/>
    <w:p w14:paraId="797B3B37" w14:textId="77777777" w:rsidR="00BC0C43" w:rsidRPr="003F4E49" w:rsidRDefault="00BC0C43">
      <w:pPr>
        <w:spacing w:after="160" w:line="259" w:lineRule="auto"/>
      </w:pPr>
      <w:bookmarkStart w:id="5" w:name="_Hlk122532620"/>
      <w:r w:rsidRPr="003F4E49">
        <w:br w:type="page"/>
      </w:r>
    </w:p>
    <w:p w14:paraId="3F215402" w14:textId="77777777" w:rsidR="00BF4BAA" w:rsidRPr="003F4E49" w:rsidRDefault="00BF4BAA" w:rsidP="00EA0AA0">
      <w:pPr>
        <w:pStyle w:val="Heading1"/>
        <w:sectPr w:rsidR="00BF4BAA" w:rsidRPr="003F4E49" w:rsidSect="002662E5">
          <w:headerReference w:type="even" r:id="rId11"/>
          <w:footerReference w:type="even" r:id="rId12"/>
          <w:footerReference w:type="default" r:id="rId13"/>
          <w:pgSz w:w="11906" w:h="16838"/>
          <w:pgMar w:top="1418" w:right="1133" w:bottom="993" w:left="1276" w:header="426" w:footer="252" w:gutter="0"/>
          <w:pgNumType w:start="0"/>
          <w:cols w:space="708"/>
          <w:titlePg/>
          <w:docGrid w:linePitch="360"/>
        </w:sectPr>
      </w:pPr>
    </w:p>
    <w:p w14:paraId="78D9C328" w14:textId="7948D0B2" w:rsidR="0030566C" w:rsidRPr="00A84BCA" w:rsidRDefault="0030566C" w:rsidP="00EA0AA0">
      <w:pPr>
        <w:pStyle w:val="Heading1"/>
        <w:rPr>
          <w:color w:val="002060"/>
        </w:rPr>
      </w:pPr>
      <w:r w:rsidRPr="00A84BCA">
        <w:rPr>
          <w:color w:val="002060"/>
        </w:rPr>
        <w:lastRenderedPageBreak/>
        <w:t>Summary of Evidence</w:t>
      </w:r>
    </w:p>
    <w:p w14:paraId="093E0992" w14:textId="77777777" w:rsidR="00BC0C43" w:rsidRPr="008D1A34" w:rsidRDefault="0030566C" w:rsidP="008D1A34">
      <w:pPr>
        <w:rPr>
          <w:b/>
          <w:bCs/>
          <w:sz w:val="24"/>
          <w:szCs w:val="24"/>
        </w:rPr>
      </w:pPr>
      <w:r w:rsidRPr="008D1A34">
        <w:rPr>
          <w:b/>
          <w:bCs/>
          <w:sz w:val="24"/>
          <w:szCs w:val="24"/>
        </w:rPr>
        <w:t xml:space="preserve">Provide one or more recent (published) </w:t>
      </w:r>
      <w:proofErr w:type="gramStart"/>
      <w:r w:rsidRPr="008D1A34">
        <w:rPr>
          <w:b/>
          <w:bCs/>
          <w:sz w:val="24"/>
          <w:szCs w:val="24"/>
        </w:rPr>
        <w:t>high quality</w:t>
      </w:r>
      <w:proofErr w:type="gramEnd"/>
      <w:r w:rsidRPr="008D1A34">
        <w:rPr>
          <w:b/>
          <w:bCs/>
          <w:sz w:val="24"/>
          <w:szCs w:val="24"/>
        </w:rPr>
        <w:t xml:space="preserve"> clinical studies that support use of the proposed health service/technology. At ‘Application Form lodgement’, </w:t>
      </w:r>
    </w:p>
    <w:p w14:paraId="30B8B45A" w14:textId="1661E1F1" w:rsidR="0030566C" w:rsidRPr="00DB2AB9" w:rsidRDefault="00BC0C43" w:rsidP="00DB2AB9">
      <w:pPr>
        <w:pStyle w:val="Instructions"/>
        <w:rPr>
          <w:b w:val="0"/>
          <w:bCs w:val="0"/>
        </w:rPr>
      </w:pPr>
      <w:r w:rsidRPr="00DB2AB9">
        <w:rPr>
          <w:b w:val="0"/>
          <w:bCs w:val="0"/>
        </w:rPr>
        <w:t>D</w:t>
      </w:r>
      <w:r w:rsidR="0030566C" w:rsidRPr="00DB2AB9">
        <w:rPr>
          <w:b w:val="0"/>
          <w:bCs w:val="0"/>
        </w:rPr>
        <w:t>o not attach full text articles; just provide a summary (repeat columns as required).</w:t>
      </w:r>
    </w:p>
    <w:tbl>
      <w:tblPr>
        <w:tblStyle w:val="TableGrid"/>
        <w:tblW w:w="0" w:type="auto"/>
        <w:tblLayout w:type="fixed"/>
        <w:tblLook w:val="04A0" w:firstRow="1" w:lastRow="0" w:firstColumn="1" w:lastColumn="0" w:noHBand="0" w:noVBand="1"/>
        <w:tblCaption w:val="Summary of Evidence - Published"/>
      </w:tblPr>
      <w:tblGrid>
        <w:gridCol w:w="2375"/>
        <w:gridCol w:w="2376"/>
        <w:gridCol w:w="2375"/>
        <w:gridCol w:w="2376"/>
        <w:gridCol w:w="2375"/>
        <w:gridCol w:w="2376"/>
      </w:tblGrid>
      <w:tr w:rsidR="00C158A7" w:rsidRPr="00EC44E5" w14:paraId="7D7CFBCF" w14:textId="77777777" w:rsidTr="00C158A7">
        <w:trPr>
          <w:cantSplit/>
          <w:tblHeader/>
        </w:trPr>
        <w:tc>
          <w:tcPr>
            <w:tcW w:w="2375" w:type="dxa"/>
          </w:tcPr>
          <w:p w14:paraId="3C303F90" w14:textId="77777777" w:rsidR="002B3774" w:rsidRPr="00EC44E5" w:rsidRDefault="002B3774" w:rsidP="009D7BEA">
            <w:pPr>
              <w:rPr>
                <w:sz w:val="24"/>
                <w:szCs w:val="24"/>
              </w:rPr>
            </w:pPr>
          </w:p>
        </w:tc>
        <w:tc>
          <w:tcPr>
            <w:tcW w:w="2376" w:type="dxa"/>
          </w:tcPr>
          <w:p w14:paraId="22034637" w14:textId="77777777" w:rsidR="002B3774" w:rsidRPr="00EC44E5" w:rsidRDefault="002B3774" w:rsidP="009D7BEA">
            <w:pPr>
              <w:rPr>
                <w:b/>
                <w:bCs/>
                <w:sz w:val="24"/>
                <w:szCs w:val="24"/>
              </w:rPr>
            </w:pPr>
            <w:r w:rsidRPr="00EC44E5">
              <w:rPr>
                <w:b/>
                <w:bCs/>
                <w:sz w:val="24"/>
                <w:szCs w:val="24"/>
              </w:rPr>
              <w:t>Type of study design</w:t>
            </w:r>
            <w:r w:rsidRPr="00EC44E5">
              <w:rPr>
                <w:b/>
                <w:bCs/>
                <w:color w:val="538135" w:themeColor="accent6" w:themeShade="BF"/>
                <w:sz w:val="24"/>
                <w:szCs w:val="24"/>
              </w:rPr>
              <w:t>*</w:t>
            </w:r>
          </w:p>
        </w:tc>
        <w:tc>
          <w:tcPr>
            <w:tcW w:w="2375" w:type="dxa"/>
          </w:tcPr>
          <w:p w14:paraId="72A969B8" w14:textId="4FD42678" w:rsidR="002B3774" w:rsidRPr="00EC44E5" w:rsidRDefault="002B3774" w:rsidP="009D7BEA">
            <w:pPr>
              <w:rPr>
                <w:b/>
                <w:bCs/>
                <w:sz w:val="24"/>
                <w:szCs w:val="24"/>
              </w:rPr>
            </w:pPr>
            <w:r w:rsidRPr="00EC44E5">
              <w:rPr>
                <w:b/>
                <w:bCs/>
                <w:sz w:val="24"/>
                <w:szCs w:val="24"/>
              </w:rPr>
              <w:t xml:space="preserve">Title of journal article or research project </w:t>
            </w:r>
            <w:r w:rsidRPr="00EC44E5">
              <w:rPr>
                <w:rStyle w:val="InstructionsChar"/>
                <w:sz w:val="24"/>
                <w:szCs w:val="24"/>
              </w:rPr>
              <w:t>(including any trial identifier or study lead if relevant)</w:t>
            </w:r>
          </w:p>
        </w:tc>
        <w:tc>
          <w:tcPr>
            <w:tcW w:w="2376" w:type="dxa"/>
          </w:tcPr>
          <w:p w14:paraId="6849AB75" w14:textId="4ADA0B42" w:rsidR="002B3774" w:rsidRPr="00EC44E5" w:rsidRDefault="002B3774" w:rsidP="009D7BEA">
            <w:pPr>
              <w:rPr>
                <w:b/>
                <w:bCs/>
                <w:sz w:val="24"/>
                <w:szCs w:val="24"/>
              </w:rPr>
            </w:pPr>
            <w:r w:rsidRPr="00EC44E5">
              <w:rPr>
                <w:b/>
                <w:bCs/>
                <w:sz w:val="24"/>
                <w:szCs w:val="24"/>
              </w:rPr>
              <w:t xml:space="preserve">Short description of research </w:t>
            </w:r>
            <w:r w:rsidRPr="00EC44E5">
              <w:rPr>
                <w:rStyle w:val="InstructionsChar"/>
                <w:sz w:val="24"/>
                <w:szCs w:val="24"/>
              </w:rPr>
              <w:t>(max 50</w:t>
            </w:r>
            <w:r w:rsidR="00677A07" w:rsidRPr="00EC44E5">
              <w:rPr>
                <w:rStyle w:val="InstructionsChar"/>
                <w:sz w:val="24"/>
                <w:szCs w:val="24"/>
              </w:rPr>
              <w:t xml:space="preserve"> </w:t>
            </w:r>
            <w:proofErr w:type="gramStart"/>
            <w:r w:rsidRPr="00EC44E5">
              <w:rPr>
                <w:rStyle w:val="InstructionsChar"/>
                <w:sz w:val="24"/>
                <w:szCs w:val="24"/>
              </w:rPr>
              <w:t>words)*</w:t>
            </w:r>
            <w:proofErr w:type="gramEnd"/>
            <w:r w:rsidRPr="00EC44E5">
              <w:rPr>
                <w:rStyle w:val="InstructionsChar"/>
                <w:sz w:val="24"/>
                <w:szCs w:val="24"/>
              </w:rPr>
              <w:t>*</w:t>
            </w:r>
          </w:p>
        </w:tc>
        <w:tc>
          <w:tcPr>
            <w:tcW w:w="2375" w:type="dxa"/>
          </w:tcPr>
          <w:p w14:paraId="6D438BD5" w14:textId="77777777" w:rsidR="002B3774" w:rsidRPr="00EC44E5" w:rsidRDefault="002B3774" w:rsidP="009D7BEA">
            <w:pPr>
              <w:rPr>
                <w:b/>
                <w:bCs/>
                <w:sz w:val="24"/>
                <w:szCs w:val="24"/>
              </w:rPr>
            </w:pPr>
            <w:r w:rsidRPr="00EC44E5">
              <w:rPr>
                <w:b/>
                <w:bCs/>
                <w:sz w:val="24"/>
                <w:szCs w:val="24"/>
              </w:rPr>
              <w:t xml:space="preserve">Website link to journal article or research </w:t>
            </w:r>
            <w:r w:rsidRPr="00EC44E5">
              <w:rPr>
                <w:rStyle w:val="InstructionsChar"/>
                <w:sz w:val="24"/>
                <w:szCs w:val="24"/>
              </w:rPr>
              <w:t>(if available)</w:t>
            </w:r>
          </w:p>
        </w:tc>
        <w:tc>
          <w:tcPr>
            <w:tcW w:w="2376" w:type="dxa"/>
          </w:tcPr>
          <w:p w14:paraId="53584C89" w14:textId="77777777" w:rsidR="002B3774" w:rsidRPr="00EC44E5" w:rsidRDefault="002B3774" w:rsidP="009D7BEA">
            <w:pPr>
              <w:rPr>
                <w:b/>
                <w:bCs/>
                <w:sz w:val="24"/>
                <w:szCs w:val="24"/>
              </w:rPr>
            </w:pPr>
            <w:r w:rsidRPr="00EC44E5">
              <w:rPr>
                <w:b/>
                <w:bCs/>
                <w:sz w:val="24"/>
                <w:szCs w:val="24"/>
              </w:rPr>
              <w:t>Date of publication</w:t>
            </w:r>
            <w:r w:rsidRPr="00EC44E5">
              <w:rPr>
                <w:b/>
                <w:bCs/>
                <w:color w:val="538135" w:themeColor="accent6" w:themeShade="BF"/>
                <w:sz w:val="24"/>
                <w:szCs w:val="24"/>
              </w:rPr>
              <w:t>***</w:t>
            </w:r>
          </w:p>
        </w:tc>
      </w:tr>
      <w:tr w:rsidR="00C158A7" w:rsidRPr="00EC44E5" w14:paraId="770ED8C0" w14:textId="77777777" w:rsidTr="00C158A7">
        <w:trPr>
          <w:cantSplit/>
        </w:trPr>
        <w:tc>
          <w:tcPr>
            <w:tcW w:w="2375" w:type="dxa"/>
          </w:tcPr>
          <w:p w14:paraId="3ED51E73" w14:textId="77777777" w:rsidR="00C158A7" w:rsidRPr="00EC44E5" w:rsidRDefault="00C158A7" w:rsidP="00C158A7">
            <w:pPr>
              <w:rPr>
                <w:sz w:val="24"/>
                <w:szCs w:val="24"/>
              </w:rPr>
            </w:pPr>
            <w:r w:rsidRPr="00EC44E5">
              <w:rPr>
                <w:sz w:val="24"/>
                <w:szCs w:val="24"/>
              </w:rPr>
              <w:t>1.</w:t>
            </w:r>
          </w:p>
        </w:tc>
        <w:tc>
          <w:tcPr>
            <w:tcW w:w="2376" w:type="dxa"/>
          </w:tcPr>
          <w:p w14:paraId="10FDEB23" w14:textId="09C7D46C" w:rsidR="00C158A7" w:rsidRPr="00EC44E5" w:rsidRDefault="00C158A7" w:rsidP="00C158A7">
            <w:pPr>
              <w:rPr>
                <w:b/>
                <w:sz w:val="24"/>
                <w:szCs w:val="24"/>
              </w:rPr>
            </w:pPr>
            <w:r>
              <w:rPr>
                <w:rFonts w:ascii="Quattrocento Sans" w:hAnsi="Quattrocento Sans"/>
                <w:color w:val="000000"/>
              </w:rPr>
              <w:t xml:space="preserve">Retrospective, </w:t>
            </w:r>
            <w:proofErr w:type="spellStart"/>
            <w:r>
              <w:rPr>
                <w:rFonts w:ascii="Quattrocento Sans" w:hAnsi="Quattrocento Sans"/>
                <w:color w:val="000000"/>
              </w:rPr>
              <w:t>multicenter</w:t>
            </w:r>
            <w:proofErr w:type="spellEnd"/>
            <w:r>
              <w:rPr>
                <w:rFonts w:ascii="Quattrocento Sans" w:hAnsi="Quattrocento Sans"/>
                <w:color w:val="000000"/>
              </w:rPr>
              <w:t>, case</w:t>
            </w:r>
            <w:r>
              <w:rPr>
                <w:rFonts w:ascii="Quattrocento Sans" w:hAnsi="Quattrocento Sans"/>
                <w:color w:val="000000"/>
              </w:rPr>
              <w:noBreakHyphen/>
              <w:t>control study</w:t>
            </w:r>
          </w:p>
        </w:tc>
        <w:tc>
          <w:tcPr>
            <w:tcW w:w="2375" w:type="dxa"/>
          </w:tcPr>
          <w:p w14:paraId="78324A85" w14:textId="1EEC4DAE" w:rsidR="00C158A7" w:rsidRPr="00EC44E5" w:rsidRDefault="00C158A7" w:rsidP="00C158A7">
            <w:pPr>
              <w:rPr>
                <w:b/>
                <w:sz w:val="24"/>
                <w:szCs w:val="24"/>
              </w:rPr>
            </w:pPr>
            <w:proofErr w:type="spellStart"/>
            <w:r>
              <w:rPr>
                <w:rFonts w:ascii="Quattrocento Sans" w:hAnsi="Quattrocento Sans"/>
                <w:color w:val="000000"/>
              </w:rPr>
              <w:t>Antimüllerian</w:t>
            </w:r>
            <w:proofErr w:type="spellEnd"/>
            <w:r>
              <w:rPr>
                <w:rFonts w:ascii="Quattrocento Sans" w:hAnsi="Quattrocento Sans"/>
                <w:color w:val="000000"/>
              </w:rPr>
              <w:t xml:space="preserve"> hormone to determine polycystic ovarian morphology (APHRODITE)</w:t>
            </w:r>
          </w:p>
        </w:tc>
        <w:tc>
          <w:tcPr>
            <w:tcW w:w="2376" w:type="dxa"/>
          </w:tcPr>
          <w:p w14:paraId="3C61C1FC" w14:textId="6C1ED0C9" w:rsidR="00C158A7" w:rsidRPr="00EC44E5" w:rsidRDefault="00C158A7" w:rsidP="00C158A7">
            <w:pPr>
              <w:rPr>
                <w:b/>
                <w:sz w:val="24"/>
                <w:szCs w:val="24"/>
              </w:rPr>
            </w:pPr>
            <w:r>
              <w:rPr>
                <w:rFonts w:ascii="Quattrocento Sans" w:hAnsi="Quattrocento Sans"/>
                <w:color w:val="000000"/>
              </w:rPr>
              <w:t xml:space="preserve">Retrospective </w:t>
            </w:r>
            <w:proofErr w:type="spellStart"/>
            <w:r>
              <w:rPr>
                <w:rFonts w:ascii="Quattrocento Sans" w:hAnsi="Quattrocento Sans"/>
                <w:color w:val="000000"/>
              </w:rPr>
              <w:t>multicenter</w:t>
            </w:r>
            <w:proofErr w:type="spellEnd"/>
            <w:r>
              <w:rPr>
                <w:rFonts w:ascii="Quattrocento Sans" w:hAnsi="Quattrocento Sans"/>
                <w:color w:val="000000"/>
              </w:rPr>
              <w:t xml:space="preserve"> study evaluating serum AMH levels using the Roche </w:t>
            </w:r>
            <w:proofErr w:type="spellStart"/>
            <w:r>
              <w:rPr>
                <w:rFonts w:ascii="Quattrocento Sans" w:hAnsi="Quattrocento Sans"/>
                <w:color w:val="000000"/>
              </w:rPr>
              <w:t>Elecsys</w:t>
            </w:r>
            <w:proofErr w:type="spellEnd"/>
            <w:r>
              <w:rPr>
                <w:rFonts w:ascii="Quattrocento Sans" w:hAnsi="Quattrocento Sans"/>
                <w:color w:val="000000"/>
              </w:rPr>
              <w:t xml:space="preserve"> AMH Plus immunoassay to establish a diagnostic cutoff for identifying polycystic ovarian morphology (PCOM). Compared with transvaginal ultrasound, this study supports AMH as a useful biomarker in PCOS diagnosis.</w:t>
            </w:r>
          </w:p>
        </w:tc>
        <w:tc>
          <w:tcPr>
            <w:tcW w:w="2375" w:type="dxa"/>
          </w:tcPr>
          <w:p w14:paraId="0D5BA928" w14:textId="2FB1425B" w:rsidR="00C158A7" w:rsidRPr="00EC44E5" w:rsidRDefault="00C158A7" w:rsidP="00C158A7">
            <w:pPr>
              <w:rPr>
                <w:b/>
                <w:sz w:val="24"/>
                <w:szCs w:val="24"/>
              </w:rPr>
            </w:pPr>
            <w:r>
              <w:rPr>
                <w:rFonts w:ascii="Quattrocento Sans" w:hAnsi="Quattrocento Sans"/>
                <w:color w:val="000000"/>
              </w:rPr>
              <w:t>DOI: 10.1016/j.fertnstert.2021.05.094 </w:t>
            </w:r>
          </w:p>
        </w:tc>
        <w:tc>
          <w:tcPr>
            <w:tcW w:w="2376" w:type="dxa"/>
          </w:tcPr>
          <w:p w14:paraId="10751763" w14:textId="6DA4C3AD" w:rsidR="00C158A7" w:rsidRPr="00EC44E5" w:rsidRDefault="00C158A7" w:rsidP="00C158A7">
            <w:pPr>
              <w:rPr>
                <w:b/>
                <w:sz w:val="24"/>
                <w:szCs w:val="24"/>
              </w:rPr>
            </w:pPr>
            <w:r>
              <w:rPr>
                <w:rFonts w:ascii="Quattrocento Sans" w:hAnsi="Quattrocento Sans"/>
                <w:color w:val="000000"/>
              </w:rPr>
              <w:t>October 2021</w:t>
            </w:r>
          </w:p>
        </w:tc>
      </w:tr>
      <w:tr w:rsidR="00C158A7" w:rsidRPr="00EC44E5" w14:paraId="13AA3206" w14:textId="77777777" w:rsidTr="00C158A7">
        <w:trPr>
          <w:cantSplit/>
        </w:trPr>
        <w:tc>
          <w:tcPr>
            <w:tcW w:w="2375" w:type="dxa"/>
          </w:tcPr>
          <w:p w14:paraId="7E036800" w14:textId="5B0FA1EA" w:rsidR="00C158A7" w:rsidRPr="00EC44E5" w:rsidRDefault="00C158A7" w:rsidP="00C158A7">
            <w:pPr>
              <w:rPr>
                <w:sz w:val="24"/>
                <w:szCs w:val="24"/>
              </w:rPr>
            </w:pPr>
            <w:r w:rsidRPr="00EC44E5">
              <w:rPr>
                <w:sz w:val="24"/>
                <w:szCs w:val="24"/>
              </w:rPr>
              <w:lastRenderedPageBreak/>
              <w:t>2.</w:t>
            </w:r>
          </w:p>
        </w:tc>
        <w:tc>
          <w:tcPr>
            <w:tcW w:w="2376" w:type="dxa"/>
          </w:tcPr>
          <w:p w14:paraId="63B9BDA3" w14:textId="374FE35F" w:rsidR="00C158A7" w:rsidRPr="00EC44E5" w:rsidRDefault="00C158A7" w:rsidP="00C158A7">
            <w:pPr>
              <w:rPr>
                <w:sz w:val="24"/>
                <w:szCs w:val="24"/>
              </w:rPr>
            </w:pPr>
            <w:r>
              <w:rPr>
                <w:rFonts w:ascii="Quattrocento Sans" w:hAnsi="Quattrocento Sans"/>
                <w:color w:val="000000"/>
              </w:rPr>
              <w:t>Prospective, population</w:t>
            </w:r>
            <w:r>
              <w:rPr>
                <w:rFonts w:ascii="Quattrocento Sans" w:hAnsi="Quattrocento Sans"/>
                <w:color w:val="000000"/>
              </w:rPr>
              <w:noBreakHyphen/>
              <w:t>based noninterventional observational study</w:t>
            </w:r>
          </w:p>
        </w:tc>
        <w:tc>
          <w:tcPr>
            <w:tcW w:w="2375" w:type="dxa"/>
          </w:tcPr>
          <w:p w14:paraId="67ACF6F2" w14:textId="0ED27F6B" w:rsidR="00C158A7" w:rsidRPr="00EC44E5" w:rsidRDefault="00C158A7" w:rsidP="00C158A7">
            <w:pPr>
              <w:rPr>
                <w:sz w:val="24"/>
                <w:szCs w:val="24"/>
              </w:rPr>
            </w:pPr>
            <w:r>
              <w:rPr>
                <w:rFonts w:ascii="Quattrocento Sans" w:hAnsi="Quattrocento Sans"/>
                <w:color w:val="000000"/>
              </w:rPr>
              <w:t>Prospective validation of anti-Müllerian hormone cutoff to determine polycystic ovarian morphology: HARMONIA study</w:t>
            </w:r>
          </w:p>
        </w:tc>
        <w:tc>
          <w:tcPr>
            <w:tcW w:w="2376" w:type="dxa"/>
          </w:tcPr>
          <w:p w14:paraId="718A8EDB" w14:textId="3C6EDF6C" w:rsidR="00C158A7" w:rsidRPr="00EC44E5" w:rsidRDefault="00C158A7" w:rsidP="00C158A7">
            <w:pPr>
              <w:rPr>
                <w:sz w:val="24"/>
                <w:szCs w:val="24"/>
              </w:rPr>
            </w:pPr>
            <w:r>
              <w:rPr>
                <w:rFonts w:ascii="Quattrocento Sans" w:hAnsi="Quattrocento Sans"/>
                <w:color w:val="000000"/>
              </w:rPr>
              <w:t>Large prospective observational study validating a serum AMH cutoff (3.2</w:t>
            </w:r>
            <w:r>
              <w:rPr>
                <w:rFonts w:ascii="Arial" w:hAnsi="Arial" w:cs="Arial"/>
                <w:color w:val="000000"/>
              </w:rPr>
              <w:t> </w:t>
            </w:r>
            <w:r>
              <w:rPr>
                <w:rFonts w:ascii="Quattrocento Sans" w:hAnsi="Quattrocento Sans"/>
                <w:color w:val="000000"/>
              </w:rPr>
              <w:t>ng/mL) for detecting PCOM. Findings show strong correlation with transvaginal ultrasound and support the practical application of AMH testing in routine PCOS diagnostic workup.</w:t>
            </w:r>
          </w:p>
        </w:tc>
        <w:tc>
          <w:tcPr>
            <w:tcW w:w="2375" w:type="dxa"/>
          </w:tcPr>
          <w:p w14:paraId="6B976BCE" w14:textId="047E0AE1" w:rsidR="00C158A7" w:rsidRPr="00EC44E5" w:rsidRDefault="00C158A7" w:rsidP="00C158A7">
            <w:pPr>
              <w:rPr>
                <w:sz w:val="24"/>
                <w:szCs w:val="24"/>
              </w:rPr>
            </w:pPr>
            <w:r>
              <w:rPr>
                <w:rFonts w:ascii="Quattrocento Sans" w:hAnsi="Quattrocento Sans"/>
                <w:color w:val="000000"/>
              </w:rPr>
              <w:t>https://doi.org/10.1016/j.fertnstert.2025.05.147</w:t>
            </w:r>
          </w:p>
        </w:tc>
        <w:tc>
          <w:tcPr>
            <w:tcW w:w="2376" w:type="dxa"/>
          </w:tcPr>
          <w:p w14:paraId="2B0FAE9B" w14:textId="727408A4" w:rsidR="00C158A7" w:rsidRPr="00EC44E5" w:rsidRDefault="00C158A7" w:rsidP="00C158A7">
            <w:pPr>
              <w:rPr>
                <w:sz w:val="24"/>
                <w:szCs w:val="24"/>
              </w:rPr>
            </w:pPr>
            <w:r>
              <w:rPr>
                <w:rFonts w:ascii="Quattrocento Sans" w:hAnsi="Quattrocento Sans"/>
                <w:color w:val="000000"/>
              </w:rPr>
              <w:t>September 2025</w:t>
            </w:r>
          </w:p>
        </w:tc>
      </w:tr>
      <w:tr w:rsidR="00C158A7" w:rsidRPr="00EC44E5" w14:paraId="51DDDAD3" w14:textId="77777777" w:rsidTr="00C158A7">
        <w:trPr>
          <w:cantSplit/>
        </w:trPr>
        <w:tc>
          <w:tcPr>
            <w:tcW w:w="2375" w:type="dxa"/>
          </w:tcPr>
          <w:p w14:paraId="531C52AD" w14:textId="4BE47DCA" w:rsidR="00C158A7" w:rsidRPr="00EC44E5" w:rsidRDefault="00C158A7" w:rsidP="00C158A7">
            <w:pPr>
              <w:rPr>
                <w:sz w:val="24"/>
                <w:szCs w:val="24"/>
              </w:rPr>
            </w:pPr>
            <w:r w:rsidRPr="00EC44E5">
              <w:rPr>
                <w:sz w:val="24"/>
                <w:szCs w:val="24"/>
              </w:rPr>
              <w:lastRenderedPageBreak/>
              <w:t>3.</w:t>
            </w:r>
          </w:p>
        </w:tc>
        <w:tc>
          <w:tcPr>
            <w:tcW w:w="2376" w:type="dxa"/>
          </w:tcPr>
          <w:p w14:paraId="009C8826" w14:textId="7E372CA9" w:rsidR="00C158A7" w:rsidRPr="00EC44E5" w:rsidRDefault="00C158A7" w:rsidP="00C158A7">
            <w:pPr>
              <w:rPr>
                <w:sz w:val="24"/>
                <w:szCs w:val="24"/>
              </w:rPr>
            </w:pPr>
            <w:r>
              <w:rPr>
                <w:rFonts w:ascii="Quattrocento Sans" w:hAnsi="Quattrocento Sans"/>
                <w:color w:val="000000"/>
              </w:rPr>
              <w:t>Guidelines</w:t>
            </w:r>
          </w:p>
        </w:tc>
        <w:tc>
          <w:tcPr>
            <w:tcW w:w="2375" w:type="dxa"/>
          </w:tcPr>
          <w:p w14:paraId="101FD05B" w14:textId="25B9513F" w:rsidR="00C158A7" w:rsidRPr="00EC44E5" w:rsidRDefault="00C158A7" w:rsidP="00C158A7">
            <w:pPr>
              <w:rPr>
                <w:sz w:val="24"/>
                <w:szCs w:val="24"/>
              </w:rPr>
            </w:pPr>
            <w:r>
              <w:rPr>
                <w:rFonts w:ascii="Quattrocento Sans" w:hAnsi="Quattrocento Sans"/>
                <w:color w:val="000000"/>
              </w:rPr>
              <w:t>International Evidence-based Guideline for the assessment and management of polycystic ovary syndrome 2023</w:t>
            </w:r>
          </w:p>
        </w:tc>
        <w:tc>
          <w:tcPr>
            <w:tcW w:w="2376" w:type="dxa"/>
          </w:tcPr>
          <w:p w14:paraId="2F88EF87" w14:textId="516EAF7C" w:rsidR="00C158A7" w:rsidRPr="00EC44E5" w:rsidRDefault="00C158A7" w:rsidP="00C158A7">
            <w:pPr>
              <w:rPr>
                <w:sz w:val="24"/>
                <w:szCs w:val="24"/>
              </w:rPr>
            </w:pPr>
            <w:r>
              <w:rPr>
                <w:rFonts w:ascii="Quattrocento Sans" w:hAnsi="Quattrocento Sans"/>
                <w:color w:val="000000"/>
              </w:rPr>
              <w:t>Comprehensive international guideline providing evidence-based recommendations for PCOS diagnosis, assessment, and management. Includes guidance on the use of serum AMH and imaging criteria for identifying PCOM, as well as treatment strategies for reproductive, metabolic, and psychological aspects of PCOS.</w:t>
            </w:r>
          </w:p>
        </w:tc>
        <w:tc>
          <w:tcPr>
            <w:tcW w:w="2375" w:type="dxa"/>
          </w:tcPr>
          <w:p w14:paraId="3359E36D" w14:textId="587AF908" w:rsidR="00C158A7" w:rsidRPr="00EC44E5" w:rsidRDefault="00C158A7" w:rsidP="00C158A7">
            <w:pPr>
              <w:rPr>
                <w:sz w:val="24"/>
                <w:szCs w:val="24"/>
              </w:rPr>
            </w:pPr>
            <w:r>
              <w:rPr>
                <w:rFonts w:ascii="Quattrocento Sans" w:hAnsi="Quattrocento Sans"/>
                <w:color w:val="000000"/>
              </w:rPr>
              <w:t>https://www.monash.edu/__data/assets/</w:t>
            </w:r>
            <w:r>
              <w:rPr>
                <w:rFonts w:ascii="Quattrocento Sans" w:hAnsi="Quattrocento Sans"/>
                <w:color w:val="000000"/>
              </w:rPr>
              <w:br/>
            </w:r>
            <w:proofErr w:type="spellStart"/>
            <w:r>
              <w:rPr>
                <w:rFonts w:ascii="Quattrocento Sans" w:hAnsi="Quattrocento Sans"/>
                <w:color w:val="000000"/>
              </w:rPr>
              <w:t>pdf_file</w:t>
            </w:r>
            <w:proofErr w:type="spellEnd"/>
            <w:r>
              <w:rPr>
                <w:rFonts w:ascii="Quattrocento Sans" w:hAnsi="Quattrocento Sans"/>
                <w:color w:val="000000"/>
              </w:rPr>
              <w:t>/0003/3379521/Evidence-Based-Guidelines-2023.pdf</w:t>
            </w:r>
          </w:p>
        </w:tc>
        <w:tc>
          <w:tcPr>
            <w:tcW w:w="2376" w:type="dxa"/>
          </w:tcPr>
          <w:p w14:paraId="1A769279" w14:textId="56EB9FF0" w:rsidR="00C158A7" w:rsidRPr="00EC44E5" w:rsidRDefault="00C158A7" w:rsidP="00C158A7">
            <w:pPr>
              <w:rPr>
                <w:sz w:val="24"/>
                <w:szCs w:val="24"/>
              </w:rPr>
            </w:pPr>
            <w:r>
              <w:rPr>
                <w:rFonts w:ascii="Quattrocento Sans" w:hAnsi="Quattrocento Sans"/>
                <w:color w:val="000000"/>
              </w:rPr>
              <w:t>February 2023</w:t>
            </w:r>
          </w:p>
        </w:tc>
      </w:tr>
      <w:tr w:rsidR="00C158A7" w:rsidRPr="00EC44E5" w14:paraId="3758FEB3" w14:textId="77777777" w:rsidTr="00C158A7">
        <w:trPr>
          <w:cantSplit/>
        </w:trPr>
        <w:tc>
          <w:tcPr>
            <w:tcW w:w="2375" w:type="dxa"/>
          </w:tcPr>
          <w:p w14:paraId="60509E33" w14:textId="029CAD54" w:rsidR="00C158A7" w:rsidRPr="00EC44E5" w:rsidRDefault="00C158A7" w:rsidP="00C158A7">
            <w:pPr>
              <w:rPr>
                <w:sz w:val="24"/>
                <w:szCs w:val="24"/>
              </w:rPr>
            </w:pPr>
            <w:r>
              <w:rPr>
                <w:sz w:val="24"/>
                <w:szCs w:val="24"/>
              </w:rPr>
              <w:t>4.</w:t>
            </w:r>
          </w:p>
        </w:tc>
        <w:tc>
          <w:tcPr>
            <w:tcW w:w="2376" w:type="dxa"/>
          </w:tcPr>
          <w:p w14:paraId="0FD1F574" w14:textId="512ACD97" w:rsidR="00C158A7" w:rsidRDefault="00C158A7" w:rsidP="00C158A7">
            <w:pPr>
              <w:rPr>
                <w:rFonts w:ascii="Quattrocento Sans" w:hAnsi="Quattrocento Sans"/>
                <w:color w:val="000000"/>
              </w:rPr>
            </w:pPr>
            <w:r>
              <w:rPr>
                <w:rFonts w:ascii="Quattrocento Sans" w:hAnsi="Quattrocento Sans"/>
                <w:color w:val="000000"/>
              </w:rPr>
              <w:t>Systematic literature review</w:t>
            </w:r>
          </w:p>
        </w:tc>
        <w:tc>
          <w:tcPr>
            <w:tcW w:w="2375" w:type="dxa"/>
          </w:tcPr>
          <w:p w14:paraId="389CDECA" w14:textId="77777777" w:rsidR="00C158A7" w:rsidRPr="00C158A7" w:rsidRDefault="00C158A7" w:rsidP="00C158A7">
            <w:pPr>
              <w:rPr>
                <w:rFonts w:ascii="Quattrocento Sans" w:hAnsi="Quattrocento Sans"/>
                <w:color w:val="000000"/>
              </w:rPr>
            </w:pPr>
            <w:r w:rsidRPr="00C158A7">
              <w:rPr>
                <w:rFonts w:ascii="Quattrocento Sans" w:hAnsi="Quattrocento Sans"/>
                <w:color w:val="000000"/>
              </w:rPr>
              <w:t>Polycystic Ovary Syndrome (PCOS)</w:t>
            </w:r>
          </w:p>
          <w:p w14:paraId="42C38BE6" w14:textId="0B66383C" w:rsidR="00C158A7" w:rsidRPr="00C158A7" w:rsidRDefault="00C158A7" w:rsidP="00C158A7">
            <w:pPr>
              <w:rPr>
                <w:rFonts w:ascii="Quattrocento Sans" w:hAnsi="Quattrocento Sans"/>
                <w:color w:val="000000"/>
              </w:rPr>
            </w:pPr>
            <w:r w:rsidRPr="00C158A7">
              <w:rPr>
                <w:rFonts w:ascii="Quattrocento Sans" w:hAnsi="Quattrocento Sans"/>
                <w:color w:val="000000"/>
              </w:rPr>
              <w:t xml:space="preserve">Technical </w:t>
            </w:r>
            <w:proofErr w:type="spellStart"/>
            <w:r w:rsidRPr="00C158A7">
              <w:rPr>
                <w:rFonts w:ascii="Quattrocento Sans" w:hAnsi="Quattrocento Sans"/>
                <w:color w:val="000000"/>
              </w:rPr>
              <w:t>Repor</w:t>
            </w:r>
            <w:r>
              <w:rPr>
                <w:rFonts w:ascii="Quattrocento Sans" w:hAnsi="Quattrocento Sans"/>
                <w:color w:val="000000"/>
              </w:rPr>
              <w:t>t</w:t>
            </w:r>
            <w:r w:rsidRPr="00C158A7">
              <w:rPr>
                <w:rFonts w:ascii="Quattrocento Sans" w:hAnsi="Quattrocento Sans"/>
                <w:color w:val="000000"/>
              </w:rPr>
              <w:t>for</w:t>
            </w:r>
            <w:proofErr w:type="spellEnd"/>
            <w:r w:rsidRPr="00C158A7">
              <w:rPr>
                <w:rFonts w:ascii="Quattrocento Sans" w:hAnsi="Quattrocento Sans"/>
                <w:color w:val="000000"/>
              </w:rPr>
              <w:t xml:space="preserve"> the Internation</w:t>
            </w:r>
            <w:r>
              <w:rPr>
                <w:rFonts w:ascii="Quattrocento Sans" w:hAnsi="Quattrocento Sans"/>
                <w:color w:val="000000"/>
              </w:rPr>
              <w:t>a</w:t>
            </w:r>
            <w:r w:rsidRPr="00C158A7">
              <w:rPr>
                <w:rFonts w:ascii="Quattrocento Sans" w:hAnsi="Quattrocento Sans"/>
                <w:color w:val="000000"/>
              </w:rPr>
              <w:t>l Evidence-based Guideline for the assessment</w:t>
            </w:r>
          </w:p>
          <w:p w14:paraId="04C21E57" w14:textId="62DADD94" w:rsidR="00C158A7" w:rsidRDefault="00C158A7" w:rsidP="00C158A7">
            <w:pPr>
              <w:rPr>
                <w:rFonts w:ascii="Quattrocento Sans" w:hAnsi="Quattrocento Sans"/>
                <w:color w:val="000000"/>
              </w:rPr>
            </w:pPr>
            <w:r w:rsidRPr="00C158A7">
              <w:rPr>
                <w:rFonts w:ascii="Quattrocento Sans" w:hAnsi="Quattrocento Sans"/>
                <w:color w:val="000000"/>
              </w:rPr>
              <w:t>and management of polycystic ovary syndrome 2023</w:t>
            </w:r>
          </w:p>
        </w:tc>
        <w:tc>
          <w:tcPr>
            <w:tcW w:w="2376" w:type="dxa"/>
          </w:tcPr>
          <w:p w14:paraId="26128FC0" w14:textId="7AB18155" w:rsidR="00C158A7" w:rsidRDefault="00C158A7" w:rsidP="00C158A7">
            <w:pPr>
              <w:rPr>
                <w:rFonts w:ascii="Quattrocento Sans" w:hAnsi="Quattrocento Sans"/>
                <w:color w:val="000000"/>
              </w:rPr>
            </w:pPr>
            <w:r>
              <w:rPr>
                <w:rFonts w:ascii="Quattrocento Sans" w:hAnsi="Quattrocento Sans"/>
                <w:color w:val="000000"/>
              </w:rPr>
              <w:t xml:space="preserve">Evidence summary and GRADE in relation to the use of AMH testing for PMOS diagnosis, prepared by the independent Evidence Team as part of the development of the International </w:t>
            </w:r>
            <w:proofErr w:type="spellStart"/>
            <w:r>
              <w:rPr>
                <w:rFonts w:ascii="Quattrocento Sans" w:hAnsi="Quattrocento Sans"/>
                <w:color w:val="000000"/>
              </w:rPr>
              <w:t>Gruidelines</w:t>
            </w:r>
            <w:proofErr w:type="spellEnd"/>
            <w:r>
              <w:rPr>
                <w:rFonts w:ascii="Quattrocento Sans" w:hAnsi="Quattrocento Sans"/>
                <w:color w:val="000000"/>
              </w:rPr>
              <w:t xml:space="preserve"> (3).</w:t>
            </w:r>
          </w:p>
        </w:tc>
        <w:tc>
          <w:tcPr>
            <w:tcW w:w="2375" w:type="dxa"/>
          </w:tcPr>
          <w:p w14:paraId="31218FAB" w14:textId="5F06C160" w:rsidR="00C158A7" w:rsidRDefault="00C158A7" w:rsidP="00C158A7">
            <w:pPr>
              <w:rPr>
                <w:rFonts w:ascii="Quattrocento Sans" w:hAnsi="Quattrocento Sans"/>
                <w:color w:val="000000"/>
              </w:rPr>
            </w:pPr>
            <w:r w:rsidRPr="00C158A7">
              <w:rPr>
                <w:rFonts w:ascii="Quattrocento Sans" w:hAnsi="Quattrocento Sans"/>
                <w:color w:val="000000"/>
              </w:rPr>
              <w:t>https://www.monash.edu/__data/assets/pdf_file/0010/3379591/TechnicalReport-2023.pdf</w:t>
            </w:r>
          </w:p>
        </w:tc>
        <w:tc>
          <w:tcPr>
            <w:tcW w:w="2376" w:type="dxa"/>
          </w:tcPr>
          <w:p w14:paraId="6F916192" w14:textId="5DF9E5AF" w:rsidR="00C158A7" w:rsidRDefault="00C158A7" w:rsidP="00C158A7">
            <w:pPr>
              <w:rPr>
                <w:rFonts w:ascii="Quattrocento Sans" w:hAnsi="Quattrocento Sans"/>
                <w:color w:val="000000"/>
              </w:rPr>
            </w:pPr>
            <w:r>
              <w:rPr>
                <w:rFonts w:ascii="Quattrocento Sans" w:hAnsi="Quattrocento Sans"/>
                <w:color w:val="000000"/>
              </w:rPr>
              <w:t>2023</w:t>
            </w:r>
          </w:p>
        </w:tc>
      </w:tr>
      <w:tr w:rsidR="00C158A7" w:rsidRPr="00EC44E5" w14:paraId="645C57E8" w14:textId="77777777" w:rsidTr="00C158A7">
        <w:trPr>
          <w:cantSplit/>
        </w:trPr>
        <w:tc>
          <w:tcPr>
            <w:tcW w:w="2375" w:type="dxa"/>
          </w:tcPr>
          <w:p w14:paraId="3D6D60F3" w14:textId="717E4A0C" w:rsidR="00C158A7" w:rsidRDefault="00C158A7" w:rsidP="00C158A7">
            <w:pPr>
              <w:rPr>
                <w:sz w:val="24"/>
                <w:szCs w:val="24"/>
              </w:rPr>
            </w:pPr>
            <w:r>
              <w:rPr>
                <w:sz w:val="24"/>
                <w:szCs w:val="24"/>
              </w:rPr>
              <w:lastRenderedPageBreak/>
              <w:t>5.</w:t>
            </w:r>
          </w:p>
        </w:tc>
        <w:tc>
          <w:tcPr>
            <w:tcW w:w="2376" w:type="dxa"/>
          </w:tcPr>
          <w:p w14:paraId="282D326E" w14:textId="0FF1111F" w:rsidR="00C158A7" w:rsidRDefault="00C158A7" w:rsidP="00C158A7">
            <w:pPr>
              <w:rPr>
                <w:rFonts w:ascii="Quattrocento Sans" w:hAnsi="Quattrocento Sans"/>
                <w:color w:val="000000"/>
              </w:rPr>
            </w:pPr>
            <w:r>
              <w:rPr>
                <w:rFonts w:ascii="Quattrocento Sans" w:hAnsi="Quattrocento Sans"/>
                <w:color w:val="000000"/>
              </w:rPr>
              <w:t>Retrospective cohort study</w:t>
            </w:r>
          </w:p>
        </w:tc>
        <w:tc>
          <w:tcPr>
            <w:tcW w:w="2375" w:type="dxa"/>
          </w:tcPr>
          <w:p w14:paraId="68F46BDE" w14:textId="45A34274" w:rsidR="00C158A7" w:rsidRPr="00C158A7" w:rsidRDefault="00C158A7" w:rsidP="00C158A7">
            <w:pPr>
              <w:rPr>
                <w:rFonts w:ascii="Quattrocento Sans" w:hAnsi="Quattrocento Sans"/>
                <w:color w:val="000000"/>
              </w:rPr>
            </w:pPr>
            <w:r w:rsidRPr="00C158A7">
              <w:rPr>
                <w:rFonts w:ascii="Quattrocento Sans" w:hAnsi="Quattrocento Sans"/>
                <w:color w:val="000000"/>
              </w:rPr>
              <w:t>Atherosclerotic cardiovascular disease risk in polyendocrine metabolic ovarian syndrome: a nationwide, US, claims-based, retrospective, longitudinal, cohort study</w:t>
            </w:r>
          </w:p>
        </w:tc>
        <w:tc>
          <w:tcPr>
            <w:tcW w:w="2376" w:type="dxa"/>
          </w:tcPr>
          <w:p w14:paraId="03DB0F8D" w14:textId="38CC0FA1" w:rsidR="00C158A7" w:rsidRDefault="00C158A7" w:rsidP="00C158A7">
            <w:pPr>
              <w:rPr>
                <w:rFonts w:ascii="Quattrocento Sans" w:hAnsi="Quattrocento Sans"/>
                <w:color w:val="000000"/>
              </w:rPr>
            </w:pPr>
            <w:r>
              <w:rPr>
                <w:rFonts w:ascii="Quattrocento Sans" w:hAnsi="Quattrocento Sans"/>
                <w:color w:val="000000"/>
              </w:rPr>
              <w:t>[These findings show]</w:t>
            </w:r>
            <w:r w:rsidRPr="00C158A7">
              <w:rPr>
                <w:rFonts w:ascii="Quattrocento Sans" w:hAnsi="Quattrocento Sans"/>
                <w:color w:val="000000"/>
              </w:rPr>
              <w:t xml:space="preserve"> that women with PMOS had a higher incidence of ASCVD events than women without PMOS emphasise the need for health-care provider education and PMOS patient awareness of cardiovascular disease risk to improve implementation of early preventive interventions.</w:t>
            </w:r>
          </w:p>
        </w:tc>
        <w:tc>
          <w:tcPr>
            <w:tcW w:w="2375" w:type="dxa"/>
          </w:tcPr>
          <w:p w14:paraId="05F036EB" w14:textId="69B1B4AA" w:rsidR="00C158A7" w:rsidRPr="00C158A7" w:rsidRDefault="00C158A7" w:rsidP="00C158A7">
            <w:pPr>
              <w:rPr>
                <w:rFonts w:ascii="Quattrocento Sans" w:hAnsi="Quattrocento Sans"/>
                <w:color w:val="000000"/>
              </w:rPr>
            </w:pPr>
            <w:r w:rsidRPr="00C158A7">
              <w:rPr>
                <w:rFonts w:ascii="Quattrocento Sans" w:hAnsi="Quattrocento Sans"/>
                <w:color w:val="000000"/>
              </w:rPr>
              <w:t>https://doi.org/10.1016/S3050-5038(26)00090-7</w:t>
            </w:r>
          </w:p>
        </w:tc>
        <w:tc>
          <w:tcPr>
            <w:tcW w:w="2376" w:type="dxa"/>
          </w:tcPr>
          <w:p w14:paraId="6B778CAA" w14:textId="725A5DA9" w:rsidR="00C158A7" w:rsidRDefault="00C158A7" w:rsidP="00C158A7">
            <w:pPr>
              <w:rPr>
                <w:rFonts w:ascii="Quattrocento Sans" w:hAnsi="Quattrocento Sans"/>
                <w:color w:val="000000"/>
              </w:rPr>
            </w:pPr>
            <w:r>
              <w:rPr>
                <w:rFonts w:ascii="Quattrocento Sans" w:hAnsi="Quattrocento Sans"/>
                <w:color w:val="000000"/>
              </w:rPr>
              <w:t>2026</w:t>
            </w:r>
          </w:p>
        </w:tc>
      </w:tr>
    </w:tbl>
    <w:p w14:paraId="791F0387" w14:textId="35D7413D" w:rsidR="00BC0C43" w:rsidRPr="00EC44E5" w:rsidRDefault="00BC0C43" w:rsidP="00BC0C43">
      <w:pPr>
        <w:rPr>
          <w:sz w:val="24"/>
          <w:szCs w:val="24"/>
        </w:rPr>
      </w:pPr>
    </w:p>
    <w:bookmarkEnd w:id="5"/>
    <w:p w14:paraId="2EB12D7B" w14:textId="77777777" w:rsidR="0030566C" w:rsidRPr="00EC44E5" w:rsidRDefault="0030566C" w:rsidP="00BC0C43">
      <w:pPr>
        <w:rPr>
          <w:sz w:val="24"/>
          <w:szCs w:val="24"/>
        </w:rPr>
      </w:pPr>
    </w:p>
    <w:sectPr w:rsidR="0030566C" w:rsidRPr="00EC44E5" w:rsidSect="00BF4BAA">
      <w:pgSz w:w="16838" w:h="11906" w:orient="landscape"/>
      <w:pgMar w:top="1440" w:right="1440" w:bottom="991" w:left="1135"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DEC6" w14:textId="77777777" w:rsidR="00573195" w:rsidRDefault="00573195" w:rsidP="00BC0C43">
      <w:r>
        <w:separator/>
      </w:r>
    </w:p>
  </w:endnote>
  <w:endnote w:type="continuationSeparator" w:id="0">
    <w:p w14:paraId="63658A95" w14:textId="77777777" w:rsidR="00573195" w:rsidRDefault="00573195" w:rsidP="00BC0C43">
      <w:r>
        <w:continuationSeparator/>
      </w:r>
    </w:p>
  </w:endnote>
  <w:endnote w:type="continuationNotice" w:id="1">
    <w:p w14:paraId="281A4511" w14:textId="77777777" w:rsidR="00573195" w:rsidRDefault="0057319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9711" w14:textId="1CD961F7" w:rsidR="00470A6B" w:rsidRDefault="00232FF0">
    <w:pPr>
      <w:pStyle w:val="Footer"/>
    </w:pPr>
    <w:r>
      <w:rPr>
        <w:noProof/>
      </w:rPr>
      <mc:AlternateContent>
        <mc:Choice Requires="wps">
          <w:drawing>
            <wp:anchor distT="0" distB="0" distL="0" distR="0" simplePos="0" relativeHeight="251668480" behindDoc="0" locked="0" layoutInCell="1" allowOverlap="1" wp14:anchorId="5A900D02" wp14:editId="3858D89C">
              <wp:simplePos x="635" y="635"/>
              <wp:positionH relativeFrom="page">
                <wp:align>center</wp:align>
              </wp:positionH>
              <wp:positionV relativeFrom="page">
                <wp:align>bottom</wp:align>
              </wp:positionV>
              <wp:extent cx="622300" cy="376555"/>
              <wp:effectExtent l="0" t="0" r="6350" b="0"/>
              <wp:wrapNone/>
              <wp:docPr id="71504709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211BC1" w14:textId="2632781B" w:rsidR="00232FF0" w:rsidRPr="00232FF0" w:rsidRDefault="00232FF0" w:rsidP="00232FF0">
                          <w:pPr>
                            <w:spacing w:after="0"/>
                            <w:rPr>
                              <w:rFonts w:ascii="Aptos" w:eastAsia="Aptos" w:hAnsi="Aptos" w:cs="Aptos"/>
                              <w:noProof/>
                              <w:color w:val="FF0000"/>
                              <w:sz w:val="24"/>
                              <w:szCs w:val="24"/>
                            </w:rPr>
                          </w:pPr>
                          <w:r w:rsidRPr="00232FF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900D02" id="_x0000_t202" coordsize="21600,21600" o:spt="202" path="m,l,21600r21600,l21600,xe">
              <v:stroke joinstyle="miter"/>
              <v:path gradientshapeok="t" o:connecttype="rect"/>
            </v:shapetype>
            <v:shape id="Text Box 7" o:spid="_x0000_s1027"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19211BC1" w14:textId="2632781B" w:rsidR="00232FF0" w:rsidRPr="00232FF0" w:rsidRDefault="00232FF0" w:rsidP="00232FF0">
                    <w:pPr>
                      <w:spacing w:after="0"/>
                      <w:rPr>
                        <w:rFonts w:ascii="Aptos" w:eastAsia="Aptos" w:hAnsi="Aptos" w:cs="Aptos"/>
                        <w:noProof/>
                        <w:color w:val="FF0000"/>
                        <w:sz w:val="24"/>
                        <w:szCs w:val="24"/>
                      </w:rPr>
                    </w:pPr>
                    <w:r w:rsidRPr="00232FF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6C7C" w14:textId="7CB35086" w:rsidR="0090168B" w:rsidRDefault="00573195" w:rsidP="002B3774">
    <w:pPr>
      <w:pStyle w:val="Footer"/>
      <w:jc w:val="right"/>
    </w:pPr>
    <w:sdt>
      <w:sdtPr>
        <w:id w:val="-723988514"/>
        <w:docPartObj>
          <w:docPartGallery w:val="Page Numbers (Bottom of Page)"/>
          <w:docPartUnique/>
        </w:docPartObj>
      </w:sdtPr>
      <w:sdtEndPr/>
      <w:sdtContent>
        <w:r w:rsidR="0090168B" w:rsidRPr="00582377">
          <w:rPr>
            <w:sz w:val="21"/>
            <w:szCs w:val="21"/>
          </w:rPr>
          <w:fldChar w:fldCharType="begin"/>
        </w:r>
        <w:r w:rsidR="0090168B" w:rsidRPr="00582377">
          <w:rPr>
            <w:sz w:val="21"/>
            <w:szCs w:val="21"/>
          </w:rPr>
          <w:instrText xml:space="preserve"> PAGE  \* Arabic  \* MERGEFORMAT </w:instrText>
        </w:r>
        <w:r w:rsidR="0090168B" w:rsidRPr="00582377">
          <w:rPr>
            <w:sz w:val="21"/>
            <w:szCs w:val="21"/>
          </w:rPr>
          <w:fldChar w:fldCharType="separate"/>
        </w:r>
        <w:r w:rsidR="0090168B" w:rsidRPr="00582377">
          <w:rPr>
            <w:noProof/>
            <w:sz w:val="21"/>
            <w:szCs w:val="21"/>
          </w:rPr>
          <w:t>3</w:t>
        </w:r>
        <w:r w:rsidR="0090168B" w:rsidRPr="00582377">
          <w:rPr>
            <w:sz w:val="21"/>
            <w:szCs w:val="21"/>
          </w:rPr>
          <w:fldChar w:fldCharType="end"/>
        </w:r>
      </w:sdtContent>
    </w:sdt>
  </w:p>
  <w:p w14:paraId="355A1DA5" w14:textId="77777777" w:rsidR="0090168B" w:rsidRDefault="0090168B" w:rsidP="00BC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30333" w14:textId="77777777" w:rsidR="00573195" w:rsidRDefault="00573195" w:rsidP="00BC0C43">
      <w:r>
        <w:separator/>
      </w:r>
    </w:p>
  </w:footnote>
  <w:footnote w:type="continuationSeparator" w:id="0">
    <w:p w14:paraId="140993BE" w14:textId="77777777" w:rsidR="00573195" w:rsidRDefault="00573195" w:rsidP="00BC0C43">
      <w:r>
        <w:continuationSeparator/>
      </w:r>
    </w:p>
  </w:footnote>
  <w:footnote w:type="continuationNotice" w:id="1">
    <w:p w14:paraId="1268A77D" w14:textId="77777777" w:rsidR="00573195" w:rsidRDefault="0057319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4D61" w14:textId="5F980A42" w:rsidR="00470A6B" w:rsidRDefault="00232FF0">
    <w:pPr>
      <w:pStyle w:val="Header"/>
    </w:pPr>
    <w:r>
      <w:rPr>
        <w:noProof/>
      </w:rPr>
      <mc:AlternateContent>
        <mc:Choice Requires="wps">
          <w:drawing>
            <wp:anchor distT="0" distB="0" distL="0" distR="0" simplePos="0" relativeHeight="251665408" behindDoc="0" locked="0" layoutInCell="1" allowOverlap="1" wp14:anchorId="66CE72FF" wp14:editId="6AACFC21">
              <wp:simplePos x="635" y="635"/>
              <wp:positionH relativeFrom="page">
                <wp:align>center</wp:align>
              </wp:positionH>
              <wp:positionV relativeFrom="page">
                <wp:align>top</wp:align>
              </wp:positionV>
              <wp:extent cx="622300" cy="376555"/>
              <wp:effectExtent l="0" t="0" r="6350" b="4445"/>
              <wp:wrapNone/>
              <wp:docPr id="117201551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4A39698" w14:textId="32D4FDCA" w:rsidR="00232FF0" w:rsidRPr="00232FF0" w:rsidRDefault="00232FF0" w:rsidP="00232FF0">
                          <w:pPr>
                            <w:spacing w:after="0"/>
                            <w:rPr>
                              <w:rFonts w:ascii="Aptos" w:eastAsia="Aptos" w:hAnsi="Aptos" w:cs="Aptos"/>
                              <w:noProof/>
                              <w:color w:val="FF0000"/>
                              <w:sz w:val="24"/>
                              <w:szCs w:val="24"/>
                            </w:rPr>
                          </w:pPr>
                          <w:r w:rsidRPr="00232F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CE72FF" id="_x0000_t202" coordsize="21600,21600" o:spt="202" path="m,l,21600r21600,l21600,xe">
              <v:stroke joinstyle="miter"/>
              <v:path gradientshapeok="t" o:connecttype="rect"/>
            </v:shapetype>
            <v:shape id="Text Box 4"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24A39698" w14:textId="32D4FDCA" w:rsidR="00232FF0" w:rsidRPr="00232FF0" w:rsidRDefault="00232FF0" w:rsidP="00232FF0">
                    <w:pPr>
                      <w:spacing w:after="0"/>
                      <w:rPr>
                        <w:rFonts w:ascii="Aptos" w:eastAsia="Aptos" w:hAnsi="Aptos" w:cs="Aptos"/>
                        <w:noProof/>
                        <w:color w:val="FF0000"/>
                        <w:sz w:val="24"/>
                        <w:szCs w:val="24"/>
                      </w:rPr>
                    </w:pPr>
                    <w:r w:rsidRPr="00232FF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4564"/>
    <w:multiLevelType w:val="multilevel"/>
    <w:tmpl w:val="15723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464691"/>
    <w:multiLevelType w:val="multilevel"/>
    <w:tmpl w:val="E08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C01C74"/>
    <w:multiLevelType w:val="hybridMultilevel"/>
    <w:tmpl w:val="A40C144C"/>
    <w:lvl w:ilvl="0" w:tplc="908AA438">
      <w:start w:val="1"/>
      <w:numFmt w:val="decimal"/>
      <w:lvlText w:val="%1)"/>
      <w:lvlJc w:val="left"/>
      <w:pPr>
        <w:ind w:left="720" w:hanging="360"/>
      </w:pPr>
      <w:rPr>
        <w:rFonts w:eastAsiaTheme="minorHAns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60D29A2"/>
    <w:multiLevelType w:val="hybridMultilevel"/>
    <w:tmpl w:val="EC5403C4"/>
    <w:lvl w:ilvl="0" w:tplc="6DC22F4C">
      <w:numFmt w:val="bullet"/>
      <w:lvlText w:val="-"/>
      <w:lvlJc w:val="left"/>
      <w:pPr>
        <w:ind w:left="720" w:hanging="360"/>
      </w:pPr>
      <w:rPr>
        <w:rFonts w:ascii="Segoe UI" w:eastAsiaTheme="minorHAnsi" w:hAnsi="Segoe UI" w:cs="Segoe U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FFC68F9"/>
    <w:multiLevelType w:val="multilevel"/>
    <w:tmpl w:val="F232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2534347">
    <w:abstractNumId w:val="3"/>
  </w:num>
  <w:num w:numId="2" w16cid:durableId="780731176">
    <w:abstractNumId w:val="2"/>
  </w:num>
  <w:num w:numId="3" w16cid:durableId="198277741">
    <w:abstractNumId w:val="1"/>
  </w:num>
  <w:num w:numId="4" w16cid:durableId="1222056737">
    <w:abstractNumId w:val="0"/>
  </w:num>
  <w:num w:numId="5" w16cid:durableId="21463836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22"/>
    <w:rsid w:val="00010AAA"/>
    <w:rsid w:val="00025969"/>
    <w:rsid w:val="00040C24"/>
    <w:rsid w:val="00051843"/>
    <w:rsid w:val="00061233"/>
    <w:rsid w:val="000627EF"/>
    <w:rsid w:val="0009097A"/>
    <w:rsid w:val="000934AF"/>
    <w:rsid w:val="000B3DAE"/>
    <w:rsid w:val="000C3C3F"/>
    <w:rsid w:val="000C43E5"/>
    <w:rsid w:val="001103E9"/>
    <w:rsid w:val="00134373"/>
    <w:rsid w:val="0016065A"/>
    <w:rsid w:val="00172602"/>
    <w:rsid w:val="00174D43"/>
    <w:rsid w:val="00196EE9"/>
    <w:rsid w:val="00197295"/>
    <w:rsid w:val="00197915"/>
    <w:rsid w:val="00220187"/>
    <w:rsid w:val="00222820"/>
    <w:rsid w:val="0022643F"/>
    <w:rsid w:val="00230F1D"/>
    <w:rsid w:val="00232FF0"/>
    <w:rsid w:val="00241D68"/>
    <w:rsid w:val="00247389"/>
    <w:rsid w:val="002662E5"/>
    <w:rsid w:val="00280050"/>
    <w:rsid w:val="002973F9"/>
    <w:rsid w:val="002A4AE5"/>
    <w:rsid w:val="002B3774"/>
    <w:rsid w:val="002B7B2B"/>
    <w:rsid w:val="002C1A17"/>
    <w:rsid w:val="002C40F1"/>
    <w:rsid w:val="002D289F"/>
    <w:rsid w:val="002D7216"/>
    <w:rsid w:val="002D7243"/>
    <w:rsid w:val="002E357C"/>
    <w:rsid w:val="002F1641"/>
    <w:rsid w:val="00304995"/>
    <w:rsid w:val="0030566C"/>
    <w:rsid w:val="00305F7B"/>
    <w:rsid w:val="00334556"/>
    <w:rsid w:val="00361BBE"/>
    <w:rsid w:val="00363A81"/>
    <w:rsid w:val="00364572"/>
    <w:rsid w:val="00380C41"/>
    <w:rsid w:val="003925C1"/>
    <w:rsid w:val="003A16D1"/>
    <w:rsid w:val="003A3F24"/>
    <w:rsid w:val="003B391D"/>
    <w:rsid w:val="003B5315"/>
    <w:rsid w:val="003B5CCD"/>
    <w:rsid w:val="003C2446"/>
    <w:rsid w:val="003E01FC"/>
    <w:rsid w:val="003F39D1"/>
    <w:rsid w:val="003F4E49"/>
    <w:rsid w:val="00416DF2"/>
    <w:rsid w:val="00417441"/>
    <w:rsid w:val="004209FC"/>
    <w:rsid w:val="0042180F"/>
    <w:rsid w:val="00422C4A"/>
    <w:rsid w:val="00452657"/>
    <w:rsid w:val="00452A33"/>
    <w:rsid w:val="00460872"/>
    <w:rsid w:val="00467C5F"/>
    <w:rsid w:val="00470A6B"/>
    <w:rsid w:val="00482120"/>
    <w:rsid w:val="004A45BE"/>
    <w:rsid w:val="004C02B7"/>
    <w:rsid w:val="004C7646"/>
    <w:rsid w:val="004D13AE"/>
    <w:rsid w:val="004E0279"/>
    <w:rsid w:val="004F254C"/>
    <w:rsid w:val="0052274F"/>
    <w:rsid w:val="00545A4C"/>
    <w:rsid w:val="00566CF9"/>
    <w:rsid w:val="00572CA8"/>
    <w:rsid w:val="00573195"/>
    <w:rsid w:val="00577BB2"/>
    <w:rsid w:val="00582377"/>
    <w:rsid w:val="005837E9"/>
    <w:rsid w:val="005842D9"/>
    <w:rsid w:val="005949AE"/>
    <w:rsid w:val="00596DA2"/>
    <w:rsid w:val="005B5A58"/>
    <w:rsid w:val="005C5D3E"/>
    <w:rsid w:val="005D23BC"/>
    <w:rsid w:val="005E1CFB"/>
    <w:rsid w:val="005E38EE"/>
    <w:rsid w:val="005E38F9"/>
    <w:rsid w:val="0060163F"/>
    <w:rsid w:val="006142C7"/>
    <w:rsid w:val="00614D65"/>
    <w:rsid w:val="006227EF"/>
    <w:rsid w:val="00631D47"/>
    <w:rsid w:val="006429A1"/>
    <w:rsid w:val="006437E6"/>
    <w:rsid w:val="00657153"/>
    <w:rsid w:val="00665487"/>
    <w:rsid w:val="00677A07"/>
    <w:rsid w:val="00681E26"/>
    <w:rsid w:val="006A6049"/>
    <w:rsid w:val="006B1118"/>
    <w:rsid w:val="006C5DE1"/>
    <w:rsid w:val="006E4D70"/>
    <w:rsid w:val="00701150"/>
    <w:rsid w:val="0071719D"/>
    <w:rsid w:val="007259DB"/>
    <w:rsid w:val="007316E0"/>
    <w:rsid w:val="00735F7C"/>
    <w:rsid w:val="00746141"/>
    <w:rsid w:val="00756672"/>
    <w:rsid w:val="00765B2C"/>
    <w:rsid w:val="00770FA6"/>
    <w:rsid w:val="007F165F"/>
    <w:rsid w:val="007F5719"/>
    <w:rsid w:val="00834157"/>
    <w:rsid w:val="00836A15"/>
    <w:rsid w:val="008522C1"/>
    <w:rsid w:val="00884F92"/>
    <w:rsid w:val="0088630C"/>
    <w:rsid w:val="0089269F"/>
    <w:rsid w:val="008A7A5A"/>
    <w:rsid w:val="008B20F8"/>
    <w:rsid w:val="008D1A34"/>
    <w:rsid w:val="008E18C6"/>
    <w:rsid w:val="00900C04"/>
    <w:rsid w:val="0090168B"/>
    <w:rsid w:val="009139B7"/>
    <w:rsid w:val="00915C86"/>
    <w:rsid w:val="00930344"/>
    <w:rsid w:val="00940A7E"/>
    <w:rsid w:val="00942503"/>
    <w:rsid w:val="00944905"/>
    <w:rsid w:val="00955904"/>
    <w:rsid w:val="0097510A"/>
    <w:rsid w:val="00975B6D"/>
    <w:rsid w:val="009868DE"/>
    <w:rsid w:val="009C0554"/>
    <w:rsid w:val="009C0683"/>
    <w:rsid w:val="009C103E"/>
    <w:rsid w:val="009D5D20"/>
    <w:rsid w:val="009E3C5D"/>
    <w:rsid w:val="00A05B4D"/>
    <w:rsid w:val="00A079E2"/>
    <w:rsid w:val="00A435D2"/>
    <w:rsid w:val="00A500A7"/>
    <w:rsid w:val="00A6304B"/>
    <w:rsid w:val="00A84BCA"/>
    <w:rsid w:val="00A86A86"/>
    <w:rsid w:val="00A9727F"/>
    <w:rsid w:val="00B10A36"/>
    <w:rsid w:val="00B44146"/>
    <w:rsid w:val="00B759D1"/>
    <w:rsid w:val="00B81B47"/>
    <w:rsid w:val="00B936AF"/>
    <w:rsid w:val="00BA331F"/>
    <w:rsid w:val="00BB494A"/>
    <w:rsid w:val="00BC0C43"/>
    <w:rsid w:val="00BC1AA9"/>
    <w:rsid w:val="00BD7B44"/>
    <w:rsid w:val="00BE0612"/>
    <w:rsid w:val="00BE6B22"/>
    <w:rsid w:val="00BF33FE"/>
    <w:rsid w:val="00BF4BAA"/>
    <w:rsid w:val="00C02E1C"/>
    <w:rsid w:val="00C03C1D"/>
    <w:rsid w:val="00C158A7"/>
    <w:rsid w:val="00C1745C"/>
    <w:rsid w:val="00C512C6"/>
    <w:rsid w:val="00C51723"/>
    <w:rsid w:val="00C57631"/>
    <w:rsid w:val="00C66722"/>
    <w:rsid w:val="00C96E92"/>
    <w:rsid w:val="00CB16C1"/>
    <w:rsid w:val="00CB5480"/>
    <w:rsid w:val="00CB6F56"/>
    <w:rsid w:val="00CD5CA4"/>
    <w:rsid w:val="00CE5C8A"/>
    <w:rsid w:val="00CE7E4F"/>
    <w:rsid w:val="00D163F8"/>
    <w:rsid w:val="00D21C62"/>
    <w:rsid w:val="00D32DD1"/>
    <w:rsid w:val="00D404B5"/>
    <w:rsid w:val="00D42274"/>
    <w:rsid w:val="00D626F7"/>
    <w:rsid w:val="00D67744"/>
    <w:rsid w:val="00D94BA6"/>
    <w:rsid w:val="00DB1744"/>
    <w:rsid w:val="00DB2AB9"/>
    <w:rsid w:val="00DB2D53"/>
    <w:rsid w:val="00DD0A06"/>
    <w:rsid w:val="00DE7FB7"/>
    <w:rsid w:val="00E00CD3"/>
    <w:rsid w:val="00E410BF"/>
    <w:rsid w:val="00E55111"/>
    <w:rsid w:val="00EA0333"/>
    <w:rsid w:val="00EA0AA0"/>
    <w:rsid w:val="00EA7B42"/>
    <w:rsid w:val="00EC01FA"/>
    <w:rsid w:val="00EC44E5"/>
    <w:rsid w:val="00EF12E1"/>
    <w:rsid w:val="00F14D6C"/>
    <w:rsid w:val="00F16239"/>
    <w:rsid w:val="00F47AD7"/>
    <w:rsid w:val="00F539D9"/>
    <w:rsid w:val="00F613E1"/>
    <w:rsid w:val="00FA6D97"/>
    <w:rsid w:val="00FA75A0"/>
    <w:rsid w:val="00FC1F8E"/>
    <w:rsid w:val="00FD6A9A"/>
    <w:rsid w:val="00FE257E"/>
    <w:rsid w:val="00FE376F"/>
    <w:rsid w:val="00FE7BCE"/>
    <w:rsid w:val="00FF1ECB"/>
    <w:rsid w:val="00FF77BA"/>
    <w:rsid w:val="0185AA6A"/>
    <w:rsid w:val="08598382"/>
    <w:rsid w:val="0D07AF56"/>
    <w:rsid w:val="0D3BC2B7"/>
    <w:rsid w:val="135B9877"/>
    <w:rsid w:val="135BF387"/>
    <w:rsid w:val="1BD7DCE4"/>
    <w:rsid w:val="1BF7C667"/>
    <w:rsid w:val="1C3EAD3A"/>
    <w:rsid w:val="2231B511"/>
    <w:rsid w:val="25C9BE3D"/>
    <w:rsid w:val="261AF3FC"/>
    <w:rsid w:val="27823206"/>
    <w:rsid w:val="2D47ED45"/>
    <w:rsid w:val="337D8DA5"/>
    <w:rsid w:val="38A9AD79"/>
    <w:rsid w:val="39CFFBEB"/>
    <w:rsid w:val="3A47DE62"/>
    <w:rsid w:val="3E09C82D"/>
    <w:rsid w:val="40521184"/>
    <w:rsid w:val="409B911E"/>
    <w:rsid w:val="44569C21"/>
    <w:rsid w:val="45DD95E4"/>
    <w:rsid w:val="4F75CA22"/>
    <w:rsid w:val="5305292F"/>
    <w:rsid w:val="5463A513"/>
    <w:rsid w:val="574EB0DC"/>
    <w:rsid w:val="5BB02D4A"/>
    <w:rsid w:val="6003B08B"/>
    <w:rsid w:val="6D64CF51"/>
    <w:rsid w:val="6D873197"/>
    <w:rsid w:val="77154E78"/>
    <w:rsid w:val="7AC0EF4B"/>
    <w:rsid w:val="7F2A23A0"/>
    <w:rsid w:val="7F94D1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9B7"/>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EA0AA0"/>
    <w:pPr>
      <w:spacing w:before="240"/>
      <w:outlineLvl w:val="0"/>
    </w:pPr>
    <w:rPr>
      <w:b/>
      <w:bCs/>
      <w:color w:val="0070C0"/>
      <w:sz w:val="32"/>
      <w:szCs w:val="32"/>
    </w:rPr>
  </w:style>
  <w:style w:type="paragraph" w:styleId="Heading2">
    <w:name w:val="heading 2"/>
    <w:basedOn w:val="Normal"/>
    <w:next w:val="Normal"/>
    <w:link w:val="Heading2Char"/>
    <w:uiPriority w:val="9"/>
    <w:unhideWhenUsed/>
    <w:qFormat/>
    <w:rsid w:val="00BC0C43"/>
    <w:pPr>
      <w:spacing w:before="240" w:after="0"/>
      <w:outlineLvl w:val="1"/>
    </w:pPr>
    <w:rPr>
      <w:b/>
      <w:bCs/>
    </w:rPr>
  </w:style>
  <w:style w:type="paragraph" w:styleId="Heading3">
    <w:name w:val="heading 3"/>
    <w:basedOn w:val="Normal"/>
    <w:next w:val="Normal"/>
    <w:link w:val="Heading3Char"/>
    <w:uiPriority w:val="9"/>
    <w:semiHidden/>
    <w:unhideWhenUsed/>
    <w:qFormat/>
    <w:rsid w:val="00470A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3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582377"/>
    <w:pPr>
      <w:spacing w:after="160"/>
      <w:contextualSpacing/>
    </w:pPr>
    <w:rPr>
      <w:bCs/>
      <w:sz w:val="21"/>
      <w:szCs w:val="21"/>
    </w:rPr>
  </w:style>
  <w:style w:type="character" w:customStyle="1" w:styleId="TickboxesChar">
    <w:name w:val="Tick boxes Char"/>
    <w:basedOn w:val="DefaultParagraphFont"/>
    <w:link w:val="Tickboxes"/>
    <w:rsid w:val="00582377"/>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5D23BC"/>
    <w:rPr>
      <w:sz w:val="16"/>
      <w:szCs w:val="16"/>
    </w:rPr>
  </w:style>
  <w:style w:type="paragraph" w:styleId="CommentText">
    <w:name w:val="annotation text"/>
    <w:basedOn w:val="Normal"/>
    <w:link w:val="CommentTextChar"/>
    <w:uiPriority w:val="99"/>
    <w:unhideWhenUsed/>
    <w:rsid w:val="005D23BC"/>
    <w:rPr>
      <w:sz w:val="20"/>
      <w:szCs w:val="20"/>
    </w:rPr>
  </w:style>
  <w:style w:type="character" w:customStyle="1" w:styleId="CommentTextChar">
    <w:name w:val="Comment Text Char"/>
    <w:basedOn w:val="DefaultParagraphFont"/>
    <w:link w:val="CommentText"/>
    <w:uiPriority w:val="99"/>
    <w:rsid w:val="005D23BC"/>
    <w:rPr>
      <w:sz w:val="20"/>
      <w:szCs w:val="20"/>
    </w:rPr>
  </w:style>
  <w:style w:type="paragraph" w:styleId="CommentSubject">
    <w:name w:val="annotation subject"/>
    <w:basedOn w:val="CommentText"/>
    <w:next w:val="CommentText"/>
    <w:link w:val="CommentSubjectChar"/>
    <w:uiPriority w:val="99"/>
    <w:semiHidden/>
    <w:unhideWhenUsed/>
    <w:rsid w:val="005D23BC"/>
    <w:rPr>
      <w:b/>
      <w:bCs/>
    </w:rPr>
  </w:style>
  <w:style w:type="character" w:customStyle="1" w:styleId="CommentSubjectChar">
    <w:name w:val="Comment Subject Char"/>
    <w:basedOn w:val="CommentTextChar"/>
    <w:link w:val="CommentSubject"/>
    <w:uiPriority w:val="99"/>
    <w:semiHidden/>
    <w:rsid w:val="005D23BC"/>
    <w:rPr>
      <w:b/>
      <w:bCs/>
      <w:sz w:val="20"/>
      <w:szCs w:val="20"/>
    </w:rPr>
  </w:style>
  <w:style w:type="character" w:customStyle="1" w:styleId="Heading2Char">
    <w:name w:val="Heading 2 Char"/>
    <w:basedOn w:val="DefaultParagraphFont"/>
    <w:link w:val="Heading2"/>
    <w:uiPriority w:val="9"/>
    <w:rsid w:val="00BC0C43"/>
    <w:rPr>
      <w:rFonts w:ascii="Segoe UI" w:hAnsi="Segoe UI" w:cs="Segoe UI"/>
      <w:b/>
      <w:bCs/>
      <w:sz w:val="22"/>
      <w:szCs w:val="22"/>
    </w:rPr>
  </w:style>
  <w:style w:type="character" w:customStyle="1" w:styleId="Heading1Char">
    <w:name w:val="Heading 1 Char"/>
    <w:basedOn w:val="DefaultParagraphFont"/>
    <w:link w:val="Heading1"/>
    <w:uiPriority w:val="9"/>
    <w:rsid w:val="00EA0AA0"/>
    <w:rPr>
      <w:rFonts w:ascii="Segoe UI" w:hAnsi="Segoe UI" w:cs="Segoe UI"/>
      <w:b/>
      <w:bCs/>
      <w:color w:val="0070C0"/>
      <w:sz w:val="32"/>
      <w:szCs w:val="32"/>
    </w:rPr>
  </w:style>
  <w:style w:type="paragraph" w:customStyle="1" w:styleId="Instructions">
    <w:name w:val="Instructions"/>
    <w:basedOn w:val="Normal"/>
    <w:link w:val="InstructionsChar"/>
    <w:qFormat/>
    <w:rsid w:val="00E410BF"/>
    <w:pPr>
      <w:spacing w:before="120"/>
    </w:pPr>
    <w:rPr>
      <w:b/>
      <w:bCs/>
      <w:i/>
      <w:iCs/>
      <w:color w:val="538135" w:themeColor="accent6" w:themeShade="BF"/>
      <w:sz w:val="24"/>
      <w:szCs w:val="24"/>
    </w:rPr>
  </w:style>
  <w:style w:type="character" w:customStyle="1" w:styleId="InstructionsChar">
    <w:name w:val="Instructions Char"/>
    <w:basedOn w:val="Heading2Char"/>
    <w:link w:val="Instructions"/>
    <w:rsid w:val="00E410BF"/>
    <w:rPr>
      <w:rFonts w:ascii="Segoe UI" w:hAnsi="Segoe UI" w:cs="Segoe UI"/>
      <w:b/>
      <w:bCs/>
      <w:i/>
      <w:iCs/>
      <w:color w:val="538135" w:themeColor="accent6" w:themeShade="BF"/>
      <w:sz w:val="22"/>
      <w:szCs w:val="22"/>
    </w:rPr>
  </w:style>
  <w:style w:type="paragraph" w:styleId="Revision">
    <w:name w:val="Revision"/>
    <w:hidden/>
    <w:uiPriority w:val="99"/>
    <w:semiHidden/>
    <w:rsid w:val="00D67744"/>
    <w:pPr>
      <w:spacing w:after="0" w:line="240" w:lineRule="auto"/>
    </w:pPr>
    <w:rPr>
      <w:rFonts w:ascii="Segoe UI" w:hAnsi="Segoe UI" w:cs="Segoe UI"/>
      <w:sz w:val="22"/>
      <w:szCs w:val="22"/>
    </w:rPr>
  </w:style>
  <w:style w:type="paragraph" w:styleId="FootnoteText">
    <w:name w:val="footnote text"/>
    <w:basedOn w:val="Normal"/>
    <w:link w:val="FootnoteTextChar"/>
    <w:uiPriority w:val="99"/>
    <w:semiHidden/>
    <w:unhideWhenUsed/>
    <w:rsid w:val="00CE5C8A"/>
    <w:pPr>
      <w:spacing w:after="0"/>
    </w:pPr>
    <w:rPr>
      <w:sz w:val="20"/>
      <w:szCs w:val="20"/>
    </w:rPr>
  </w:style>
  <w:style w:type="character" w:customStyle="1" w:styleId="FootnoteTextChar">
    <w:name w:val="Footnote Text Char"/>
    <w:basedOn w:val="DefaultParagraphFont"/>
    <w:link w:val="FootnoteText"/>
    <w:uiPriority w:val="99"/>
    <w:semiHidden/>
    <w:rsid w:val="00CE5C8A"/>
    <w:rPr>
      <w:rFonts w:ascii="Segoe UI" w:hAnsi="Segoe UI" w:cs="Segoe UI"/>
      <w:sz w:val="20"/>
      <w:szCs w:val="20"/>
    </w:rPr>
  </w:style>
  <w:style w:type="character" w:styleId="FootnoteReference">
    <w:name w:val="footnote reference"/>
    <w:basedOn w:val="DefaultParagraphFont"/>
    <w:uiPriority w:val="99"/>
    <w:semiHidden/>
    <w:unhideWhenUsed/>
    <w:rsid w:val="00CE5C8A"/>
    <w:rPr>
      <w:vertAlign w:val="superscript"/>
    </w:rPr>
  </w:style>
  <w:style w:type="paragraph" w:styleId="Title">
    <w:name w:val="Title"/>
    <w:basedOn w:val="Normal"/>
    <w:next w:val="Normal"/>
    <w:link w:val="TitleChar"/>
    <w:uiPriority w:val="10"/>
    <w:qFormat/>
    <w:rsid w:val="0022282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8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22820"/>
    <w:rPr>
      <w:rFonts w:asciiTheme="minorHAnsi" w:eastAsiaTheme="minorEastAsia" w:hAnsiTheme="minorHAnsi" w:cstheme="minorBidi"/>
      <w:color w:val="5A5A5A" w:themeColor="text1" w:themeTint="A5"/>
      <w:spacing w:val="15"/>
      <w:sz w:val="22"/>
      <w:szCs w:val="22"/>
    </w:rPr>
  </w:style>
  <w:style w:type="paragraph" w:styleId="ListParagraph">
    <w:name w:val="List Paragraph"/>
    <w:basedOn w:val="Normal"/>
    <w:uiPriority w:val="34"/>
    <w:qFormat/>
    <w:rsid w:val="00915C86"/>
    <w:pPr>
      <w:ind w:left="720"/>
      <w:contextualSpacing/>
    </w:pPr>
  </w:style>
  <w:style w:type="character" w:customStyle="1" w:styleId="Heading3Char">
    <w:name w:val="Heading 3 Char"/>
    <w:basedOn w:val="DefaultParagraphFont"/>
    <w:link w:val="Heading3"/>
    <w:uiPriority w:val="9"/>
    <w:semiHidden/>
    <w:rsid w:val="00470A6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 w:id="99152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894E7-6978-467B-8840-11305A50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4512</Words>
  <Characters>27253</Characters>
  <Application>Microsoft Office Word</Application>
  <DocSecurity>0</DocSecurity>
  <Lines>736</Lines>
  <Paragraphs>314</Paragraphs>
  <ScaleCrop>false</ScaleCrop>
  <Company/>
  <LinksUpToDate>false</LinksUpToDate>
  <CharactersWithSpaces>31451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2026-09-17T05:31:00Z</dcterms:created>
  <dcterms:modified xsi:type="dcterms:W3CDTF">2026-09-17T05:33:00Z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793cfbed,45db8999,5cdcece5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71fe969b,2a9ec0bb,6b362f26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2026-09-17T05:31:41Z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d6c7397e-5b5f-4d9d-a980-bb263ba6f377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