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077D" w14:textId="590642B9" w:rsidR="00133449" w:rsidRPr="0065027C" w:rsidRDefault="00152E10" w:rsidP="00133449">
      <w:pPr>
        <w:pStyle w:val="Title"/>
        <w:spacing w:before="960" w:after="240"/>
        <w:jc w:val="center"/>
        <w:rPr>
          <w:rFonts w:ascii="Segoe UI" w:eastAsiaTheme="minorHAnsi" w:hAnsi="Segoe UI" w:cs="Segoe UI"/>
          <w:b/>
          <w:bCs/>
          <w:lang w:eastAsia="en-US"/>
        </w:rPr>
      </w:pPr>
      <w:bookmarkStart w:id="0" w:name="_Hlk181277161"/>
      <w:r>
        <w:rPr>
          <w:rFonts w:ascii="Segoe UI" w:eastAsiaTheme="minorHAnsi" w:hAnsi="Segoe UI" w:cs="Segoe UI"/>
          <w:b/>
          <w:bCs/>
          <w:lang w:eastAsia="en-US"/>
        </w:rPr>
        <w:t>MSAC</w:t>
      </w:r>
      <w:r w:rsidR="00133449" w:rsidRPr="0065027C">
        <w:rPr>
          <w:rFonts w:ascii="Segoe UI" w:eastAsiaTheme="minorHAnsi" w:hAnsi="Segoe UI" w:cs="Segoe UI"/>
          <w:b/>
          <w:bCs/>
          <w:lang w:eastAsia="en-US"/>
        </w:rPr>
        <w:t xml:space="preserve"> application </w:t>
      </w:r>
      <w:r>
        <w:rPr>
          <w:rFonts w:ascii="Segoe UI" w:eastAsiaTheme="minorHAnsi" w:hAnsi="Segoe UI" w:cs="Segoe UI"/>
          <w:b/>
          <w:bCs/>
          <w:lang w:eastAsia="en-US"/>
        </w:rPr>
        <w:t>18</w:t>
      </w:r>
      <w:r w:rsidR="00F30B19">
        <w:rPr>
          <w:rFonts w:ascii="Segoe UI" w:eastAsiaTheme="minorHAnsi" w:hAnsi="Segoe UI" w:cs="Segoe UI"/>
          <w:b/>
          <w:bCs/>
          <w:lang w:eastAsia="en-US"/>
        </w:rPr>
        <w:t>31</w:t>
      </w:r>
    </w:p>
    <w:p w14:paraId="084637DB" w14:textId="77777777" w:rsidR="00133449" w:rsidRPr="005B57C1" w:rsidRDefault="00133449" w:rsidP="00133449">
      <w:pPr>
        <w:pStyle w:val="Subtitle"/>
        <w:jc w:val="center"/>
        <w:rPr>
          <w:rFonts w:ascii="Segoe UI" w:eastAsiaTheme="minorHAnsi" w:hAnsi="Segoe UI" w:cs="Segoe UI"/>
          <w:b/>
          <w:bCs/>
          <w:color w:val="153D63" w:themeColor="text2" w:themeTint="E6"/>
          <w:sz w:val="48"/>
          <w:szCs w:val="48"/>
          <w:lang w:eastAsia="en-US"/>
        </w:rPr>
      </w:pPr>
      <w:r w:rsidRPr="00F30B19">
        <w:rPr>
          <w:rFonts w:ascii="Segoe UI" w:eastAsiaTheme="minorHAnsi" w:hAnsi="Segoe UI" w:cs="Segoe UI"/>
          <w:b/>
          <w:bCs/>
          <w:color w:val="153D63" w:themeColor="text2" w:themeTint="E6"/>
          <w:sz w:val="48"/>
          <w:szCs w:val="48"/>
          <w:lang w:eastAsia="en-US"/>
        </w:rPr>
        <w:t>Kappa free-light chain (</w:t>
      </w:r>
      <w:proofErr w:type="spellStart"/>
      <w:r w:rsidRPr="00F30B19">
        <w:rPr>
          <w:rFonts w:ascii="Segoe UI" w:eastAsiaTheme="minorHAnsi" w:hAnsi="Segoe UI" w:cs="Segoe UI"/>
          <w:b/>
          <w:bCs/>
          <w:color w:val="153D63" w:themeColor="text2" w:themeTint="E6"/>
          <w:sz w:val="48"/>
          <w:szCs w:val="48"/>
          <w:lang w:eastAsia="en-US"/>
        </w:rPr>
        <w:t>kFLC</w:t>
      </w:r>
      <w:proofErr w:type="spellEnd"/>
      <w:r w:rsidRPr="00F30B19">
        <w:rPr>
          <w:rFonts w:ascii="Segoe UI" w:eastAsiaTheme="minorHAnsi" w:hAnsi="Segoe UI" w:cs="Segoe UI"/>
          <w:b/>
          <w:bCs/>
          <w:color w:val="153D63" w:themeColor="text2" w:themeTint="E6"/>
          <w:sz w:val="48"/>
          <w:szCs w:val="48"/>
          <w:lang w:eastAsia="en-US"/>
        </w:rPr>
        <w:t>) index testing for the diagnosis of multiple sclerosis (MS)</w:t>
      </w:r>
    </w:p>
    <w:p w14:paraId="08D98030" w14:textId="77777777" w:rsidR="00133449" w:rsidRPr="0010048D" w:rsidRDefault="00133449" w:rsidP="00133449">
      <w:pPr>
        <w:rPr>
          <w:rFonts w:ascii="Segoe UI" w:eastAsia="Segoe UI" w:hAnsi="Segoe UI" w:cs="Segoe UI"/>
          <w:b/>
          <w:color w:val="000000"/>
          <w:sz w:val="32"/>
        </w:rPr>
      </w:pPr>
      <w:r w:rsidRPr="0010048D">
        <w:rPr>
          <w:rFonts w:ascii="Segoe UI" w:hAnsi="Segoe UI" w:cs="Segoe UI"/>
        </w:rPr>
        <w:br w:type="page"/>
      </w:r>
    </w:p>
    <w:p w14:paraId="1B176AAF" w14:textId="77777777" w:rsidR="00133449" w:rsidRPr="0010048D" w:rsidRDefault="00133449" w:rsidP="00133449">
      <w:pPr>
        <w:pStyle w:val="Heading1"/>
        <w:rPr>
          <w:rFonts w:cs="Segoe UI"/>
        </w:rPr>
      </w:pPr>
      <w:r w:rsidRPr="0010048D">
        <w:rPr>
          <w:rFonts w:cs="Segoe UI"/>
        </w:rPr>
        <w:lastRenderedPageBreak/>
        <w:t>Application for MBS eligible service or health technology</w:t>
      </w:r>
    </w:p>
    <w:p w14:paraId="6C648CB8" w14:textId="77777777"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HPP Application number:</w:t>
      </w:r>
    </w:p>
    <w:p w14:paraId="6877642E"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HPP200431</w:t>
      </w:r>
    </w:p>
    <w:p w14:paraId="474B23EF"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Application title:</w:t>
      </w:r>
    </w:p>
    <w:p w14:paraId="28AE5EE5"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Kappa free-light chain (</w:t>
      </w:r>
      <w:proofErr w:type="spellStart"/>
      <w:r w:rsidRPr="005B57C1">
        <w:rPr>
          <w:rFonts w:ascii="Segoe UI" w:eastAsia="Segoe UI" w:hAnsi="Segoe UI" w:cs="Segoe UI"/>
          <w:color w:val="000000"/>
        </w:rPr>
        <w:t>kFLC</w:t>
      </w:r>
      <w:proofErr w:type="spellEnd"/>
      <w:r w:rsidRPr="005B57C1">
        <w:rPr>
          <w:rFonts w:ascii="Segoe UI" w:eastAsia="Segoe UI" w:hAnsi="Segoe UI" w:cs="Segoe UI"/>
          <w:color w:val="000000"/>
        </w:rPr>
        <w:t>) index testing for the diagnosis of multiple sclerosis (MS)</w:t>
      </w:r>
    </w:p>
    <w:p w14:paraId="447B2D37" w14:textId="77777777" w:rsidR="00133449" w:rsidRPr="0010048D" w:rsidRDefault="00133449" w:rsidP="00133449">
      <w:pPr>
        <w:rPr>
          <w:rFonts w:ascii="Segoe UI" w:hAnsi="Segoe UI" w:cs="Segoe UI"/>
        </w:rPr>
      </w:pPr>
      <w:r w:rsidRPr="0010048D">
        <w:rPr>
          <w:rFonts w:ascii="Segoe UI" w:eastAsia="Segoe UI" w:hAnsi="Segoe UI" w:cs="Segoe UI"/>
          <w:b/>
          <w:color w:val="000000"/>
        </w:rPr>
        <w:t xml:space="preserve">Submitting organisation: </w:t>
      </w:r>
    </w:p>
    <w:p w14:paraId="44826F65" w14:textId="77777777" w:rsidR="00133449" w:rsidRPr="0010048D" w:rsidRDefault="00133449" w:rsidP="00133449">
      <w:pPr>
        <w:rPr>
          <w:rFonts w:ascii="Segoe UI" w:hAnsi="Segoe UI" w:cs="Segoe UI"/>
        </w:rPr>
      </w:pPr>
      <w:r>
        <w:rPr>
          <w:rFonts w:ascii="Segoe UI" w:eastAsia="Segoe UI" w:hAnsi="Segoe UI" w:cs="Segoe UI"/>
          <w:color w:val="000000"/>
        </w:rPr>
        <w:t>THE ROYAL COLLEGE OF PATHOLOGISTS OF AUSTRALASIA</w:t>
      </w:r>
    </w:p>
    <w:p w14:paraId="5AF85C6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Submitting organisation ABN:</w:t>
      </w:r>
    </w:p>
    <w:p w14:paraId="04FE4FD7" w14:textId="77777777" w:rsidR="00133449" w:rsidRPr="0010048D" w:rsidRDefault="00133449" w:rsidP="00133449">
      <w:pPr>
        <w:rPr>
          <w:rFonts w:ascii="Segoe UI" w:hAnsi="Segoe UI" w:cs="Segoe UI"/>
        </w:rPr>
      </w:pPr>
      <w:r>
        <w:rPr>
          <w:rFonts w:ascii="Segoe UI" w:hAnsi="Segoe UI" w:cs="Segoe UI"/>
        </w:rPr>
        <w:t>52000173231</w:t>
      </w:r>
    </w:p>
    <w:p w14:paraId="2B498BDA" w14:textId="77777777" w:rsidR="00133449" w:rsidRPr="0010048D" w:rsidRDefault="00133449" w:rsidP="00133449">
      <w:pPr>
        <w:pStyle w:val="Heading1"/>
        <w:rPr>
          <w:rFonts w:cs="Segoe UI"/>
        </w:rPr>
      </w:pPr>
      <w:r w:rsidRPr="0010048D">
        <w:rPr>
          <w:rFonts w:cs="Segoe UI"/>
        </w:rPr>
        <w:t>Application description</w:t>
      </w:r>
    </w:p>
    <w:p w14:paraId="3F86EC2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medical condition/s:</w:t>
      </w:r>
    </w:p>
    <w:p w14:paraId="361DA832" w14:textId="77777777" w:rsidR="00133449" w:rsidRPr="00DA3592" w:rsidRDefault="00133449" w:rsidP="00133449">
      <w:pPr>
        <w:rPr>
          <w:rFonts w:ascii="Segoe UI" w:hAnsi="Segoe UI" w:cs="Segoe UI"/>
        </w:rPr>
      </w:pPr>
      <w:r w:rsidRPr="00DA3592">
        <w:rPr>
          <w:rFonts w:ascii="Segoe UI" w:eastAsia="Segoe UI" w:hAnsi="Segoe UI" w:cs="Segoe UI"/>
          <w:color w:val="000000"/>
        </w:rPr>
        <w:t>Multiple sclerosis is a chronic, neurodegenerative condition in which the immune system mistakenly attacks the protective covering of nerves in the brain and spinal cord, called myelin. This damage to the nerves, or demyelination, disrupts communication between the brain and the rest of the body and can cause a wide range of symptoms, including vision problems, numbness, weakness, fatigue, poor balance, difficulties with walking, and changes in memory or concentration. Accurate diagnosis informs the appropriate use of disease-modifying therapies that are intended to slow the accumulation of disability associated with demyelination.</w:t>
      </w:r>
    </w:p>
    <w:p w14:paraId="2ACA69D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service or health technology:</w:t>
      </w:r>
    </w:p>
    <w:p w14:paraId="324A6718" w14:textId="77777777" w:rsidR="00133449" w:rsidRPr="005B57C1" w:rsidRDefault="00133449" w:rsidP="00133449">
      <w:pPr>
        <w:rPr>
          <w:rFonts w:ascii="Segoe UI" w:eastAsia="Segoe UI" w:hAnsi="Segoe UI" w:cs="Segoe UI"/>
          <w:color w:val="000000"/>
        </w:rPr>
      </w:pPr>
      <w:r w:rsidRPr="00DA3592">
        <w:rPr>
          <w:rFonts w:ascii="Segoe UI" w:eastAsia="Segoe UI" w:hAnsi="Segoe UI" w:cs="Segoe UI"/>
          <w:color w:val="000000"/>
        </w:rPr>
        <w:t xml:space="preserve">Kappa free-light chains are small protein fragments, produced by antibody-forming immune cells, that are released during immunoglobulin production. The </w:t>
      </w:r>
      <w:proofErr w:type="spellStart"/>
      <w:r w:rsidRPr="00DA3592">
        <w:rPr>
          <w:rFonts w:ascii="Segoe UI" w:eastAsia="Segoe UI" w:hAnsi="Segoe UI" w:cs="Segoe UI"/>
          <w:color w:val="000000"/>
        </w:rPr>
        <w:t>kFLC</w:t>
      </w:r>
      <w:proofErr w:type="spellEnd"/>
      <w:r w:rsidRPr="00DA3592">
        <w:rPr>
          <w:rFonts w:ascii="Segoe UI" w:eastAsia="Segoe UI" w:hAnsi="Segoe UI" w:cs="Segoe UI"/>
          <w:color w:val="000000"/>
        </w:rPr>
        <w:t xml:space="preserve"> index compares </w:t>
      </w:r>
      <w:proofErr w:type="spellStart"/>
      <w:r w:rsidRPr="00DA3592">
        <w:rPr>
          <w:rFonts w:ascii="Segoe UI" w:eastAsia="Segoe UI" w:hAnsi="Segoe UI" w:cs="Segoe UI"/>
          <w:color w:val="000000"/>
        </w:rPr>
        <w:t>kFLC</w:t>
      </w:r>
      <w:proofErr w:type="spellEnd"/>
      <w:r w:rsidRPr="00DA3592">
        <w:rPr>
          <w:rFonts w:ascii="Segoe UI" w:eastAsia="Segoe UI" w:hAnsi="Segoe UI" w:cs="Segoe UI"/>
          <w:color w:val="000000"/>
        </w:rPr>
        <w:t xml:space="preserve"> concentrations in cerebrospinal fluid and serum, while using albumin to correct for the normal transfer of proteins from the blood into cerebrospinal fluid. Because albumin is produced outside the central nervous system, the cerebrospinal fluid-to-serum albumin ratio provides a measure of blood–cerebrospinal fluid barrier permeability. An elevated </w:t>
      </w:r>
      <w:proofErr w:type="spellStart"/>
      <w:r w:rsidRPr="00DA3592">
        <w:rPr>
          <w:rFonts w:ascii="Segoe UI" w:eastAsia="Segoe UI" w:hAnsi="Segoe UI" w:cs="Segoe UI"/>
          <w:color w:val="000000"/>
        </w:rPr>
        <w:t>kFLC</w:t>
      </w:r>
      <w:proofErr w:type="spellEnd"/>
      <w:r w:rsidRPr="00DA3592">
        <w:rPr>
          <w:rFonts w:ascii="Segoe UI" w:eastAsia="Segoe UI" w:hAnsi="Segoe UI" w:cs="Segoe UI"/>
          <w:color w:val="000000"/>
        </w:rPr>
        <w:t xml:space="preserve"> index indicates that the amount of </w:t>
      </w:r>
      <w:proofErr w:type="spellStart"/>
      <w:r w:rsidRPr="00DA3592">
        <w:rPr>
          <w:rFonts w:ascii="Segoe UI" w:eastAsia="Segoe UI" w:hAnsi="Segoe UI" w:cs="Segoe UI"/>
          <w:color w:val="000000"/>
        </w:rPr>
        <w:t>kFLC</w:t>
      </w:r>
      <w:proofErr w:type="spellEnd"/>
      <w:r w:rsidRPr="00DA3592">
        <w:rPr>
          <w:rFonts w:ascii="Segoe UI" w:eastAsia="Segoe UI" w:hAnsi="Segoe UI" w:cs="Segoe UI"/>
          <w:color w:val="000000"/>
        </w:rPr>
        <w:t xml:space="preserve"> in cerebrospinal fluid is greater than would be expected from passive transfer alone, supporting local antibody production within the central nervous system, which is a marker of MS disease activity.</w:t>
      </w:r>
    </w:p>
    <w:p w14:paraId="6B61DA55" w14:textId="77777777" w:rsidR="00133449" w:rsidRPr="0010048D" w:rsidRDefault="00133449" w:rsidP="00133449">
      <w:pPr>
        <w:pStyle w:val="Heading1"/>
        <w:rPr>
          <w:rFonts w:cs="Segoe UI"/>
        </w:rPr>
      </w:pPr>
      <w:r w:rsidRPr="0010048D">
        <w:rPr>
          <w:rFonts w:cs="Segoe UI"/>
        </w:rPr>
        <w:lastRenderedPageBreak/>
        <w:t>Application contact details</w:t>
      </w:r>
    </w:p>
    <w:p w14:paraId="2401EE2F"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the applicant, or are you a consultant or lobbyist acting on behalf of the applicant?</w:t>
      </w:r>
    </w:p>
    <w:p w14:paraId="791B4BED" w14:textId="77777777" w:rsidR="00133449" w:rsidRPr="00DA3592" w:rsidRDefault="00133449" w:rsidP="00133449">
      <w:pPr>
        <w:rPr>
          <w:rFonts w:ascii="Segoe UI" w:hAnsi="Segoe UI" w:cs="Segoe UI"/>
        </w:rPr>
      </w:pPr>
      <w:r w:rsidRPr="00DA3592">
        <w:rPr>
          <w:rFonts w:ascii="Segoe UI" w:eastAsia="Segoe UI" w:hAnsi="Segoe UI" w:cs="Segoe UI"/>
          <w:color w:val="000000"/>
        </w:rPr>
        <w:t>Applicant</w:t>
      </w:r>
    </w:p>
    <w:p w14:paraId="273CAE8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applying on behalf of an organisation, or as an individual?</w:t>
      </w:r>
    </w:p>
    <w:p w14:paraId="5E00F69E" w14:textId="77777777" w:rsidR="00133449" w:rsidRPr="00DA3592" w:rsidRDefault="00133449" w:rsidP="00133449">
      <w:pPr>
        <w:rPr>
          <w:rFonts w:ascii="Segoe UI" w:hAnsi="Segoe UI" w:cs="Segoe UI"/>
        </w:rPr>
      </w:pPr>
      <w:r w:rsidRPr="00DA3592">
        <w:rPr>
          <w:rFonts w:ascii="Segoe UI" w:eastAsia="Segoe UI" w:hAnsi="Segoe UI" w:cs="Segoe UI"/>
          <w:color w:val="000000"/>
        </w:rPr>
        <w:t>Organisation</w:t>
      </w:r>
    </w:p>
    <w:p w14:paraId="6601E95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Applicant organisation name:</w:t>
      </w:r>
    </w:p>
    <w:p w14:paraId="72623FB7" w14:textId="77777777" w:rsidR="00133449" w:rsidRPr="00DA3592" w:rsidRDefault="00133449" w:rsidP="00133449">
      <w:pPr>
        <w:rPr>
          <w:rFonts w:ascii="Segoe UI" w:eastAsia="Segoe UI" w:hAnsi="Segoe UI" w:cs="Segoe UI"/>
          <w:color w:val="000000"/>
        </w:rPr>
      </w:pPr>
      <w:r w:rsidRPr="00DA3592">
        <w:rPr>
          <w:rFonts w:ascii="Segoe UI" w:eastAsia="Segoe UI" w:hAnsi="Segoe UI" w:cs="Segoe UI"/>
          <w:color w:val="000000"/>
        </w:rPr>
        <w:t>THE ROYAL COLLEGE OF PATHOLOGISTS OF AUSTRALASIA</w:t>
      </w:r>
    </w:p>
    <w:p w14:paraId="3E3352C1" w14:textId="77777777" w:rsidR="00133449" w:rsidRPr="0010048D" w:rsidRDefault="00133449" w:rsidP="00133449">
      <w:pPr>
        <w:pStyle w:val="Heading1"/>
        <w:rPr>
          <w:rFonts w:cs="Segoe UI"/>
        </w:rPr>
      </w:pPr>
      <w:r w:rsidRPr="00E448F0">
        <w:rPr>
          <w:rFonts w:cs="Segoe UI"/>
          <w:color w:val="153D63" w:themeColor="text2" w:themeTint="E6"/>
        </w:rPr>
        <w:t>Application</w:t>
      </w:r>
      <w:r w:rsidRPr="0010048D">
        <w:rPr>
          <w:rFonts w:cs="Segoe UI"/>
        </w:rPr>
        <w:t xml:space="preserve"> details</w:t>
      </w:r>
    </w:p>
    <w:p w14:paraId="51FA98F1" w14:textId="77777777" w:rsidR="00133449" w:rsidRPr="0010048D" w:rsidRDefault="00133449" w:rsidP="00133449">
      <w:pPr>
        <w:rPr>
          <w:rFonts w:ascii="Segoe UI" w:hAnsi="Segoe UI" w:cs="Segoe UI"/>
        </w:rPr>
      </w:pPr>
      <w:r w:rsidRPr="0010048D">
        <w:rPr>
          <w:rFonts w:ascii="Segoe UI" w:eastAsia="Segoe UI" w:hAnsi="Segoe UI" w:cs="Segoe UI"/>
          <w:b/>
          <w:color w:val="000000"/>
        </w:rPr>
        <w:t>Does the implementation of your service or health technology rely on a new listing on the Pharmaceutical Benefits Scheme (PBS) and/or the Prescribed List?</w:t>
      </w:r>
    </w:p>
    <w:p w14:paraId="15CA45CC" w14:textId="77777777" w:rsidR="00133449" w:rsidRPr="009755EC" w:rsidRDefault="00133449" w:rsidP="00133449">
      <w:pPr>
        <w:rPr>
          <w:rFonts w:ascii="Segoe UI" w:hAnsi="Segoe UI" w:cs="Segoe UI"/>
        </w:rPr>
      </w:pPr>
      <w:r w:rsidRPr="009755EC">
        <w:rPr>
          <w:rFonts w:ascii="Segoe UI" w:eastAsia="Segoe UI" w:hAnsi="Segoe UI" w:cs="Segoe UI"/>
          <w:color w:val="000000"/>
        </w:rPr>
        <w:t>No</w:t>
      </w:r>
    </w:p>
    <w:p w14:paraId="51B3F52E" w14:textId="77777777" w:rsidR="00133449" w:rsidRPr="0010048D" w:rsidRDefault="00133449" w:rsidP="00133449">
      <w:pPr>
        <w:rPr>
          <w:rFonts w:ascii="Segoe UI" w:hAnsi="Segoe UI" w:cs="Segoe UI"/>
        </w:rPr>
      </w:pPr>
      <w:r w:rsidRPr="0010048D">
        <w:rPr>
          <w:rFonts w:ascii="Segoe UI" w:eastAsia="Segoe UI" w:hAnsi="Segoe UI" w:cs="Segoe UI"/>
          <w:b/>
          <w:color w:val="000000"/>
        </w:rPr>
        <w:t>Is the application for a new service or health technology, or an amendment to an existing listed service or health technology?</w:t>
      </w:r>
    </w:p>
    <w:p w14:paraId="7FD1C6AA" w14:textId="77777777" w:rsidR="00133449" w:rsidRPr="009755EC" w:rsidRDefault="00133449" w:rsidP="00133449">
      <w:pPr>
        <w:rPr>
          <w:rFonts w:ascii="Segoe UI" w:eastAsia="Segoe UI" w:hAnsi="Segoe UI" w:cs="Segoe UI"/>
          <w:color w:val="000000"/>
        </w:rPr>
      </w:pPr>
      <w:r w:rsidRPr="009755EC">
        <w:rPr>
          <w:rFonts w:ascii="Segoe UI" w:eastAsia="Segoe UI" w:hAnsi="Segoe UI" w:cs="Segoe UI"/>
          <w:color w:val="000000"/>
        </w:rPr>
        <w:t>New</w:t>
      </w:r>
    </w:p>
    <w:p w14:paraId="3A706BB0" w14:textId="77777777" w:rsidR="00133449" w:rsidRPr="0010048D" w:rsidRDefault="00133449" w:rsidP="00133449">
      <w:pPr>
        <w:spacing w:before="360"/>
        <w:rPr>
          <w:rFonts w:ascii="Segoe UI" w:hAnsi="Segoe UI" w:cs="Segoe UI"/>
        </w:rPr>
      </w:pPr>
      <w:r w:rsidRPr="0010048D">
        <w:rPr>
          <w:rFonts w:ascii="Segoe UI" w:eastAsia="Segoe UI" w:hAnsi="Segoe UI" w:cs="Segoe UI"/>
          <w:b/>
          <w:color w:val="000000"/>
        </w:rPr>
        <w:t>What is the type of service or health technology?</w:t>
      </w:r>
    </w:p>
    <w:p w14:paraId="05E01124"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Investigative</w:t>
      </w:r>
    </w:p>
    <w:p w14:paraId="7FFE36CA" w14:textId="10446634" w:rsidR="00133449" w:rsidRPr="0010048D" w:rsidRDefault="00133449" w:rsidP="00133449">
      <w:pPr>
        <w:rPr>
          <w:rFonts w:ascii="Segoe UI" w:hAnsi="Segoe UI" w:cs="Segoe UI"/>
        </w:rPr>
      </w:pPr>
      <w:r w:rsidRPr="0010048D">
        <w:rPr>
          <w:rFonts w:ascii="Segoe UI" w:eastAsia="Segoe UI" w:hAnsi="Segoe UI" w:cs="Segoe UI"/>
          <w:b/>
          <w:color w:val="000000"/>
        </w:rPr>
        <w:t xml:space="preserve">Please select the type of investigative health technology: </w:t>
      </w:r>
    </w:p>
    <w:p w14:paraId="5688E3BC"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Immunology</w:t>
      </w:r>
    </w:p>
    <w:p w14:paraId="16E68CEB" w14:textId="77777777" w:rsidR="00133449" w:rsidRPr="0010048D" w:rsidRDefault="00133449" w:rsidP="00133449">
      <w:pPr>
        <w:pStyle w:val="Heading1"/>
        <w:rPr>
          <w:rFonts w:cs="Segoe UI"/>
        </w:rPr>
      </w:pPr>
      <w:r w:rsidRPr="0010048D">
        <w:rPr>
          <w:rFonts w:cs="Segoe UI"/>
        </w:rPr>
        <w:t>PICO sets</w:t>
      </w:r>
    </w:p>
    <w:p w14:paraId="25B8C5A6" w14:textId="77777777" w:rsidR="00133449" w:rsidRPr="0010048D" w:rsidRDefault="00133449" w:rsidP="00133449">
      <w:pPr>
        <w:rPr>
          <w:rFonts w:ascii="Segoe UI" w:hAnsi="Segoe UI" w:cs="Segoe UI"/>
          <w:b/>
          <w:bCs/>
        </w:rPr>
      </w:pPr>
      <w:r w:rsidRPr="0010048D">
        <w:rPr>
          <w:rFonts w:ascii="Segoe UI" w:hAnsi="Segoe UI" w:cs="Segoe UI"/>
          <w:b/>
          <w:bCs/>
        </w:rPr>
        <w:t>Application PICO sets:</w:t>
      </w:r>
    </w:p>
    <w:tbl>
      <w:tblPr>
        <w:tblStyle w:val="TableGrid"/>
        <w:tblW w:w="9067" w:type="dxa"/>
        <w:tblLook w:val="0620" w:firstRow="1" w:lastRow="0" w:firstColumn="0" w:lastColumn="0" w:noHBand="1" w:noVBand="1"/>
      </w:tblPr>
      <w:tblGrid>
        <w:gridCol w:w="9067"/>
      </w:tblGrid>
      <w:tr w:rsidR="00133449" w:rsidRPr="0010048D" w14:paraId="13374401" w14:textId="77777777" w:rsidTr="00152E10">
        <w:trPr>
          <w:tblHeader/>
        </w:trPr>
        <w:tc>
          <w:tcPr>
            <w:tcW w:w="9067" w:type="dxa"/>
            <w:tcMar>
              <w:top w:w="113" w:type="dxa"/>
              <w:bottom w:w="113" w:type="dxa"/>
            </w:tcMar>
          </w:tcPr>
          <w:p w14:paraId="3C834693" w14:textId="77777777" w:rsidR="00133449" w:rsidRPr="0010048D" w:rsidRDefault="00133449" w:rsidP="0065027C">
            <w:pPr>
              <w:rPr>
                <w:rFonts w:ascii="Segoe UI" w:hAnsi="Segoe UI" w:cs="Segoe UI"/>
                <w:b/>
              </w:rPr>
            </w:pPr>
            <w:r w:rsidRPr="0010048D">
              <w:rPr>
                <w:rFonts w:ascii="Segoe UI" w:hAnsi="Segoe UI" w:cs="Segoe UI"/>
                <w:b/>
              </w:rPr>
              <w:t>PICO set name</w:t>
            </w:r>
          </w:p>
        </w:tc>
      </w:tr>
      <w:tr w:rsidR="00133449" w:rsidRPr="0010048D" w14:paraId="79C27EF3" w14:textId="77777777" w:rsidTr="00152E10">
        <w:tc>
          <w:tcPr>
            <w:tcW w:w="9067" w:type="dxa"/>
            <w:tcMar>
              <w:top w:w="113" w:type="dxa"/>
              <w:bottom w:w="113" w:type="dxa"/>
            </w:tcMar>
          </w:tcPr>
          <w:p w14:paraId="4A38A298" w14:textId="77777777" w:rsidR="00133449" w:rsidRPr="0010048D" w:rsidRDefault="00133449" w:rsidP="0065027C">
            <w:pPr>
              <w:rPr>
                <w:rFonts w:ascii="Segoe UI" w:hAnsi="Segoe UI" w:cs="Segoe UI"/>
                <w:bCs/>
              </w:rPr>
            </w:pPr>
            <w:r>
              <w:rPr>
                <w:rFonts w:ascii="Segoe UI" w:hAnsi="Segoe UI" w:cs="Segoe UI"/>
                <w:bCs/>
              </w:rPr>
              <w:t>Kappa free-light chain (</w:t>
            </w:r>
            <w:proofErr w:type="spellStart"/>
            <w:r>
              <w:rPr>
                <w:rFonts w:ascii="Segoe UI" w:hAnsi="Segoe UI" w:cs="Segoe UI"/>
                <w:bCs/>
              </w:rPr>
              <w:t>kFLC</w:t>
            </w:r>
            <w:proofErr w:type="spellEnd"/>
            <w:r>
              <w:rPr>
                <w:rFonts w:ascii="Segoe UI" w:hAnsi="Segoe UI" w:cs="Segoe UI"/>
                <w:bCs/>
              </w:rPr>
              <w:t>) index testing for the diagnosis of multiple sclerosis (MS)</w:t>
            </w:r>
          </w:p>
        </w:tc>
      </w:tr>
    </w:tbl>
    <w:p w14:paraId="358D3966" w14:textId="77777777" w:rsidR="00133449" w:rsidRDefault="00133449" w:rsidP="00133449">
      <w:pPr>
        <w:rPr>
          <w:rFonts w:ascii="Segoe UI" w:hAnsi="Segoe UI" w:cs="Segoe UI"/>
        </w:rPr>
      </w:pPr>
    </w:p>
    <w:p w14:paraId="4365758D" w14:textId="77777777" w:rsidR="00F30B19" w:rsidRDefault="00F30B19">
      <w:pPr>
        <w:rPr>
          <w:rFonts w:ascii="Segoe UI" w:hAnsi="Segoe UI" w:cs="Segoe UI"/>
          <w:b/>
          <w:bCs/>
        </w:rPr>
      </w:pPr>
      <w:r>
        <w:rPr>
          <w:rFonts w:ascii="Segoe UI" w:hAnsi="Segoe UI" w:cs="Segoe UI"/>
          <w:b/>
          <w:bCs/>
        </w:rPr>
        <w:br w:type="page"/>
      </w:r>
    </w:p>
    <w:p w14:paraId="0CE4C673" w14:textId="48461376" w:rsidR="00152E10" w:rsidRPr="00152E10" w:rsidRDefault="00152E10" w:rsidP="00152E10">
      <w:pPr>
        <w:rPr>
          <w:rFonts w:ascii="Segoe UI" w:hAnsi="Segoe UI" w:cs="Segoe UI"/>
        </w:rPr>
      </w:pPr>
      <w:r w:rsidRPr="00152E10">
        <w:rPr>
          <w:rFonts w:ascii="Segoe UI" w:hAnsi="Segoe UI" w:cs="Segoe UI"/>
          <w:b/>
          <w:bCs/>
        </w:rPr>
        <w:lastRenderedPageBreak/>
        <w:t>State the purpose(s) of the health technology for this PICO set and provide a rationale:</w:t>
      </w:r>
      <w:r w:rsidRPr="00152E10">
        <w:rPr>
          <w:rFonts w:ascii="Segoe UI" w:hAnsi="Segoe UI" w:cs="Segoe UI"/>
        </w:rPr>
        <w:t xml:space="preserve"> </w:t>
      </w:r>
    </w:p>
    <w:p w14:paraId="3F9DDAB5" w14:textId="77777777" w:rsidR="00152E10" w:rsidRPr="00152E10" w:rsidRDefault="00152E10" w:rsidP="00152E10">
      <w:pPr>
        <w:rPr>
          <w:rFonts w:ascii="Segoe UI" w:hAnsi="Segoe UI" w:cs="Segoe UI"/>
          <w:b/>
          <w:bCs/>
        </w:rPr>
      </w:pPr>
      <w:r w:rsidRPr="00152E10">
        <w:rPr>
          <w:rFonts w:ascii="Segoe UI" w:hAnsi="Segoe UI" w:cs="Segoe UI"/>
          <w:b/>
          <w:bCs/>
        </w:rPr>
        <w:t xml:space="preserve">Purpose category: </w:t>
      </w:r>
    </w:p>
    <w:p w14:paraId="66C99874" w14:textId="77777777" w:rsidR="00152E10" w:rsidRPr="00152E10" w:rsidRDefault="00152E10" w:rsidP="00152E10">
      <w:pPr>
        <w:rPr>
          <w:rFonts w:ascii="Segoe UI" w:hAnsi="Segoe UI" w:cs="Segoe UI"/>
        </w:rPr>
      </w:pPr>
      <w:r w:rsidRPr="00152E10">
        <w:rPr>
          <w:rFonts w:ascii="Segoe UI" w:hAnsi="Segoe UI" w:cs="Segoe UI"/>
        </w:rPr>
        <w:t>Diagnosis / sub-classification</w:t>
      </w:r>
    </w:p>
    <w:p w14:paraId="084531A1" w14:textId="77777777" w:rsidR="00152E10" w:rsidRPr="00152E10" w:rsidRDefault="00152E10" w:rsidP="00152E10">
      <w:pPr>
        <w:rPr>
          <w:rFonts w:ascii="Segoe UI" w:hAnsi="Segoe UI" w:cs="Segoe UI"/>
          <w:b/>
          <w:bCs/>
        </w:rPr>
      </w:pPr>
      <w:r w:rsidRPr="00152E10">
        <w:rPr>
          <w:rFonts w:ascii="Segoe UI" w:hAnsi="Segoe UI" w:cs="Segoe UI"/>
          <w:b/>
          <w:bCs/>
        </w:rPr>
        <w:t xml:space="preserve">Purpose description: </w:t>
      </w:r>
    </w:p>
    <w:p w14:paraId="67EE021F" w14:textId="77777777" w:rsidR="00152E10" w:rsidRPr="00152E10" w:rsidRDefault="00152E10" w:rsidP="00152E10">
      <w:pPr>
        <w:rPr>
          <w:rFonts w:ascii="Segoe UI" w:hAnsi="Segoe UI" w:cs="Segoe UI"/>
        </w:rPr>
      </w:pPr>
      <w:r w:rsidRPr="00152E10">
        <w:rPr>
          <w:rFonts w:ascii="Segoe UI" w:hAnsi="Segoe UI" w:cs="Segoe UI"/>
        </w:rPr>
        <w:t>To establish a diagnosis or disease (sub)classification in symptomatic or affected patients</w:t>
      </w:r>
    </w:p>
    <w:p w14:paraId="58D9E119" w14:textId="77777777" w:rsidR="00152E10" w:rsidRPr="00152E10" w:rsidRDefault="00152E10" w:rsidP="00152E10">
      <w:pPr>
        <w:pStyle w:val="Heading1"/>
      </w:pPr>
      <w:r w:rsidRPr="00152E10">
        <w:t>Population</w:t>
      </w:r>
    </w:p>
    <w:p w14:paraId="399D5FBD" w14:textId="77777777" w:rsidR="00152E10" w:rsidRPr="00152E10" w:rsidRDefault="00152E10" w:rsidP="00152E10">
      <w:pPr>
        <w:rPr>
          <w:rFonts w:ascii="Segoe UI" w:hAnsi="Segoe UI" w:cs="Segoe UI"/>
          <w:b/>
          <w:bCs/>
        </w:rPr>
      </w:pPr>
      <w:r w:rsidRPr="00152E10">
        <w:rPr>
          <w:rFonts w:ascii="Segoe UI" w:hAnsi="Segoe UI" w:cs="Segoe UI"/>
          <w:b/>
          <w:bCs/>
        </w:rPr>
        <w:t>Describe the population in which the proposed health technology is intended to be used:</w:t>
      </w:r>
    </w:p>
    <w:p w14:paraId="656E9F76" w14:textId="77777777" w:rsidR="00152E10" w:rsidRPr="00152E10" w:rsidRDefault="00152E10" w:rsidP="00152E10">
      <w:pPr>
        <w:rPr>
          <w:rFonts w:ascii="Segoe UI" w:hAnsi="Segoe UI" w:cs="Segoe UI"/>
        </w:rPr>
      </w:pPr>
      <w:r w:rsidRPr="00152E10">
        <w:rPr>
          <w:rFonts w:ascii="Segoe UI" w:hAnsi="Segoe UI" w:cs="Segoe UI"/>
        </w:rPr>
        <w:t>Kappa free-light chain (</w:t>
      </w:r>
      <w:proofErr w:type="spellStart"/>
      <w:r w:rsidRPr="00152E10">
        <w:rPr>
          <w:rFonts w:ascii="Segoe UI" w:hAnsi="Segoe UI" w:cs="Segoe UI"/>
        </w:rPr>
        <w:t>kFLC</w:t>
      </w:r>
      <w:proofErr w:type="spellEnd"/>
      <w:r w:rsidRPr="00152E10">
        <w:rPr>
          <w:rFonts w:ascii="Segoe UI" w:hAnsi="Segoe UI" w:cs="Segoe UI"/>
        </w:rPr>
        <w:t>) index testing is a paraclinical test in patients undergoing diagnostic assessment for suspected multiple sclerosis (MS), where evidence of intrathecal immunoglobulin synthesis is required to support diagnosis.</w:t>
      </w:r>
      <w:r w:rsidRPr="00152E10">
        <w:rPr>
          <w:rFonts w:ascii="Segoe UI" w:hAnsi="Segoe UI" w:cs="Segoe UI"/>
        </w:rPr>
        <w:br/>
      </w:r>
      <w:r w:rsidRPr="00152E10">
        <w:rPr>
          <w:rFonts w:ascii="Segoe UI" w:hAnsi="Segoe UI" w:cs="Segoe UI"/>
        </w:rPr>
        <w:br/>
        <w:t xml:space="preserve">MS is a chronic, immune-mediated neurodegenerative disease of the central nervous system (CNS), characterised by inflammation, demyelination and gliosis within the white and grey matter of the brain and spinal cord, forming plaques or lesions. Early disease, including clinically isolated syndrome (CIS) and relapsing-remitting MS (RRMS), is dominated by active inflammatory demyelination with lymphocyte infiltration, B cell activity, macrophage/microglial activation and reactive gliosis. In primary or secondary progressive MS, lesions are more often chronic and inactive, with established demyelination, axonal loss, astrocytic gliosis and persistent compartmentalised CNS inflammation, including meningeal immune aggregates. A characteristic feature of MS is intrathecal immunoglobulin synthesis, which is why (CSF) biomarkers such as oligoclonal bands (OCB) and </w:t>
      </w:r>
      <w:proofErr w:type="spellStart"/>
      <w:r w:rsidRPr="00152E10">
        <w:rPr>
          <w:rFonts w:ascii="Segoe UI" w:hAnsi="Segoe UI" w:cs="Segoe UI"/>
        </w:rPr>
        <w:t>kFLC</w:t>
      </w:r>
      <w:proofErr w:type="spellEnd"/>
      <w:r w:rsidRPr="00152E10">
        <w:rPr>
          <w:rFonts w:ascii="Segoe UI" w:hAnsi="Segoe UI" w:cs="Segoe UI"/>
        </w:rPr>
        <w:t xml:space="preserve"> are used as supportive evidence in the diagnosis of MS.</w:t>
      </w:r>
      <w:r w:rsidRPr="00152E10">
        <w:rPr>
          <w:rFonts w:ascii="Segoe UI" w:hAnsi="Segoe UI" w:cs="Segoe UI"/>
        </w:rPr>
        <w:br/>
      </w:r>
      <w:r w:rsidRPr="00152E10">
        <w:rPr>
          <w:rFonts w:ascii="Segoe UI" w:hAnsi="Segoe UI" w:cs="Segoe UI"/>
        </w:rPr>
        <w:br/>
        <w:t>Establishing an accurate diagnosis of MS can be challenging as there is no single definitive test, and the disease can mimic other inflammatory, infectious, vascular, metabolic, structural or functional neurological conditions. Timely diagnosis supports earlier treatment while reducing the risk of misdiagnosis and inappropriate therapy in people with alternative conditions, both of which are critical in a disease characterised by accumulating disability over time.</w:t>
      </w:r>
    </w:p>
    <w:p w14:paraId="72F153C5" w14:textId="59A48B40" w:rsidR="00152E10" w:rsidRPr="00152E10" w:rsidRDefault="00152E10" w:rsidP="00152E10">
      <w:pPr>
        <w:rPr>
          <w:rFonts w:ascii="Segoe UI" w:hAnsi="Segoe UI" w:cs="Segoe UI"/>
        </w:rPr>
      </w:pPr>
      <w:r w:rsidRPr="00152E10">
        <w:rPr>
          <w:rFonts w:ascii="Segoe UI" w:hAnsi="Segoe UI" w:cs="Segoe UI"/>
          <w:b/>
          <w:bCs/>
        </w:rPr>
        <w:lastRenderedPageBreak/>
        <w:t xml:space="preserve">Select the most applicable </w:t>
      </w:r>
      <w:proofErr w:type="gramStart"/>
      <w:r w:rsidRPr="00152E10">
        <w:rPr>
          <w:rFonts w:ascii="Segoe UI" w:hAnsi="Segoe UI" w:cs="Segoe UI"/>
          <w:b/>
          <w:bCs/>
        </w:rPr>
        <w:t>Medical</w:t>
      </w:r>
      <w:proofErr w:type="gramEnd"/>
      <w:r w:rsidRPr="00152E10">
        <w:rPr>
          <w:rFonts w:ascii="Segoe UI" w:hAnsi="Segoe UI" w:cs="Segoe UI"/>
          <w:b/>
          <w:bCs/>
        </w:rPr>
        <w:t xml:space="preserve"> condition terminology (SNOMED CT):</w:t>
      </w:r>
      <w:r w:rsidR="003C7291">
        <w:rPr>
          <w:rFonts w:ascii="Segoe UI" w:hAnsi="Segoe UI" w:cs="Segoe UI"/>
          <w:b/>
          <w:bCs/>
        </w:rPr>
        <w:br/>
      </w:r>
      <w:r w:rsidRPr="00152E10">
        <w:rPr>
          <w:rFonts w:ascii="Segoe UI" w:hAnsi="Segoe UI" w:cs="Segoe UI"/>
        </w:rPr>
        <w:t>Multiple sclerosis</w:t>
      </w:r>
    </w:p>
    <w:p w14:paraId="2F279DB6" w14:textId="77777777" w:rsidR="00152E10" w:rsidRPr="00152E10" w:rsidRDefault="00152E10" w:rsidP="00152E10">
      <w:pPr>
        <w:pStyle w:val="Heading1"/>
      </w:pPr>
      <w:proofErr w:type="spellStart"/>
      <w:r w:rsidRPr="00152E10">
        <w:t>Intervention</w:t>
      </w:r>
      <w:proofErr w:type="spellEnd"/>
    </w:p>
    <w:p w14:paraId="51404044" w14:textId="07CD538C" w:rsidR="00152E10" w:rsidRPr="00152E10" w:rsidRDefault="00152E10" w:rsidP="00152E10">
      <w:pPr>
        <w:rPr>
          <w:rFonts w:ascii="Segoe UI" w:hAnsi="Segoe UI" w:cs="Segoe UI"/>
        </w:rPr>
      </w:pPr>
      <w:proofErr w:type="spellStart"/>
      <w:r w:rsidRPr="00152E10">
        <w:rPr>
          <w:rFonts w:ascii="Segoe UI" w:hAnsi="Segoe UI" w:cs="Segoe UI"/>
          <w:b/>
          <w:bCs/>
        </w:rPr>
        <w:t>Name</w:t>
      </w:r>
      <w:proofErr w:type="spellEnd"/>
      <w:r w:rsidRPr="00152E10">
        <w:rPr>
          <w:rFonts w:ascii="Segoe UI" w:hAnsi="Segoe UI" w:cs="Segoe UI"/>
          <w:b/>
          <w:bCs/>
        </w:rPr>
        <w:t xml:space="preserve"> of the proposed health technology:</w:t>
      </w:r>
      <w:r w:rsidR="003C7291">
        <w:rPr>
          <w:rFonts w:ascii="Segoe UI" w:hAnsi="Segoe UI" w:cs="Segoe UI"/>
          <w:b/>
          <w:bCs/>
        </w:rPr>
        <w:br/>
      </w:r>
      <w:r w:rsidRPr="00152E10">
        <w:rPr>
          <w:rFonts w:ascii="Segoe UI" w:hAnsi="Segoe UI" w:cs="Segoe UI"/>
        </w:rPr>
        <w:t>Kappa free-light chain index testing</w:t>
      </w:r>
    </w:p>
    <w:p w14:paraId="28EE5E7A" w14:textId="77777777" w:rsidR="00152E10" w:rsidRPr="00152E10" w:rsidRDefault="00152E10" w:rsidP="00152E10">
      <w:pPr>
        <w:pStyle w:val="Heading1"/>
      </w:pPr>
      <w:r w:rsidRPr="00152E10">
        <w:t>Comparator</w:t>
      </w:r>
    </w:p>
    <w:p w14:paraId="5BAB25C4" w14:textId="77777777" w:rsidR="00152E10" w:rsidRPr="00152E10" w:rsidRDefault="00152E10" w:rsidP="00152E10">
      <w:pPr>
        <w:rPr>
          <w:rFonts w:ascii="Segoe UI" w:hAnsi="Segoe UI" w:cs="Segoe UI"/>
          <w:b/>
          <w:bCs/>
        </w:rPr>
      </w:pPr>
      <w:r w:rsidRPr="00152E10">
        <w:rPr>
          <w:rFonts w:ascii="Segoe UI" w:hAnsi="Segoe UI" w:cs="Segoe UI"/>
          <w:b/>
          <w:bCs/>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4FD4B9ED" w14:textId="77777777" w:rsidR="00152E10" w:rsidRPr="00152E10" w:rsidRDefault="00152E10" w:rsidP="00152E10">
      <w:pPr>
        <w:rPr>
          <w:rFonts w:ascii="Segoe UI" w:hAnsi="Segoe UI" w:cs="Segoe UI"/>
        </w:rPr>
      </w:pPr>
      <w:r w:rsidRPr="00152E10">
        <w:rPr>
          <w:rFonts w:ascii="Segoe UI" w:hAnsi="Segoe UI" w:cs="Segoe UI"/>
        </w:rPr>
        <w:t xml:space="preserve">The comparator is oligoclonal band (OCB) testing, delivered as part of the current diagnostic work-up for patients with suspected MS. In the absence of MBS-funded </w:t>
      </w:r>
      <w:proofErr w:type="spellStart"/>
      <w:r w:rsidRPr="00152E10">
        <w:rPr>
          <w:rFonts w:ascii="Segoe UI" w:hAnsi="Segoe UI" w:cs="Segoe UI"/>
        </w:rPr>
        <w:t>kFLC</w:t>
      </w:r>
      <w:proofErr w:type="spellEnd"/>
      <w:r w:rsidRPr="00152E10">
        <w:rPr>
          <w:rFonts w:ascii="Segoe UI" w:hAnsi="Segoe UI" w:cs="Segoe UI"/>
        </w:rPr>
        <w:t xml:space="preserve"> index testing, patients requiring CSF evidence of intrathecal immunoglobulin synthesis would undergo OCB testing alongside clinical assessment by a neurologist, MRI of the brain and spinal cord, and investigations to exclude alternative diagnoses.</w:t>
      </w:r>
      <w:r w:rsidRPr="00152E10">
        <w:rPr>
          <w:rFonts w:ascii="Segoe UI" w:hAnsi="Segoe UI" w:cs="Segoe UI"/>
        </w:rPr>
        <w:br/>
      </w:r>
      <w:r w:rsidRPr="00152E10">
        <w:rPr>
          <w:rFonts w:ascii="Segoe UI" w:hAnsi="Segoe UI" w:cs="Segoe UI"/>
        </w:rPr>
        <w:br/>
        <w:t xml:space="preserve">OCB testing is the appropriate comparator because it is the established CSF biomarker used to demonstrate intrathecal immunoglobulin synthesis in suspected MS. The revised 2024 McDonald criteria introduced CSF </w:t>
      </w:r>
      <w:proofErr w:type="spellStart"/>
      <w:r w:rsidRPr="00152E10">
        <w:rPr>
          <w:rFonts w:ascii="Segoe UI" w:hAnsi="Segoe UI" w:cs="Segoe UI"/>
        </w:rPr>
        <w:t>kFLC</w:t>
      </w:r>
      <w:proofErr w:type="spellEnd"/>
      <w:r w:rsidRPr="00152E10">
        <w:rPr>
          <w:rFonts w:ascii="Segoe UI" w:hAnsi="Segoe UI" w:cs="Segoe UI"/>
        </w:rPr>
        <w:t xml:space="preserve"> index testing as a biomarker that may be used as an alternative to OCB testing to demonstrate intrathecal immunoglobulin synthesis. Concordance between </w:t>
      </w:r>
      <w:proofErr w:type="spellStart"/>
      <w:r w:rsidRPr="00152E10">
        <w:rPr>
          <w:rFonts w:ascii="Segoe UI" w:hAnsi="Segoe UI" w:cs="Segoe UI"/>
        </w:rPr>
        <w:t>kFLC</w:t>
      </w:r>
      <w:proofErr w:type="spellEnd"/>
      <w:r w:rsidRPr="00152E10">
        <w:rPr>
          <w:rFonts w:ascii="Segoe UI" w:hAnsi="Segoe UI" w:cs="Segoe UI"/>
        </w:rPr>
        <w:t xml:space="preserve"> index and OCB testing is high but not perfect, at approximately 90%; therefore, in a small proportion of cases a reflex follow-up test (i.e. OCB following </w:t>
      </w:r>
      <w:proofErr w:type="spellStart"/>
      <w:r w:rsidRPr="00152E10">
        <w:rPr>
          <w:rFonts w:ascii="Segoe UI" w:hAnsi="Segoe UI" w:cs="Segoe UI"/>
        </w:rPr>
        <w:t>kFLC</w:t>
      </w:r>
      <w:proofErr w:type="spellEnd"/>
      <w:r w:rsidRPr="00152E10">
        <w:rPr>
          <w:rFonts w:ascii="Segoe UI" w:hAnsi="Segoe UI" w:cs="Segoe UI"/>
        </w:rPr>
        <w:t>, or vice versa) may be beneficial, particularly to confirm an equivocal result, or a CSF result that is discordant with the clinical and radiological assessments.</w:t>
      </w:r>
      <w:r w:rsidRPr="00152E10">
        <w:rPr>
          <w:rFonts w:ascii="Segoe UI" w:hAnsi="Segoe UI" w:cs="Segoe UI"/>
        </w:rPr>
        <w:br/>
      </w:r>
    </w:p>
    <w:p w14:paraId="2EED9E41" w14:textId="77777777" w:rsidR="00152E10" w:rsidRPr="00152E10" w:rsidRDefault="00152E10" w:rsidP="00152E10">
      <w:pPr>
        <w:pStyle w:val="Heading1"/>
      </w:pPr>
      <w:r w:rsidRPr="00152E10">
        <w:t>Outcomes</w:t>
      </w:r>
    </w:p>
    <w:p w14:paraId="707090CD" w14:textId="59A7EA33" w:rsidR="00152E10" w:rsidRPr="003C7291" w:rsidRDefault="00152E10" w:rsidP="00152E10">
      <w:pPr>
        <w:rPr>
          <w:rFonts w:ascii="Segoe UI" w:hAnsi="Segoe UI" w:cs="Segoe UI"/>
          <w:b/>
          <w:bCs/>
        </w:rPr>
      </w:pPr>
      <w:r w:rsidRPr="00152E10">
        <w:rPr>
          <w:rFonts w:ascii="Segoe UI" w:hAnsi="Segoe UI" w:cs="Segoe UI"/>
          <w:b/>
          <w:bCs/>
        </w:rPr>
        <w:t xml:space="preserve">Outcome description – please include information about whether a change in patient management, or prognosis, occurs </w:t>
      </w:r>
      <w:proofErr w:type="gramStart"/>
      <w:r w:rsidRPr="00152E10">
        <w:rPr>
          <w:rFonts w:ascii="Segoe UI" w:hAnsi="Segoe UI" w:cs="Segoe UI"/>
          <w:b/>
          <w:bCs/>
        </w:rPr>
        <w:t>as a result of</w:t>
      </w:r>
      <w:proofErr w:type="gramEnd"/>
      <w:r w:rsidRPr="00152E10">
        <w:rPr>
          <w:rFonts w:ascii="Segoe UI" w:hAnsi="Segoe UI" w:cs="Segoe UI"/>
          <w:b/>
          <w:bCs/>
        </w:rPr>
        <w:t xml:space="preserve"> the test information:</w:t>
      </w:r>
      <w:r w:rsidR="003C7291">
        <w:rPr>
          <w:rFonts w:ascii="Segoe UI" w:hAnsi="Segoe UI" w:cs="Segoe UI"/>
          <w:b/>
          <w:bCs/>
        </w:rPr>
        <w:br/>
      </w:r>
      <w:r w:rsidRPr="00152E10">
        <w:rPr>
          <w:rFonts w:ascii="Segoe UI" w:hAnsi="Segoe UI" w:cs="Segoe UI"/>
        </w:rPr>
        <w:t xml:space="preserve">Due to the positioning of </w:t>
      </w:r>
      <w:proofErr w:type="spellStart"/>
      <w:r w:rsidRPr="00152E10">
        <w:rPr>
          <w:rFonts w:ascii="Segoe UI" w:hAnsi="Segoe UI" w:cs="Segoe UI"/>
        </w:rPr>
        <w:t>kFLC</w:t>
      </w:r>
      <w:proofErr w:type="spellEnd"/>
      <w:r w:rsidRPr="00152E10">
        <w:rPr>
          <w:rFonts w:ascii="Segoe UI" w:hAnsi="Segoe UI" w:cs="Segoe UI"/>
        </w:rPr>
        <w:t xml:space="preserve"> index testing as an alternative to OCD testing, the key outcome is accurate diagnostic classification in patients undergoing assessment for </w:t>
      </w:r>
      <w:r w:rsidRPr="00152E10">
        <w:rPr>
          <w:rFonts w:ascii="Segoe UI" w:hAnsi="Segoe UI" w:cs="Segoe UI"/>
        </w:rPr>
        <w:lastRenderedPageBreak/>
        <w:t xml:space="preserve">suspected MS. The </w:t>
      </w:r>
      <w:proofErr w:type="spellStart"/>
      <w:r w:rsidRPr="00152E10">
        <w:rPr>
          <w:rFonts w:ascii="Segoe UI" w:hAnsi="Segoe UI" w:cs="Segoe UI"/>
        </w:rPr>
        <w:t>kFLC</w:t>
      </w:r>
      <w:proofErr w:type="spellEnd"/>
      <w:r w:rsidRPr="00152E10">
        <w:rPr>
          <w:rFonts w:ascii="Segoe UI" w:hAnsi="Segoe UI" w:cs="Segoe UI"/>
        </w:rPr>
        <w:t xml:space="preserve"> index provides evidence of intrathecal immunoglobulin synthesis, which may contribute to satisfaction of the McDonald diagnostic criteria when interpreted with clinical findings, MRI and exclusion of alternative diagnoses. A positive result may increase diagnostic confidence and support subsequent counselling, monitoring and consideration of disease-modifying therapy where the overall criteria for MS are met.</w:t>
      </w:r>
      <w:r w:rsidRPr="00152E10">
        <w:rPr>
          <w:rFonts w:ascii="Segoe UI" w:hAnsi="Segoe UI" w:cs="Segoe UI"/>
        </w:rPr>
        <w:br/>
        <w:t>Compared with OCB testing, the proposed service is not expected to materially change downstream clinical management where results are informative and concordant with clinical and MRI assessments.</w:t>
      </w:r>
      <w:r w:rsidRPr="00152E10">
        <w:rPr>
          <w:rFonts w:ascii="Segoe UI" w:hAnsi="Segoe UI" w:cs="Segoe UI"/>
        </w:rPr>
        <w:br/>
        <w:t xml:space="preserve">In some patients, the test information may affect resource use by reducing the need for OCB testing, supporting faster reporting, or guiding reflex testing where the initial CSF biomarker result is equivocal, technically uninterpretable or discordant with the clinical and radiological assessment. A negative or equivocal </w:t>
      </w:r>
      <w:proofErr w:type="spellStart"/>
      <w:r w:rsidRPr="00152E10">
        <w:rPr>
          <w:rFonts w:ascii="Segoe UI" w:hAnsi="Segoe UI" w:cs="Segoe UI"/>
        </w:rPr>
        <w:t>kFLC</w:t>
      </w:r>
      <w:proofErr w:type="spellEnd"/>
      <w:r w:rsidRPr="00152E10">
        <w:rPr>
          <w:rFonts w:ascii="Segoe UI" w:hAnsi="Segoe UI" w:cs="Segoe UI"/>
        </w:rPr>
        <w:t xml:space="preserve"> result does not exclude MS and should prompt further clinical review, interval imaging, OCB testing or investigation of alternative diagnoses where clinically indicated.</w:t>
      </w:r>
    </w:p>
    <w:p w14:paraId="296FE8E8" w14:textId="77777777" w:rsidR="00152E10" w:rsidRPr="00152E10" w:rsidRDefault="00152E10" w:rsidP="00152E10">
      <w:pPr>
        <w:rPr>
          <w:rFonts w:ascii="Segoe UI" w:hAnsi="Segoe UI" w:cs="Segoe UI"/>
          <w:b/>
        </w:rPr>
      </w:pPr>
      <w:r w:rsidRPr="00152E10">
        <w:rPr>
          <w:rFonts w:ascii="Segoe UI" w:hAnsi="Segoe UI" w:cs="Segoe UI"/>
          <w:b/>
        </w:rPr>
        <w:t>Proposed MBS items</w:t>
      </w:r>
    </w:p>
    <w:tbl>
      <w:tblPr>
        <w:tblStyle w:val="TableGrid"/>
        <w:tblW w:w="0" w:type="auto"/>
        <w:tblLook w:val="04A0" w:firstRow="1" w:lastRow="0" w:firstColumn="1" w:lastColumn="0" w:noHBand="0" w:noVBand="1"/>
      </w:tblPr>
      <w:tblGrid>
        <w:gridCol w:w="9015"/>
      </w:tblGrid>
      <w:tr w:rsidR="00152E10" w:rsidRPr="00152E10" w14:paraId="66B53BED" w14:textId="77777777">
        <w:tc>
          <w:tcPr>
            <w:tcW w:w="9628" w:type="dxa"/>
            <w:tcBorders>
              <w:top w:val="single" w:sz="4" w:space="0" w:color="auto"/>
              <w:left w:val="single" w:sz="4" w:space="0" w:color="auto"/>
              <w:bottom w:val="single" w:sz="4" w:space="0" w:color="auto"/>
              <w:right w:val="single" w:sz="4" w:space="0" w:color="auto"/>
            </w:tcBorders>
          </w:tcPr>
          <w:p w14:paraId="4546DD6E" w14:textId="3FB4270C" w:rsidR="00152E10" w:rsidRPr="00152E10" w:rsidRDefault="00152E10" w:rsidP="00152E10">
            <w:pPr>
              <w:spacing w:after="160" w:line="278" w:lineRule="auto"/>
              <w:rPr>
                <w:rFonts w:ascii="Segoe UI" w:hAnsi="Segoe UI" w:cs="Segoe UI"/>
                <w:b/>
                <w:sz w:val="24"/>
                <w:szCs w:val="24"/>
              </w:rPr>
            </w:pPr>
            <w:r w:rsidRPr="00152E10">
              <w:rPr>
                <w:rFonts w:ascii="Segoe UI" w:hAnsi="Segoe UI" w:cs="Segoe UI"/>
                <w:b/>
                <w:sz w:val="24"/>
                <w:szCs w:val="24"/>
              </w:rPr>
              <w:t xml:space="preserve">Please provide at least one proposed item with their descriptor and associated costs, for each population / intervention: </w:t>
            </w:r>
          </w:p>
          <w:p w14:paraId="669D22E5" w14:textId="386E188A" w:rsidR="00152E10" w:rsidRPr="00152E10" w:rsidRDefault="00152E10" w:rsidP="00152E10">
            <w:pPr>
              <w:spacing w:after="160" w:line="278" w:lineRule="auto"/>
              <w:rPr>
                <w:rFonts w:ascii="Segoe UI" w:hAnsi="Segoe UI" w:cs="Segoe UI"/>
                <w:bCs/>
                <w:sz w:val="24"/>
                <w:szCs w:val="24"/>
              </w:rPr>
            </w:pPr>
            <w:r w:rsidRPr="00152E10">
              <w:rPr>
                <w:rFonts w:ascii="Segoe UI" w:hAnsi="Segoe UI" w:cs="Segoe UI"/>
                <w:b/>
                <w:sz w:val="24"/>
                <w:szCs w:val="24"/>
              </w:rPr>
              <w:t>Proposed item:</w:t>
            </w:r>
            <w:r>
              <w:rPr>
                <w:rFonts w:ascii="Segoe UI" w:hAnsi="Segoe UI" w:cs="Segoe UI"/>
                <w:b/>
                <w:sz w:val="24"/>
                <w:szCs w:val="24"/>
              </w:rPr>
              <w:br/>
            </w:r>
            <w:r w:rsidRPr="00152E10">
              <w:rPr>
                <w:rFonts w:ascii="Segoe UI" w:hAnsi="Segoe UI" w:cs="Segoe UI"/>
                <w:bCs/>
                <w:sz w:val="24"/>
                <w:szCs w:val="24"/>
              </w:rPr>
              <w:t>AAAAA</w:t>
            </w:r>
          </w:p>
          <w:p w14:paraId="076C9F82" w14:textId="6CEF5802" w:rsidR="00152E10" w:rsidRPr="00152E10" w:rsidRDefault="00152E10" w:rsidP="00152E10">
            <w:pPr>
              <w:spacing w:after="160" w:line="278" w:lineRule="auto"/>
              <w:rPr>
                <w:rFonts w:ascii="Segoe UI" w:hAnsi="Segoe UI" w:cs="Segoe UI"/>
                <w:bCs/>
                <w:sz w:val="24"/>
                <w:szCs w:val="24"/>
              </w:rPr>
            </w:pPr>
            <w:r w:rsidRPr="00152E10">
              <w:rPr>
                <w:rFonts w:ascii="Segoe UI" w:hAnsi="Segoe UI" w:cs="Segoe UI"/>
                <w:b/>
                <w:sz w:val="24"/>
                <w:szCs w:val="24"/>
              </w:rPr>
              <w:t>Category number:</w:t>
            </w:r>
            <w:r>
              <w:rPr>
                <w:rFonts w:ascii="Segoe UI" w:hAnsi="Segoe UI" w:cs="Segoe UI"/>
                <w:b/>
                <w:sz w:val="24"/>
                <w:szCs w:val="24"/>
              </w:rPr>
              <w:br/>
            </w:r>
            <w:r w:rsidRPr="00152E10">
              <w:rPr>
                <w:rFonts w:ascii="Segoe UI" w:hAnsi="Segoe UI" w:cs="Segoe UI"/>
                <w:bCs/>
                <w:sz w:val="24"/>
                <w:szCs w:val="24"/>
              </w:rPr>
              <w:t>6 - Pathology Services</w:t>
            </w:r>
          </w:p>
          <w:p w14:paraId="66075927" w14:textId="4A4E45EF" w:rsidR="00152E10" w:rsidRPr="00152E10" w:rsidRDefault="00152E10" w:rsidP="00152E10">
            <w:pPr>
              <w:spacing w:after="160" w:line="278" w:lineRule="auto"/>
              <w:rPr>
                <w:rFonts w:ascii="Segoe UI" w:hAnsi="Segoe UI" w:cs="Segoe UI"/>
                <w:bCs/>
                <w:sz w:val="24"/>
                <w:szCs w:val="24"/>
              </w:rPr>
            </w:pPr>
            <w:r w:rsidRPr="00152E10">
              <w:rPr>
                <w:rFonts w:ascii="Segoe UI" w:hAnsi="Segoe UI" w:cs="Segoe UI"/>
                <w:b/>
                <w:sz w:val="24"/>
                <w:szCs w:val="24"/>
              </w:rPr>
              <w:t>Category description:</w:t>
            </w:r>
            <w:r>
              <w:rPr>
                <w:rFonts w:ascii="Segoe UI" w:hAnsi="Segoe UI" w:cs="Segoe UI"/>
                <w:b/>
                <w:sz w:val="24"/>
                <w:szCs w:val="24"/>
              </w:rPr>
              <w:br/>
            </w:r>
            <w:r w:rsidRPr="00152E10">
              <w:rPr>
                <w:rFonts w:ascii="Segoe UI" w:hAnsi="Segoe UI" w:cs="Segoe UI"/>
                <w:bCs/>
                <w:sz w:val="24"/>
                <w:szCs w:val="24"/>
              </w:rPr>
              <w:t>4 - Immunology</w:t>
            </w:r>
          </w:p>
          <w:p w14:paraId="288F5473" w14:textId="51B44C13" w:rsidR="00152E10" w:rsidRPr="00152E10" w:rsidRDefault="00152E10" w:rsidP="00152E10">
            <w:pPr>
              <w:spacing w:after="160" w:line="278" w:lineRule="auto"/>
              <w:rPr>
                <w:rFonts w:ascii="Segoe UI" w:hAnsi="Segoe UI" w:cs="Segoe UI"/>
                <w:bCs/>
                <w:sz w:val="24"/>
                <w:szCs w:val="24"/>
              </w:rPr>
            </w:pPr>
            <w:r w:rsidRPr="00152E10">
              <w:rPr>
                <w:rFonts w:ascii="Segoe UI" w:hAnsi="Segoe UI" w:cs="Segoe UI"/>
                <w:b/>
                <w:sz w:val="24"/>
                <w:szCs w:val="24"/>
              </w:rPr>
              <w:t>Proposed item descriptor:</w:t>
            </w:r>
            <w:r>
              <w:rPr>
                <w:rFonts w:ascii="Segoe UI" w:hAnsi="Segoe UI" w:cs="Segoe UI"/>
                <w:b/>
                <w:sz w:val="24"/>
                <w:szCs w:val="24"/>
              </w:rPr>
              <w:br/>
            </w:r>
            <w:r w:rsidRPr="00152E10">
              <w:rPr>
                <w:rFonts w:ascii="Segoe UI" w:hAnsi="Segoe UI" w:cs="Segoe UI"/>
                <w:bCs/>
                <w:sz w:val="24"/>
                <w:szCs w:val="24"/>
              </w:rPr>
              <w:t>Detection and quantitation of kappa free-light chains in cerebrospinal fluid and serum, detection and quantitation of albumin in cerebrospinal fluid and serum, and calculation and report of a kappa free light chain index for the diagnosis of multiple sclerosis, requested by a specialist consultant physician - once per diagnostic episode.</w:t>
            </w:r>
          </w:p>
          <w:p w14:paraId="3F5BAF7D" w14:textId="3B537C6E" w:rsidR="00152E10" w:rsidRPr="00152E10" w:rsidRDefault="00152E10" w:rsidP="00152E10">
            <w:pPr>
              <w:spacing w:after="160" w:line="278" w:lineRule="auto"/>
              <w:rPr>
                <w:rFonts w:ascii="Segoe UI" w:hAnsi="Segoe UI" w:cs="Segoe UI"/>
                <w:bCs/>
                <w:sz w:val="24"/>
                <w:szCs w:val="24"/>
              </w:rPr>
            </w:pPr>
            <w:r w:rsidRPr="00152E10">
              <w:rPr>
                <w:rFonts w:ascii="Segoe UI" w:hAnsi="Segoe UI" w:cs="Segoe UI"/>
                <w:b/>
                <w:sz w:val="24"/>
                <w:szCs w:val="24"/>
              </w:rPr>
              <w:t>Proposed MBS fee:</w:t>
            </w:r>
            <w:r>
              <w:rPr>
                <w:rFonts w:ascii="Segoe UI" w:hAnsi="Segoe UI" w:cs="Segoe UI"/>
                <w:b/>
                <w:sz w:val="24"/>
                <w:szCs w:val="24"/>
              </w:rPr>
              <w:br/>
            </w:r>
            <w:r w:rsidRPr="00152E10">
              <w:rPr>
                <w:rFonts w:ascii="Segoe UI" w:hAnsi="Segoe UI" w:cs="Segoe UI"/>
                <w:bCs/>
                <w:sz w:val="24"/>
                <w:szCs w:val="24"/>
              </w:rPr>
              <w:t>$60.00</w:t>
            </w:r>
          </w:p>
          <w:p w14:paraId="247E40B4" w14:textId="07568C02" w:rsidR="00152E10" w:rsidRPr="00152E10" w:rsidRDefault="00152E10" w:rsidP="00152E10">
            <w:pPr>
              <w:spacing w:after="160" w:line="278" w:lineRule="auto"/>
              <w:rPr>
                <w:rFonts w:ascii="Segoe UI" w:hAnsi="Segoe UI" w:cs="Segoe UI"/>
                <w:bCs/>
                <w:sz w:val="24"/>
                <w:szCs w:val="24"/>
              </w:rPr>
            </w:pPr>
            <w:r w:rsidRPr="00152E10">
              <w:rPr>
                <w:rFonts w:ascii="Segoe UI" w:hAnsi="Segoe UI" w:cs="Segoe UI"/>
                <w:b/>
                <w:sz w:val="24"/>
                <w:szCs w:val="24"/>
              </w:rPr>
              <w:lastRenderedPageBreak/>
              <w:t>Indicate the overall cost per patient of providing the proposed health technology:</w:t>
            </w:r>
            <w:r>
              <w:rPr>
                <w:rFonts w:ascii="Segoe UI" w:hAnsi="Segoe UI" w:cs="Segoe UI"/>
                <w:b/>
                <w:sz w:val="24"/>
                <w:szCs w:val="24"/>
              </w:rPr>
              <w:br/>
            </w:r>
            <w:r w:rsidRPr="00152E10">
              <w:rPr>
                <w:rFonts w:ascii="Segoe UI" w:hAnsi="Segoe UI" w:cs="Segoe UI"/>
                <w:bCs/>
                <w:sz w:val="24"/>
                <w:szCs w:val="24"/>
              </w:rPr>
              <w:t>$60.00</w:t>
            </w:r>
          </w:p>
          <w:p w14:paraId="7909CC1C" w14:textId="76D602D0" w:rsidR="00152E10" w:rsidRPr="00152E10" w:rsidRDefault="00152E10" w:rsidP="00152E10">
            <w:pPr>
              <w:spacing w:after="160" w:line="278" w:lineRule="auto"/>
              <w:rPr>
                <w:rFonts w:ascii="Segoe UI" w:hAnsi="Segoe UI" w:cs="Segoe UI"/>
                <w:bCs/>
                <w:sz w:val="24"/>
                <w:szCs w:val="24"/>
              </w:rPr>
            </w:pPr>
            <w:r w:rsidRPr="00152E10">
              <w:rPr>
                <w:rFonts w:ascii="Segoe UI" w:hAnsi="Segoe UI" w:cs="Segoe UI"/>
                <w:b/>
                <w:sz w:val="24"/>
                <w:szCs w:val="24"/>
              </w:rPr>
              <w:t>Please specify any anticipated out of pocket expenses:</w:t>
            </w:r>
            <w:r>
              <w:rPr>
                <w:rFonts w:ascii="Segoe UI" w:hAnsi="Segoe UI" w:cs="Segoe UI"/>
                <w:b/>
                <w:sz w:val="24"/>
                <w:szCs w:val="24"/>
              </w:rPr>
              <w:br/>
            </w:r>
            <w:r w:rsidRPr="00152E10">
              <w:rPr>
                <w:rFonts w:ascii="Segoe UI" w:hAnsi="Segoe UI" w:cs="Segoe UI"/>
                <w:bCs/>
                <w:sz w:val="24"/>
                <w:szCs w:val="24"/>
              </w:rPr>
              <w:t>$0.00</w:t>
            </w:r>
          </w:p>
          <w:p w14:paraId="5B124385" w14:textId="19D079A0" w:rsidR="00152E10" w:rsidRPr="00152E10" w:rsidRDefault="00152E10" w:rsidP="003C7291">
            <w:pPr>
              <w:spacing w:after="160" w:line="278" w:lineRule="auto"/>
              <w:rPr>
                <w:rFonts w:ascii="Segoe UI" w:hAnsi="Segoe UI" w:cs="Segoe UI"/>
                <w:sz w:val="24"/>
                <w:szCs w:val="24"/>
              </w:rPr>
            </w:pPr>
            <w:r w:rsidRPr="00152E10">
              <w:rPr>
                <w:rFonts w:ascii="Segoe UI" w:hAnsi="Segoe UI" w:cs="Segoe UI"/>
                <w:b/>
                <w:sz w:val="24"/>
                <w:szCs w:val="24"/>
              </w:rPr>
              <w:t>Provide any further details and explain:</w:t>
            </w:r>
            <w:r>
              <w:rPr>
                <w:rFonts w:ascii="Segoe UI" w:hAnsi="Segoe UI" w:cs="Segoe UI"/>
                <w:b/>
                <w:sz w:val="24"/>
                <w:szCs w:val="24"/>
              </w:rPr>
              <w:br/>
            </w:r>
            <w:r w:rsidRPr="00152E10">
              <w:rPr>
                <w:rFonts w:ascii="Segoe UI" w:hAnsi="Segoe UI" w:cs="Segoe UI"/>
                <w:bCs/>
                <w:sz w:val="24"/>
                <w:szCs w:val="24"/>
              </w:rPr>
              <w:t xml:space="preserve">Note, while this application proposes a separate service for </w:t>
            </w:r>
            <w:proofErr w:type="spellStart"/>
            <w:r w:rsidRPr="00152E10">
              <w:rPr>
                <w:rFonts w:ascii="Segoe UI" w:hAnsi="Segoe UI" w:cs="Segoe UI"/>
                <w:bCs/>
                <w:sz w:val="24"/>
                <w:szCs w:val="24"/>
              </w:rPr>
              <w:t>kFLC</w:t>
            </w:r>
            <w:proofErr w:type="spellEnd"/>
            <w:r w:rsidRPr="00152E10">
              <w:rPr>
                <w:rFonts w:ascii="Segoe UI" w:hAnsi="Segoe UI" w:cs="Segoe UI"/>
                <w:bCs/>
                <w:sz w:val="24"/>
                <w:szCs w:val="24"/>
              </w:rPr>
              <w:t xml:space="preserve">, OCB testing will still be required in specific circumstances. It is not intended that OCB and </w:t>
            </w:r>
            <w:proofErr w:type="spellStart"/>
            <w:r w:rsidRPr="00152E10">
              <w:rPr>
                <w:rFonts w:ascii="Segoe UI" w:hAnsi="Segoe UI" w:cs="Segoe UI"/>
                <w:bCs/>
                <w:sz w:val="24"/>
                <w:szCs w:val="24"/>
              </w:rPr>
              <w:t>kFLC</w:t>
            </w:r>
            <w:proofErr w:type="spellEnd"/>
            <w:r w:rsidRPr="00152E10">
              <w:rPr>
                <w:rFonts w:ascii="Segoe UI" w:hAnsi="Segoe UI" w:cs="Segoe UI"/>
                <w:bCs/>
                <w:sz w:val="24"/>
                <w:szCs w:val="24"/>
              </w:rPr>
              <w:t xml:space="preserve"> both be used on the same patient as a point of standard practice.</w:t>
            </w:r>
            <w:r w:rsidRPr="00152E10">
              <w:rPr>
                <w:rFonts w:ascii="Segoe UI" w:hAnsi="Segoe UI" w:cs="Segoe UI"/>
                <w:bCs/>
                <w:sz w:val="24"/>
                <w:szCs w:val="24"/>
              </w:rPr>
              <w:br/>
              <w:t xml:space="preserve">To avoid the risk of over-use, we propose wording be added to either the item descriptor or a practice note for item 71062, noting that OCB testing remain eligible when </w:t>
            </w:r>
            <w:proofErr w:type="spellStart"/>
            <w:r w:rsidRPr="00152E10">
              <w:rPr>
                <w:rFonts w:ascii="Segoe UI" w:hAnsi="Segoe UI" w:cs="Segoe UI"/>
                <w:bCs/>
                <w:sz w:val="24"/>
                <w:szCs w:val="24"/>
              </w:rPr>
              <w:t>kFLC</w:t>
            </w:r>
            <w:proofErr w:type="spellEnd"/>
            <w:r w:rsidRPr="00152E10">
              <w:rPr>
                <w:rFonts w:ascii="Segoe UI" w:hAnsi="Segoe UI" w:cs="Segoe UI"/>
                <w:bCs/>
                <w:sz w:val="24"/>
                <w:szCs w:val="24"/>
              </w:rPr>
              <w:t xml:space="preserve"> testing is “indeterminate or unable to be reported". Situations in which OCB might be tested include:</w:t>
            </w:r>
            <w:r w:rsidRPr="00152E10">
              <w:rPr>
                <w:rFonts w:ascii="Segoe UI" w:hAnsi="Segoe UI" w:cs="Segoe UI"/>
                <w:bCs/>
                <w:sz w:val="24"/>
                <w:szCs w:val="24"/>
              </w:rPr>
              <w:br/>
              <w:t>1 - insufficient sample volume</w:t>
            </w:r>
            <w:r w:rsidRPr="00152E10">
              <w:rPr>
                <w:rFonts w:ascii="Segoe UI" w:hAnsi="Segoe UI" w:cs="Segoe UI"/>
                <w:bCs/>
                <w:sz w:val="24"/>
                <w:szCs w:val="24"/>
              </w:rPr>
              <w:br/>
              <w:t xml:space="preserve">2 - borderline </w:t>
            </w:r>
            <w:proofErr w:type="spellStart"/>
            <w:r w:rsidRPr="00152E10">
              <w:rPr>
                <w:rFonts w:ascii="Segoe UI" w:hAnsi="Segoe UI" w:cs="Segoe UI"/>
                <w:bCs/>
                <w:sz w:val="24"/>
                <w:szCs w:val="24"/>
              </w:rPr>
              <w:t>kFLC</w:t>
            </w:r>
            <w:proofErr w:type="spellEnd"/>
            <w:r w:rsidRPr="00152E10">
              <w:rPr>
                <w:rFonts w:ascii="Segoe UI" w:hAnsi="Segoe UI" w:cs="Segoe UI"/>
                <w:bCs/>
                <w:sz w:val="24"/>
                <w:szCs w:val="24"/>
              </w:rPr>
              <w:t xml:space="preserve"> index</w:t>
            </w:r>
            <w:r w:rsidRPr="00152E10">
              <w:rPr>
                <w:rFonts w:ascii="Segoe UI" w:hAnsi="Segoe UI" w:cs="Segoe UI"/>
                <w:bCs/>
                <w:sz w:val="24"/>
                <w:szCs w:val="24"/>
              </w:rPr>
              <w:br/>
              <w:t xml:space="preserve">3 - unable to undertake </w:t>
            </w:r>
            <w:proofErr w:type="spellStart"/>
            <w:r w:rsidRPr="00152E10">
              <w:rPr>
                <w:rFonts w:ascii="Segoe UI" w:hAnsi="Segoe UI" w:cs="Segoe UI"/>
                <w:bCs/>
                <w:sz w:val="24"/>
                <w:szCs w:val="24"/>
              </w:rPr>
              <w:t>kFLC</w:t>
            </w:r>
            <w:proofErr w:type="spellEnd"/>
            <w:r w:rsidRPr="00152E10">
              <w:rPr>
                <w:rFonts w:ascii="Segoe UI" w:hAnsi="Segoe UI" w:cs="Segoe UI"/>
                <w:bCs/>
                <w:sz w:val="24"/>
                <w:szCs w:val="24"/>
              </w:rPr>
              <w:t xml:space="preserve"> testing</w:t>
            </w:r>
            <w:r w:rsidRPr="00152E10">
              <w:rPr>
                <w:rFonts w:ascii="Segoe UI" w:hAnsi="Segoe UI" w:cs="Segoe UI"/>
                <w:bCs/>
                <w:sz w:val="24"/>
                <w:szCs w:val="24"/>
              </w:rPr>
              <w:br/>
              <w:t xml:space="preserve">4 - </w:t>
            </w:r>
            <w:proofErr w:type="spellStart"/>
            <w:r w:rsidRPr="00152E10">
              <w:rPr>
                <w:rFonts w:ascii="Segoe UI" w:hAnsi="Segoe UI" w:cs="Segoe UI"/>
                <w:bCs/>
                <w:sz w:val="24"/>
                <w:szCs w:val="24"/>
              </w:rPr>
              <w:t>kFLC</w:t>
            </w:r>
            <w:proofErr w:type="spellEnd"/>
            <w:r w:rsidRPr="00152E10">
              <w:rPr>
                <w:rFonts w:ascii="Segoe UI" w:hAnsi="Segoe UI" w:cs="Segoe UI"/>
                <w:bCs/>
                <w:sz w:val="24"/>
                <w:szCs w:val="24"/>
              </w:rPr>
              <w:t xml:space="preserve"> result contradicts strong pre-test probability</w:t>
            </w:r>
            <w:r w:rsidRPr="00152E10">
              <w:rPr>
                <w:rFonts w:ascii="Segoe UI" w:hAnsi="Segoe UI" w:cs="Segoe UI"/>
                <w:bCs/>
                <w:sz w:val="24"/>
                <w:szCs w:val="24"/>
              </w:rPr>
              <w:br/>
              <w:t>5 - based on requesting clinician preference</w:t>
            </w:r>
            <w:r w:rsidRPr="00152E10">
              <w:rPr>
                <w:rFonts w:ascii="Segoe UI" w:hAnsi="Segoe UI" w:cs="Segoe UI"/>
                <w:bCs/>
                <w:sz w:val="24"/>
                <w:szCs w:val="24"/>
              </w:rPr>
              <w:br/>
              <w:t>We welcome the Department and Committees’ advice on the most appropriate way to ensure the risk of over-use is minimised.</w:t>
            </w:r>
          </w:p>
        </w:tc>
      </w:tr>
    </w:tbl>
    <w:p w14:paraId="51C8E18B" w14:textId="77777777" w:rsidR="00152E10" w:rsidRPr="00152E10" w:rsidRDefault="00152E10" w:rsidP="00152E10">
      <w:pPr>
        <w:rPr>
          <w:rFonts w:ascii="Segoe UI" w:hAnsi="Segoe UI" w:cs="Segoe UI"/>
        </w:rPr>
      </w:pPr>
    </w:p>
    <w:p w14:paraId="587E653E" w14:textId="60AF8284" w:rsidR="00152E10" w:rsidRPr="00152E10" w:rsidRDefault="00152E10" w:rsidP="00152E10">
      <w:pPr>
        <w:rPr>
          <w:rFonts w:ascii="Segoe UI" w:hAnsi="Segoe UI" w:cs="Segoe UI"/>
        </w:rPr>
      </w:pPr>
      <w:r w:rsidRPr="00152E10">
        <w:rPr>
          <w:rFonts w:ascii="Segoe UI" w:hAnsi="Segoe UI" w:cs="Segoe UI"/>
          <w:b/>
        </w:rPr>
        <w:t>How is the technology / service funded at present? (For example: research funding; State-based funding; self-funded by patients; no funding or payments):</w:t>
      </w:r>
      <w:r w:rsidR="003C7291">
        <w:rPr>
          <w:rFonts w:ascii="Segoe UI" w:hAnsi="Segoe UI" w:cs="Segoe UI"/>
          <w:b/>
        </w:rPr>
        <w:br/>
      </w:r>
      <w:proofErr w:type="spellStart"/>
      <w:r w:rsidRPr="00152E10">
        <w:rPr>
          <w:rFonts w:ascii="Segoe UI" w:hAnsi="Segoe UI" w:cs="Segoe UI"/>
        </w:rPr>
        <w:t>kFLC</w:t>
      </w:r>
      <w:proofErr w:type="spellEnd"/>
      <w:r w:rsidRPr="00152E10">
        <w:rPr>
          <w:rFonts w:ascii="Segoe UI" w:hAnsi="Segoe UI" w:cs="Segoe UI"/>
        </w:rPr>
        <w:t xml:space="preserve"> testing is currently funded through limited local hospital or laboratory </w:t>
      </w:r>
      <w:proofErr w:type="gramStart"/>
      <w:r w:rsidRPr="00152E10">
        <w:rPr>
          <w:rFonts w:ascii="Segoe UI" w:hAnsi="Segoe UI" w:cs="Segoe UI"/>
        </w:rPr>
        <w:t>arrangements, or</w:t>
      </w:r>
      <w:proofErr w:type="gramEnd"/>
      <w:r w:rsidRPr="00152E10">
        <w:rPr>
          <w:rFonts w:ascii="Segoe UI" w:hAnsi="Segoe UI" w:cs="Segoe UI"/>
        </w:rPr>
        <w:t xml:space="preserve"> charged out-of-pocket as a non-MBS rebated service. Bayside Health (The Alfred) provides </w:t>
      </w:r>
      <w:proofErr w:type="spellStart"/>
      <w:r w:rsidRPr="00152E10">
        <w:rPr>
          <w:rFonts w:ascii="Segoe UI" w:hAnsi="Segoe UI" w:cs="Segoe UI"/>
        </w:rPr>
        <w:t>kFLC</w:t>
      </w:r>
      <w:proofErr w:type="spellEnd"/>
      <w:r w:rsidRPr="00152E10">
        <w:rPr>
          <w:rFonts w:ascii="Segoe UI" w:hAnsi="Segoe UI" w:cs="Segoe UI"/>
        </w:rPr>
        <w:t xml:space="preserve"> index testing for a private fee of $60.</w:t>
      </w:r>
    </w:p>
    <w:p w14:paraId="03FEE40D" w14:textId="77777777" w:rsidR="00152E10" w:rsidRPr="00152E10" w:rsidRDefault="00152E10" w:rsidP="00152E10">
      <w:pPr>
        <w:pStyle w:val="Heading1"/>
      </w:pPr>
      <w:r w:rsidRPr="00152E10">
        <w:t>Claims</w:t>
      </w:r>
    </w:p>
    <w:p w14:paraId="0BBBCE78" w14:textId="4D6A161A" w:rsidR="00152E10" w:rsidRPr="00152E10" w:rsidRDefault="00152E10" w:rsidP="00152E10">
      <w:pPr>
        <w:rPr>
          <w:rFonts w:ascii="Segoe UI" w:hAnsi="Segoe UI" w:cs="Segoe UI"/>
        </w:rPr>
      </w:pPr>
      <w:r w:rsidRPr="00152E10">
        <w:rPr>
          <w:rFonts w:ascii="Segoe UI" w:hAnsi="Segoe UI" w:cs="Segoe UI"/>
          <w:b/>
        </w:rPr>
        <w:t>In terms of health outcomes (comparative benefits and harms), is the proposed technology claimed to be superior, non-inferior or inferior to the comparator(s)?</w:t>
      </w:r>
      <w:r w:rsidR="003C7291">
        <w:rPr>
          <w:rFonts w:ascii="Segoe UI" w:hAnsi="Segoe UI" w:cs="Segoe UI"/>
          <w:b/>
        </w:rPr>
        <w:br/>
      </w:r>
      <w:proofErr w:type="gramStart"/>
      <w:r w:rsidRPr="00152E10">
        <w:rPr>
          <w:rFonts w:ascii="Segoe UI" w:hAnsi="Segoe UI" w:cs="Segoe UI"/>
        </w:rPr>
        <w:t>Non-inferior</w:t>
      </w:r>
      <w:proofErr w:type="gramEnd"/>
    </w:p>
    <w:p w14:paraId="107DCEF3" w14:textId="7052B3B9" w:rsidR="00152E10" w:rsidRPr="00152E10" w:rsidRDefault="00152E10" w:rsidP="00152E10">
      <w:pPr>
        <w:rPr>
          <w:rFonts w:ascii="Segoe UI" w:hAnsi="Segoe UI" w:cs="Segoe UI"/>
        </w:rPr>
      </w:pPr>
      <w:r w:rsidRPr="00152E10">
        <w:rPr>
          <w:rFonts w:ascii="Segoe UI" w:hAnsi="Segoe UI" w:cs="Segoe UI"/>
          <w:b/>
        </w:rPr>
        <w:lastRenderedPageBreak/>
        <w:t xml:space="preserve">Please state what the overall claim </w:t>
      </w:r>
      <w:proofErr w:type="gramStart"/>
      <w:r w:rsidRPr="00152E10">
        <w:rPr>
          <w:rFonts w:ascii="Segoe UI" w:hAnsi="Segoe UI" w:cs="Segoe UI"/>
          <w:b/>
        </w:rPr>
        <w:t>is, and</w:t>
      </w:r>
      <w:proofErr w:type="gramEnd"/>
      <w:r w:rsidRPr="00152E10">
        <w:rPr>
          <w:rFonts w:ascii="Segoe UI" w:hAnsi="Segoe UI" w:cs="Segoe UI"/>
          <w:b/>
        </w:rPr>
        <w:t xml:space="preserve"> provide a rationale:</w:t>
      </w:r>
      <w:r w:rsidR="003C7291">
        <w:rPr>
          <w:rFonts w:ascii="Segoe UI" w:hAnsi="Segoe UI" w:cs="Segoe UI"/>
          <w:b/>
        </w:rPr>
        <w:br/>
      </w:r>
      <w:r w:rsidRPr="00152E10">
        <w:rPr>
          <w:rFonts w:ascii="Segoe UI" w:hAnsi="Segoe UI" w:cs="Segoe UI"/>
        </w:rPr>
        <w:t>Compared to OCB testing (item 71062), KFLC is claimed to have non-inferior effectiveness and safety.</w:t>
      </w:r>
    </w:p>
    <w:p w14:paraId="457901C4" w14:textId="77777777" w:rsidR="00152E10" w:rsidRPr="00152E10" w:rsidRDefault="00152E10" w:rsidP="00152E10">
      <w:pPr>
        <w:pStyle w:val="Heading1"/>
      </w:pPr>
      <w:r w:rsidRPr="00152E10">
        <w:t>Estimated utilisation</w:t>
      </w:r>
    </w:p>
    <w:p w14:paraId="4E458C9A" w14:textId="77777777" w:rsidR="00152E10" w:rsidRPr="00152E10" w:rsidRDefault="00152E10" w:rsidP="00152E10">
      <w:pPr>
        <w:rPr>
          <w:rFonts w:ascii="Segoe UI" w:hAnsi="Segoe UI" w:cs="Segoe UI"/>
          <w:b/>
        </w:rPr>
      </w:pPr>
      <w:r w:rsidRPr="00152E10">
        <w:rPr>
          <w:rFonts w:ascii="Segoe UI" w:hAnsi="Segoe UI" w:cs="Segoe UI"/>
          <w:b/>
        </w:rPr>
        <w:t>Estimate the prevalence and/or incidence of the proposed population:</w:t>
      </w:r>
    </w:p>
    <w:p w14:paraId="5D2FC5F6" w14:textId="77777777" w:rsidR="00152E10" w:rsidRPr="00152E10" w:rsidRDefault="00152E10" w:rsidP="00152E10">
      <w:pPr>
        <w:rPr>
          <w:rFonts w:ascii="Segoe UI" w:hAnsi="Segoe UI" w:cs="Segoe UI"/>
        </w:rPr>
      </w:pPr>
      <w:r w:rsidRPr="00152E10">
        <w:rPr>
          <w:rFonts w:ascii="Segoe UI" w:hAnsi="Segoe UI" w:cs="Segoe UI"/>
        </w:rPr>
        <w:t>The proposed population includes patients undergoing diagnostic assessment for suspected MS, rather than all people living with established MS. In this context, prevalence data is not relevant to the estimated utilisation of the proposed service.</w:t>
      </w:r>
      <w:r w:rsidRPr="00152E10">
        <w:rPr>
          <w:rFonts w:ascii="Segoe UI" w:hAnsi="Segoe UI" w:cs="Segoe UI"/>
        </w:rPr>
        <w:br/>
        <w:t xml:space="preserve">Per the McDonald diagnostic framework, fulfilment of dissemination in space (DIS) and dissemination in time (DIT) are sufficient to diagnose MS in certain circumstances. Therefore, not all patients suspected of MS will require laboratory confirmation via OCB or </w:t>
      </w:r>
      <w:proofErr w:type="spellStart"/>
      <w:r w:rsidRPr="00152E10">
        <w:rPr>
          <w:rFonts w:ascii="Segoe UI" w:hAnsi="Segoe UI" w:cs="Segoe UI"/>
        </w:rPr>
        <w:t>kFLC</w:t>
      </w:r>
      <w:proofErr w:type="spellEnd"/>
      <w:r w:rsidRPr="00152E10">
        <w:rPr>
          <w:rFonts w:ascii="Segoe UI" w:hAnsi="Segoe UI" w:cs="Segoe UI"/>
        </w:rPr>
        <w:t xml:space="preserve"> index testing. Given the recommendation in the McDonald criteria that </w:t>
      </w:r>
      <w:proofErr w:type="spellStart"/>
      <w:r w:rsidRPr="00152E10">
        <w:rPr>
          <w:rFonts w:ascii="Segoe UI" w:hAnsi="Segoe UI" w:cs="Segoe UI"/>
        </w:rPr>
        <w:t>kFLC</w:t>
      </w:r>
      <w:proofErr w:type="spellEnd"/>
      <w:r w:rsidRPr="00152E10">
        <w:rPr>
          <w:rFonts w:ascii="Segoe UI" w:hAnsi="Segoe UI" w:cs="Segoe UI"/>
        </w:rPr>
        <w:t xml:space="preserve"> is a </w:t>
      </w:r>
      <w:proofErr w:type="spellStart"/>
      <w:r w:rsidRPr="00152E10">
        <w:rPr>
          <w:rFonts w:ascii="Segoe UI" w:hAnsi="Segoe UI" w:cs="Segoe UI"/>
        </w:rPr>
        <w:t>sutiable</w:t>
      </w:r>
      <w:proofErr w:type="spellEnd"/>
      <w:r w:rsidRPr="00152E10">
        <w:rPr>
          <w:rFonts w:ascii="Segoe UI" w:hAnsi="Segoe UI" w:cs="Segoe UI"/>
        </w:rPr>
        <w:t xml:space="preserve"> alternative to OCB testing, the best estimate for the size of the total eligible population is therefore not disease incidence, but rather the utilisation of OCB testing per MBS item 71062 (see Table A1 in the attachment).</w:t>
      </w:r>
    </w:p>
    <w:p w14:paraId="0CCA5C4A" w14:textId="77777777" w:rsidR="00152E10" w:rsidRPr="00152E10" w:rsidRDefault="00152E10" w:rsidP="00152E10">
      <w:pPr>
        <w:rPr>
          <w:rFonts w:ascii="Segoe UI" w:hAnsi="Segoe UI" w:cs="Segoe UI"/>
          <w:b/>
        </w:rPr>
      </w:pPr>
      <w:r w:rsidRPr="00152E10">
        <w:rPr>
          <w:rFonts w:ascii="Segoe UI" w:hAnsi="Segoe UI" w:cs="Segoe UI"/>
          <w:b/>
        </w:rPr>
        <w:t>Provide the percentage uptake of the proposed health technology by the proposed population:</w:t>
      </w:r>
    </w:p>
    <w:p w14:paraId="12383A30" w14:textId="58E747F5" w:rsidR="00152E10" w:rsidRPr="00152E10" w:rsidRDefault="00152E10" w:rsidP="00152E10">
      <w:pPr>
        <w:rPr>
          <w:rFonts w:ascii="Segoe UI" w:hAnsi="Segoe UI" w:cs="Segoe UI"/>
        </w:rPr>
      </w:pPr>
      <w:r w:rsidRPr="00152E10">
        <w:rPr>
          <w:rFonts w:ascii="Segoe UI" w:hAnsi="Segoe UI" w:cs="Segoe UI"/>
          <w:b/>
        </w:rPr>
        <w:t xml:space="preserve">Year 1 estimated uptake (%): </w:t>
      </w:r>
      <w:r>
        <w:rPr>
          <w:rFonts w:ascii="Segoe UI" w:hAnsi="Segoe UI" w:cs="Segoe UI"/>
          <w:b/>
        </w:rPr>
        <w:br/>
      </w:r>
      <w:r w:rsidRPr="00152E10">
        <w:rPr>
          <w:rFonts w:ascii="Segoe UI" w:hAnsi="Segoe UI" w:cs="Segoe UI"/>
        </w:rPr>
        <w:t>40</w:t>
      </w:r>
    </w:p>
    <w:p w14:paraId="7E080BDB" w14:textId="601FA1A7" w:rsidR="00152E10" w:rsidRPr="00152E10" w:rsidRDefault="00152E10" w:rsidP="00152E10">
      <w:pPr>
        <w:rPr>
          <w:rFonts w:ascii="Segoe UI" w:hAnsi="Segoe UI" w:cs="Segoe UI"/>
        </w:rPr>
      </w:pPr>
      <w:r w:rsidRPr="00152E10">
        <w:rPr>
          <w:rFonts w:ascii="Segoe UI" w:hAnsi="Segoe UI" w:cs="Segoe UI"/>
          <w:b/>
        </w:rPr>
        <w:t xml:space="preserve">Year 2 estimated uptake (%): </w:t>
      </w:r>
      <w:r>
        <w:rPr>
          <w:rFonts w:ascii="Segoe UI" w:hAnsi="Segoe UI" w:cs="Segoe UI"/>
          <w:b/>
        </w:rPr>
        <w:br/>
      </w:r>
      <w:r w:rsidRPr="00152E10">
        <w:rPr>
          <w:rFonts w:ascii="Segoe UI" w:hAnsi="Segoe UI" w:cs="Segoe UI"/>
        </w:rPr>
        <w:t>50</w:t>
      </w:r>
    </w:p>
    <w:p w14:paraId="5F814EF7" w14:textId="0BAF350E" w:rsidR="00152E10" w:rsidRPr="00152E10" w:rsidRDefault="00152E10" w:rsidP="00152E10">
      <w:pPr>
        <w:rPr>
          <w:rFonts w:ascii="Segoe UI" w:hAnsi="Segoe UI" w:cs="Segoe UI"/>
        </w:rPr>
      </w:pPr>
      <w:r w:rsidRPr="00152E10">
        <w:rPr>
          <w:rFonts w:ascii="Segoe UI" w:hAnsi="Segoe UI" w:cs="Segoe UI"/>
          <w:b/>
        </w:rPr>
        <w:t xml:space="preserve">Year 3 estimated uptake (%): </w:t>
      </w:r>
      <w:r>
        <w:rPr>
          <w:rFonts w:ascii="Segoe UI" w:hAnsi="Segoe UI" w:cs="Segoe UI"/>
          <w:b/>
        </w:rPr>
        <w:br/>
      </w:r>
      <w:r w:rsidRPr="00152E10">
        <w:rPr>
          <w:rFonts w:ascii="Segoe UI" w:hAnsi="Segoe UI" w:cs="Segoe UI"/>
        </w:rPr>
        <w:t>60</w:t>
      </w:r>
    </w:p>
    <w:p w14:paraId="09694B5C" w14:textId="31C732A5" w:rsidR="00152E10" w:rsidRPr="00152E10" w:rsidRDefault="00152E10" w:rsidP="00152E10">
      <w:pPr>
        <w:rPr>
          <w:rFonts w:ascii="Segoe UI" w:hAnsi="Segoe UI" w:cs="Segoe UI"/>
        </w:rPr>
      </w:pPr>
      <w:r w:rsidRPr="00152E10">
        <w:rPr>
          <w:rFonts w:ascii="Segoe UI" w:hAnsi="Segoe UI" w:cs="Segoe UI"/>
          <w:b/>
        </w:rPr>
        <w:t xml:space="preserve">Year 4 estimated uptake (%): </w:t>
      </w:r>
      <w:r>
        <w:rPr>
          <w:rFonts w:ascii="Segoe UI" w:hAnsi="Segoe UI" w:cs="Segoe UI"/>
          <w:b/>
        </w:rPr>
        <w:br/>
      </w:r>
      <w:r w:rsidRPr="00152E10">
        <w:rPr>
          <w:rFonts w:ascii="Segoe UI" w:hAnsi="Segoe UI" w:cs="Segoe UI"/>
        </w:rPr>
        <w:t>70</w:t>
      </w:r>
    </w:p>
    <w:p w14:paraId="77A2F3D4" w14:textId="7B056097" w:rsidR="00152E10" w:rsidRPr="00152E10" w:rsidRDefault="00152E10" w:rsidP="00152E10">
      <w:pPr>
        <w:rPr>
          <w:rFonts w:ascii="Segoe UI" w:hAnsi="Segoe UI" w:cs="Segoe UI"/>
        </w:rPr>
      </w:pPr>
      <w:r w:rsidRPr="00152E10">
        <w:rPr>
          <w:rFonts w:ascii="Segoe UI" w:hAnsi="Segoe UI" w:cs="Segoe UI"/>
          <w:b/>
        </w:rPr>
        <w:t xml:space="preserve">Estimate the number of patients who will utilise the proposed technology for the first full year: </w:t>
      </w:r>
      <w:r>
        <w:rPr>
          <w:rFonts w:ascii="Segoe UI" w:hAnsi="Segoe UI" w:cs="Segoe UI"/>
          <w:b/>
        </w:rPr>
        <w:br/>
      </w:r>
      <w:r w:rsidRPr="00152E10">
        <w:rPr>
          <w:rFonts w:ascii="Segoe UI" w:hAnsi="Segoe UI" w:cs="Segoe UI"/>
        </w:rPr>
        <w:t>1,064</w:t>
      </w:r>
    </w:p>
    <w:p w14:paraId="251D3E10" w14:textId="6D9D899C" w:rsidR="00152E10" w:rsidRPr="00152E10" w:rsidRDefault="00152E10" w:rsidP="00152E10">
      <w:pPr>
        <w:rPr>
          <w:rFonts w:ascii="Segoe UI" w:hAnsi="Segoe UI" w:cs="Segoe UI"/>
        </w:rPr>
      </w:pPr>
      <w:r w:rsidRPr="00152E10">
        <w:rPr>
          <w:rFonts w:ascii="Segoe UI" w:hAnsi="Segoe UI" w:cs="Segoe UI"/>
          <w:b/>
        </w:rPr>
        <w:t xml:space="preserve">Optionally, provide details: </w:t>
      </w:r>
      <w:r>
        <w:rPr>
          <w:rFonts w:ascii="Segoe UI" w:hAnsi="Segoe UI" w:cs="Segoe UI"/>
          <w:b/>
        </w:rPr>
        <w:br/>
      </w:r>
      <w:r w:rsidRPr="00152E10">
        <w:rPr>
          <w:rFonts w:ascii="Segoe UI" w:hAnsi="Segoe UI" w:cs="Segoe UI"/>
        </w:rPr>
        <w:t xml:space="preserve">The total number of patients estimated to uptake the service in the first full year has been calculated as 40% of the average number of services for MBS item 71062 </w:t>
      </w:r>
      <w:r w:rsidRPr="00152E10">
        <w:rPr>
          <w:rFonts w:ascii="Segoe UI" w:hAnsi="Segoe UI" w:cs="Segoe UI"/>
        </w:rPr>
        <w:lastRenderedPageBreak/>
        <w:t xml:space="preserve">claimed over the past four years (approximately 2660 services/yr). </w:t>
      </w:r>
      <w:proofErr w:type="spellStart"/>
      <w:r w:rsidRPr="00152E10">
        <w:rPr>
          <w:rFonts w:ascii="Segoe UI" w:hAnsi="Segoe UI" w:cs="Segoe UI"/>
        </w:rPr>
        <w:t>kFLC</w:t>
      </w:r>
      <w:proofErr w:type="spellEnd"/>
      <w:r w:rsidRPr="00152E10">
        <w:rPr>
          <w:rFonts w:ascii="Segoe UI" w:hAnsi="Segoe UI" w:cs="Segoe UI"/>
        </w:rPr>
        <w:t xml:space="preserve"> index testing is currently limited to several laboratories in Australia due to the lack of MBS funding. It is expected that uptake will increase following the creation of an MBS item for </w:t>
      </w:r>
      <w:proofErr w:type="spellStart"/>
      <w:r w:rsidRPr="00152E10">
        <w:rPr>
          <w:rFonts w:ascii="Segoe UI" w:hAnsi="Segoe UI" w:cs="Segoe UI"/>
        </w:rPr>
        <w:t>kFLC</w:t>
      </w:r>
      <w:proofErr w:type="spellEnd"/>
      <w:r w:rsidRPr="00152E10">
        <w:rPr>
          <w:rFonts w:ascii="Segoe UI" w:hAnsi="Segoe UI" w:cs="Segoe UI"/>
        </w:rPr>
        <w:t xml:space="preserve"> index testing, noting that the speed of uptake, and relative replacement of OCB testing, is difficult to estimate. Testing will be required once per diagnostic episode, as the item is not intended for monitoring disease progression or treatment response.</w:t>
      </w:r>
    </w:p>
    <w:p w14:paraId="2E021DA5" w14:textId="732777F2" w:rsidR="00152E10" w:rsidRPr="00152E10" w:rsidRDefault="00152E10" w:rsidP="00152E10">
      <w:pPr>
        <w:rPr>
          <w:rFonts w:ascii="Segoe UI" w:hAnsi="Segoe UI" w:cs="Segoe UI"/>
        </w:rPr>
      </w:pPr>
      <w:r w:rsidRPr="00152E10">
        <w:rPr>
          <w:rFonts w:ascii="Segoe UI" w:hAnsi="Segoe UI" w:cs="Segoe UI"/>
          <w:b/>
        </w:rPr>
        <w:t xml:space="preserve">Will the technology be needed more than once per patient? </w:t>
      </w:r>
      <w:r>
        <w:rPr>
          <w:rFonts w:ascii="Segoe UI" w:hAnsi="Segoe UI" w:cs="Segoe UI"/>
          <w:b/>
        </w:rPr>
        <w:br/>
      </w:r>
      <w:r w:rsidRPr="00152E10">
        <w:rPr>
          <w:rFonts w:ascii="Segoe UI" w:hAnsi="Segoe UI" w:cs="Segoe UI"/>
        </w:rPr>
        <w:t>No, once only</w:t>
      </w:r>
    </w:p>
    <w:p w14:paraId="05DFC11F" w14:textId="77777777" w:rsidR="00133449" w:rsidRPr="0010048D" w:rsidRDefault="00133449" w:rsidP="00133449">
      <w:pPr>
        <w:pStyle w:val="Heading1"/>
        <w:rPr>
          <w:rFonts w:cs="Segoe UI"/>
        </w:rPr>
      </w:pPr>
      <w:r w:rsidRPr="0010048D">
        <w:rPr>
          <w:rFonts w:cs="Segoe UI"/>
        </w:rPr>
        <w:t>Consultation</w:t>
      </w:r>
    </w:p>
    <w:p w14:paraId="7400652D" w14:textId="77777777" w:rsidR="00133449" w:rsidRDefault="00133449" w:rsidP="00133449">
      <w:pPr>
        <w:rPr>
          <w:rFonts w:ascii="Segoe UI" w:hAnsi="Segoe UI" w:cs="Segoe UI"/>
          <w:b/>
        </w:rPr>
      </w:pPr>
      <w:r w:rsidRPr="0065027C">
        <w:rPr>
          <w:rFonts w:ascii="Segoe UI" w:hAnsi="Segoe UI" w:cs="Segoe UI"/>
          <w:b/>
        </w:rPr>
        <w:t xml:space="preserve">List all entities that are relevant to the proposed service / health technology. The list can </w:t>
      </w:r>
      <w:r w:rsidRPr="00F370D9">
        <w:rPr>
          <w:rFonts w:ascii="Segoe UI" w:hAnsi="Segoe UI" w:cs="Segoe UI"/>
          <w:b/>
        </w:rPr>
        <w:t>include</w:t>
      </w:r>
      <w:r w:rsidRPr="0065027C">
        <w:rPr>
          <w:rFonts w:ascii="Segoe UI" w:hAnsi="Segoe UI" w:cs="Segoe UI"/>
          <w:b/>
        </w:rPr>
        <w:t xml:space="preserve"> professional bodies / organisations who provide, request, may be impacted by the service/health technology; sponsor(s) and / or manufacturer(s) who produce similar products; patient and consumer advocacy organisations or individuals relevant to the proposed service/health technology.</w:t>
      </w:r>
    </w:p>
    <w:p w14:paraId="1ED5B707" w14:textId="317BAE59" w:rsidR="00152E10" w:rsidRPr="00F30B19" w:rsidRDefault="00152E10" w:rsidP="003C7291">
      <w:pPr>
        <w:spacing w:after="0"/>
        <w:rPr>
          <w:rFonts w:ascii="Segoe UI" w:hAnsi="Segoe UI" w:cs="Segoe UI"/>
          <w:bCs/>
          <w:u w:val="single"/>
        </w:rPr>
      </w:pPr>
      <w:r w:rsidRPr="00F30B19">
        <w:rPr>
          <w:rFonts w:ascii="Segoe UI" w:hAnsi="Segoe UI" w:cs="Segoe UI"/>
          <w:bCs/>
          <w:u w:val="single"/>
        </w:rPr>
        <w:t>Entit</w:t>
      </w:r>
      <w:r w:rsidR="00F30B19">
        <w:rPr>
          <w:rFonts w:ascii="Segoe UI" w:hAnsi="Segoe UI" w:cs="Segoe UI"/>
          <w:bCs/>
          <w:u w:val="single"/>
        </w:rPr>
        <w:t>ies</w:t>
      </w:r>
      <w:r w:rsidRPr="00F30B19">
        <w:rPr>
          <w:rFonts w:ascii="Segoe UI" w:hAnsi="Segoe UI" w:cs="Segoe UI"/>
          <w:bCs/>
          <w:u w:val="single"/>
        </w:rPr>
        <w:t xml:space="preserve"> who provide the health technology/service:</w:t>
      </w:r>
    </w:p>
    <w:p w14:paraId="7FE03933" w14:textId="77777777" w:rsidR="00152E10" w:rsidRDefault="00152E10" w:rsidP="003C7291">
      <w:pPr>
        <w:spacing w:after="0"/>
        <w:rPr>
          <w:rFonts w:ascii="Segoe UI" w:hAnsi="Segoe UI" w:cs="Segoe UI"/>
          <w:bCs/>
        </w:rPr>
      </w:pPr>
      <w:r>
        <w:rPr>
          <w:rFonts w:ascii="Segoe UI" w:hAnsi="Segoe UI" w:cs="Segoe UI"/>
          <w:bCs/>
        </w:rPr>
        <w:t>PATHOLOGY AUSTRALIA LIMITED</w:t>
      </w:r>
    </w:p>
    <w:p w14:paraId="4A1120ED" w14:textId="77777777" w:rsidR="00152E10" w:rsidRDefault="00152E10" w:rsidP="003C7291">
      <w:pPr>
        <w:spacing w:after="0"/>
        <w:rPr>
          <w:rFonts w:ascii="Segoe UI" w:hAnsi="Segoe UI" w:cs="Segoe UI"/>
          <w:bCs/>
        </w:rPr>
      </w:pPr>
      <w:r>
        <w:rPr>
          <w:rFonts w:ascii="Segoe UI" w:hAnsi="Segoe UI" w:cs="Segoe UI"/>
          <w:bCs/>
        </w:rPr>
        <w:t>PUBLIC PATHOLOGY AUSTRALIA</w:t>
      </w:r>
    </w:p>
    <w:p w14:paraId="6818AFB6" w14:textId="77777777" w:rsidR="00152E10" w:rsidRDefault="00152E10" w:rsidP="003C7291">
      <w:pPr>
        <w:spacing w:after="0"/>
        <w:rPr>
          <w:rFonts w:ascii="Segoe UI" w:hAnsi="Segoe UI" w:cs="Segoe UI"/>
          <w:bCs/>
        </w:rPr>
      </w:pPr>
      <w:r>
        <w:rPr>
          <w:rFonts w:ascii="Segoe UI" w:hAnsi="Segoe UI" w:cs="Segoe UI"/>
          <w:bCs/>
        </w:rPr>
        <w:t>THE ROYAL COLLEGE OF PATHOLOGISTS OF AUSTRALASIA</w:t>
      </w:r>
    </w:p>
    <w:p w14:paraId="05006DCA" w14:textId="49F75EDE" w:rsidR="00152E10" w:rsidRDefault="00152E10" w:rsidP="003C7291">
      <w:pPr>
        <w:spacing w:after="0"/>
        <w:rPr>
          <w:rFonts w:ascii="Segoe UI" w:hAnsi="Segoe UI" w:cs="Segoe UI"/>
          <w:bCs/>
        </w:rPr>
      </w:pPr>
      <w:r w:rsidRPr="00152E10">
        <w:rPr>
          <w:rFonts w:ascii="Segoe UI" w:hAnsi="Segoe UI" w:cs="Segoe UI"/>
          <w:bCs/>
        </w:rPr>
        <w:t>AUSTRALASIAN ASSOCIATION FOR CLINICAL BIOCHEMISTRY AND LABORATORY MEDICINE LIMITED</w:t>
      </w:r>
    </w:p>
    <w:p w14:paraId="50725FD7" w14:textId="4CCBAFF8" w:rsidR="00152E10" w:rsidRDefault="00152E10" w:rsidP="003C7291">
      <w:pPr>
        <w:spacing w:after="0"/>
        <w:rPr>
          <w:rFonts w:ascii="Segoe UI" w:hAnsi="Segoe UI" w:cs="Segoe UI"/>
          <w:bCs/>
        </w:rPr>
      </w:pPr>
      <w:r w:rsidRPr="00152E10">
        <w:rPr>
          <w:rFonts w:ascii="Segoe UI" w:hAnsi="Segoe UI" w:cs="Segoe UI"/>
          <w:bCs/>
        </w:rPr>
        <w:t>AUSTRALASIAN SOCIETY OF CLINICAL IMMUNOLOGY AND ALLERGY LIMITED</w:t>
      </w:r>
    </w:p>
    <w:p w14:paraId="24D610D1" w14:textId="77777777" w:rsidR="003C7291" w:rsidRDefault="003C7291" w:rsidP="003C7291">
      <w:pPr>
        <w:spacing w:after="0"/>
        <w:rPr>
          <w:rFonts w:ascii="Segoe UI" w:hAnsi="Segoe UI" w:cs="Segoe UI"/>
          <w:bCs/>
          <w:u w:val="single"/>
        </w:rPr>
      </w:pPr>
    </w:p>
    <w:p w14:paraId="64C2910B" w14:textId="0B5707E2" w:rsidR="00152E10" w:rsidRPr="00F30B19" w:rsidRDefault="00152E10" w:rsidP="003C7291">
      <w:pPr>
        <w:spacing w:after="0"/>
        <w:rPr>
          <w:rFonts w:ascii="Segoe UI" w:hAnsi="Segoe UI" w:cs="Segoe UI"/>
          <w:bCs/>
          <w:u w:val="single"/>
        </w:rPr>
      </w:pPr>
      <w:r w:rsidRPr="00F30B19">
        <w:rPr>
          <w:rFonts w:ascii="Segoe UI" w:hAnsi="Segoe UI" w:cs="Segoe UI"/>
          <w:bCs/>
          <w:u w:val="single"/>
        </w:rPr>
        <w:t>Entity who requests the health technology/service:</w:t>
      </w:r>
    </w:p>
    <w:p w14:paraId="6C578F9B" w14:textId="762D209F" w:rsidR="003C7291" w:rsidRDefault="00152E10" w:rsidP="003C7291">
      <w:pPr>
        <w:spacing w:after="0"/>
        <w:rPr>
          <w:rFonts w:ascii="Segoe UI" w:hAnsi="Segoe UI" w:cs="Segoe UI"/>
          <w:bCs/>
        </w:rPr>
      </w:pPr>
      <w:r>
        <w:rPr>
          <w:rFonts w:ascii="Segoe UI" w:hAnsi="Segoe UI" w:cs="Segoe UI"/>
          <w:bCs/>
        </w:rPr>
        <w:t>AUSTRALIAN AND NEW ZEALAND ASSOCIATION OF NEUROLOGISTS</w:t>
      </w:r>
    </w:p>
    <w:p w14:paraId="6657BA7B" w14:textId="77777777" w:rsidR="003C7291" w:rsidRDefault="003C7291" w:rsidP="003C7291">
      <w:pPr>
        <w:spacing w:after="0"/>
        <w:rPr>
          <w:rFonts w:ascii="Segoe UI" w:hAnsi="Segoe UI" w:cs="Segoe UI"/>
          <w:bCs/>
        </w:rPr>
      </w:pPr>
    </w:p>
    <w:p w14:paraId="1AB404A3" w14:textId="261C5C61" w:rsidR="00152E10" w:rsidRPr="00F30B19" w:rsidRDefault="00152E10" w:rsidP="003C7291">
      <w:pPr>
        <w:spacing w:after="0"/>
        <w:rPr>
          <w:rFonts w:ascii="Segoe UI" w:hAnsi="Segoe UI" w:cs="Segoe UI"/>
          <w:bCs/>
          <w:u w:val="single"/>
        </w:rPr>
      </w:pPr>
      <w:r w:rsidRPr="00F30B19">
        <w:rPr>
          <w:rFonts w:ascii="Segoe UI" w:hAnsi="Segoe UI" w:cs="Segoe UI"/>
          <w:bCs/>
          <w:u w:val="single"/>
        </w:rPr>
        <w:t>Entit</w:t>
      </w:r>
      <w:r w:rsidR="00F30B19">
        <w:rPr>
          <w:rFonts w:ascii="Segoe UI" w:hAnsi="Segoe UI" w:cs="Segoe UI"/>
          <w:bCs/>
          <w:u w:val="single"/>
        </w:rPr>
        <w:t>ies</w:t>
      </w:r>
      <w:r w:rsidRPr="00F30B19">
        <w:rPr>
          <w:rFonts w:ascii="Segoe UI" w:hAnsi="Segoe UI" w:cs="Segoe UI"/>
          <w:bCs/>
          <w:u w:val="single"/>
        </w:rPr>
        <w:t xml:space="preserve"> who may be impacted by the health technology/service:</w:t>
      </w:r>
    </w:p>
    <w:p w14:paraId="1D615CCE" w14:textId="77777777" w:rsidR="00152E10" w:rsidRDefault="00152E10" w:rsidP="003C7291">
      <w:pPr>
        <w:spacing w:after="0"/>
        <w:rPr>
          <w:rFonts w:ascii="Segoe UI" w:hAnsi="Segoe UI" w:cs="Segoe UI"/>
          <w:bCs/>
        </w:rPr>
      </w:pPr>
      <w:r>
        <w:rPr>
          <w:rFonts w:ascii="Segoe UI" w:hAnsi="Segoe UI" w:cs="Segoe UI"/>
          <w:bCs/>
        </w:rPr>
        <w:t>THE ROYAL AUSTRALASIAN COLLEGE OF PHYSICIANS</w:t>
      </w:r>
    </w:p>
    <w:p w14:paraId="6984ED79" w14:textId="77777777" w:rsidR="00E8625E" w:rsidRDefault="00E8625E" w:rsidP="003C7291">
      <w:pPr>
        <w:spacing w:after="0"/>
        <w:rPr>
          <w:rFonts w:ascii="Segoe UI" w:hAnsi="Segoe UI" w:cs="Segoe UI"/>
          <w:bCs/>
        </w:rPr>
      </w:pPr>
      <w:r>
        <w:rPr>
          <w:rFonts w:ascii="Segoe UI" w:hAnsi="Segoe UI" w:cs="Segoe UI"/>
          <w:bCs/>
        </w:rPr>
        <w:t>AUSTRALIAN SOCIETY OF OPHTHALMOLOGISTS LIMITED</w:t>
      </w:r>
    </w:p>
    <w:p w14:paraId="60D16794" w14:textId="77777777" w:rsidR="00E8625E" w:rsidRDefault="00E8625E" w:rsidP="003C7291">
      <w:pPr>
        <w:spacing w:after="0"/>
        <w:rPr>
          <w:rFonts w:ascii="Segoe UI" w:hAnsi="Segoe UI" w:cs="Segoe UI"/>
          <w:bCs/>
        </w:rPr>
      </w:pPr>
      <w:r>
        <w:rPr>
          <w:rFonts w:ascii="Segoe UI" w:hAnsi="Segoe UI" w:cs="Segoe UI"/>
          <w:bCs/>
        </w:rPr>
        <w:t>THE AUSTRALASIAN COLLEGE FOR EMERGENCY MEDICINE</w:t>
      </w:r>
    </w:p>
    <w:p w14:paraId="66854E0B" w14:textId="77777777" w:rsidR="00E8625E" w:rsidRDefault="00E8625E" w:rsidP="00152E10">
      <w:pPr>
        <w:rPr>
          <w:rFonts w:ascii="Segoe UI" w:hAnsi="Segoe UI" w:cs="Segoe UI"/>
          <w:bCs/>
        </w:rPr>
      </w:pPr>
    </w:p>
    <w:p w14:paraId="662DE305" w14:textId="6252E92A" w:rsidR="00152E10" w:rsidRPr="00F30B19" w:rsidRDefault="00152E10" w:rsidP="003C7291">
      <w:pPr>
        <w:spacing w:after="0"/>
        <w:rPr>
          <w:rFonts w:ascii="Segoe UI" w:hAnsi="Segoe UI" w:cs="Segoe UI"/>
          <w:bCs/>
          <w:u w:val="single"/>
        </w:rPr>
      </w:pPr>
      <w:r w:rsidRPr="00F30B19">
        <w:rPr>
          <w:rFonts w:ascii="Segoe UI" w:hAnsi="Segoe UI" w:cs="Segoe UI"/>
          <w:bCs/>
          <w:u w:val="single"/>
        </w:rPr>
        <w:t>Patient and consumer advocacy organisations relevant to the proposed service/health technology:</w:t>
      </w:r>
    </w:p>
    <w:p w14:paraId="340DB28C" w14:textId="77777777" w:rsidR="00152E10" w:rsidRDefault="00152E10" w:rsidP="003C7291">
      <w:pPr>
        <w:spacing w:after="0"/>
        <w:rPr>
          <w:rFonts w:ascii="Segoe UI" w:hAnsi="Segoe UI" w:cs="Segoe UI"/>
          <w:bCs/>
        </w:rPr>
      </w:pPr>
      <w:r>
        <w:rPr>
          <w:rFonts w:ascii="Segoe UI" w:hAnsi="Segoe UI" w:cs="Segoe UI"/>
          <w:bCs/>
        </w:rPr>
        <w:t>MULTIPLE SCLEROSIS AUSTRALIA</w:t>
      </w:r>
    </w:p>
    <w:p w14:paraId="3EA640BB" w14:textId="77777777" w:rsidR="00152E10" w:rsidRDefault="00152E10" w:rsidP="003C7291">
      <w:pPr>
        <w:spacing w:after="0"/>
        <w:rPr>
          <w:rFonts w:ascii="Segoe UI" w:hAnsi="Segoe UI" w:cs="Segoe UI"/>
          <w:bCs/>
        </w:rPr>
      </w:pPr>
      <w:r>
        <w:rPr>
          <w:rFonts w:ascii="Segoe UI" w:hAnsi="Segoe UI" w:cs="Segoe UI"/>
          <w:bCs/>
        </w:rPr>
        <w:lastRenderedPageBreak/>
        <w:t>MULTIPLE SCLEROSIS QUEENSLAND LTD</w:t>
      </w:r>
    </w:p>
    <w:p w14:paraId="595775D0" w14:textId="77777777" w:rsidR="00E8625E" w:rsidRDefault="00E8625E" w:rsidP="003C7291">
      <w:pPr>
        <w:spacing w:after="0"/>
        <w:rPr>
          <w:rFonts w:ascii="Segoe UI" w:hAnsi="Segoe UI" w:cs="Segoe UI"/>
          <w:bCs/>
        </w:rPr>
      </w:pPr>
      <w:r>
        <w:rPr>
          <w:rFonts w:ascii="Segoe UI" w:hAnsi="Segoe UI" w:cs="Segoe UI"/>
          <w:bCs/>
        </w:rPr>
        <w:t>THE MULTIPLE SCLEROSIS SOCIETY OF SOUTH AUSTRALIA &amp; NORTHERN TERRITORY INC</w:t>
      </w:r>
    </w:p>
    <w:p w14:paraId="4BFAFF5B" w14:textId="77777777" w:rsidR="00E8625E" w:rsidRDefault="00E8625E" w:rsidP="003C7291">
      <w:pPr>
        <w:spacing w:after="0"/>
        <w:rPr>
          <w:rFonts w:ascii="Segoe UI" w:hAnsi="Segoe UI" w:cs="Segoe UI"/>
          <w:bCs/>
        </w:rPr>
      </w:pPr>
      <w:r>
        <w:rPr>
          <w:rFonts w:ascii="Segoe UI" w:hAnsi="Segoe UI" w:cs="Segoe UI"/>
          <w:bCs/>
        </w:rPr>
        <w:t>MSWA LIMITED</w:t>
      </w:r>
    </w:p>
    <w:p w14:paraId="1232BDDB" w14:textId="77777777" w:rsidR="00E8625E" w:rsidRDefault="00E8625E" w:rsidP="003C7291">
      <w:pPr>
        <w:spacing w:after="0"/>
        <w:rPr>
          <w:rFonts w:ascii="Segoe UI" w:hAnsi="Segoe UI" w:cs="Segoe UI"/>
          <w:bCs/>
        </w:rPr>
      </w:pPr>
      <w:r>
        <w:rPr>
          <w:rFonts w:ascii="Segoe UI" w:hAnsi="Segoe UI" w:cs="Segoe UI"/>
          <w:bCs/>
        </w:rPr>
        <w:t>MS PLUS LTD</w:t>
      </w:r>
    </w:p>
    <w:p w14:paraId="4200CE22" w14:textId="359C4C05" w:rsidR="00152E10" w:rsidRDefault="00E8625E" w:rsidP="003C7291">
      <w:pPr>
        <w:spacing w:after="0"/>
        <w:rPr>
          <w:rFonts w:ascii="Segoe UI" w:hAnsi="Segoe UI" w:cs="Segoe UI"/>
          <w:bCs/>
        </w:rPr>
      </w:pPr>
      <w:r>
        <w:rPr>
          <w:rFonts w:ascii="Segoe UI" w:hAnsi="Segoe UI" w:cs="Segoe UI"/>
          <w:bCs/>
        </w:rPr>
        <w:t>MS NURSES AUSTRALIA INC.</w:t>
      </w:r>
    </w:p>
    <w:p w14:paraId="3E8F205E" w14:textId="77777777" w:rsidR="003C7291" w:rsidRDefault="003C7291" w:rsidP="003C7291">
      <w:pPr>
        <w:spacing w:after="0"/>
        <w:rPr>
          <w:rFonts w:ascii="Segoe UI" w:hAnsi="Segoe UI" w:cs="Segoe UI"/>
          <w:bCs/>
        </w:rPr>
      </w:pPr>
    </w:p>
    <w:p w14:paraId="0A7E1D4A" w14:textId="2B88D5B9" w:rsidR="00152E10" w:rsidRPr="00F30B19" w:rsidRDefault="00E8625E" w:rsidP="003C7291">
      <w:pPr>
        <w:spacing w:after="0"/>
        <w:rPr>
          <w:rFonts w:ascii="Segoe UI" w:hAnsi="Segoe UI" w:cs="Segoe UI"/>
          <w:bCs/>
          <w:u w:val="single"/>
        </w:rPr>
      </w:pPr>
      <w:r w:rsidRPr="00F30B19">
        <w:rPr>
          <w:rFonts w:ascii="Segoe UI" w:hAnsi="Segoe UI" w:cs="Segoe UI"/>
          <w:bCs/>
          <w:u w:val="single"/>
        </w:rPr>
        <w:t>Entit</w:t>
      </w:r>
      <w:r w:rsidR="00F30B19">
        <w:rPr>
          <w:rFonts w:ascii="Segoe UI" w:hAnsi="Segoe UI" w:cs="Segoe UI"/>
          <w:bCs/>
          <w:u w:val="single"/>
        </w:rPr>
        <w:t>ies</w:t>
      </w:r>
      <w:r w:rsidRPr="00F30B19">
        <w:rPr>
          <w:rFonts w:ascii="Segoe UI" w:hAnsi="Segoe UI" w:cs="Segoe UI"/>
          <w:bCs/>
          <w:u w:val="single"/>
        </w:rPr>
        <w:t xml:space="preserve"> who produce similar products:</w:t>
      </w:r>
    </w:p>
    <w:p w14:paraId="7FA6B20F" w14:textId="77777777" w:rsidR="00E8625E" w:rsidRDefault="00E8625E" w:rsidP="003C7291">
      <w:pPr>
        <w:spacing w:after="0"/>
        <w:rPr>
          <w:rFonts w:ascii="Segoe UI" w:hAnsi="Segoe UI" w:cs="Segoe UI"/>
          <w:bCs/>
        </w:rPr>
      </w:pPr>
      <w:r>
        <w:rPr>
          <w:rFonts w:ascii="Segoe UI" w:hAnsi="Segoe UI" w:cs="Segoe UI"/>
          <w:bCs/>
        </w:rPr>
        <w:t>THE BINDING SITE PTY LIMITED</w:t>
      </w:r>
    </w:p>
    <w:p w14:paraId="1C25FF1E" w14:textId="77777777" w:rsidR="00E8625E" w:rsidRDefault="00E8625E" w:rsidP="003C7291">
      <w:pPr>
        <w:spacing w:after="0"/>
        <w:rPr>
          <w:rFonts w:ascii="Segoe UI" w:hAnsi="Segoe UI" w:cs="Segoe UI"/>
          <w:bCs/>
        </w:rPr>
      </w:pPr>
      <w:r>
        <w:rPr>
          <w:rFonts w:ascii="Segoe UI" w:hAnsi="Segoe UI" w:cs="Segoe UI"/>
          <w:bCs/>
        </w:rPr>
        <w:t>SIEMENS HEALTHCARE PTY LTD</w:t>
      </w:r>
    </w:p>
    <w:p w14:paraId="05BE94C6" w14:textId="77777777" w:rsidR="00133449" w:rsidRPr="0010048D" w:rsidRDefault="00133449" w:rsidP="00133449">
      <w:pPr>
        <w:pStyle w:val="Heading1"/>
        <w:rPr>
          <w:rFonts w:cs="Segoe UI"/>
        </w:rPr>
      </w:pPr>
      <w:r w:rsidRPr="0010048D">
        <w:rPr>
          <w:rFonts w:cs="Segoe UI"/>
        </w:rPr>
        <w:t>Regulatory information</w:t>
      </w:r>
    </w:p>
    <w:p w14:paraId="642B0DD7" w14:textId="11FBD821" w:rsidR="00133449" w:rsidRPr="0010048D" w:rsidRDefault="00133449" w:rsidP="00133449">
      <w:pPr>
        <w:rPr>
          <w:rFonts w:ascii="Segoe UI" w:eastAsia="Segoe UI" w:hAnsi="Segoe UI" w:cs="Segoe UI"/>
          <w:color w:val="000000"/>
        </w:rPr>
      </w:pPr>
      <w:r w:rsidRPr="0010048D">
        <w:rPr>
          <w:rFonts w:ascii="Segoe UI" w:eastAsia="Segoe UI" w:hAnsi="Segoe UI" w:cs="Segoe UI"/>
          <w:b/>
          <w:color w:val="000000"/>
        </w:rPr>
        <w:t>Would the proposed health technology involve the use of a medical device, in-vitro diagnostic test, radioactive tracer or any other type of therapeutic good?</w:t>
      </w:r>
      <w:r w:rsidR="00E8625E">
        <w:rPr>
          <w:rFonts w:ascii="Segoe UI" w:eastAsia="Segoe UI" w:hAnsi="Segoe UI" w:cs="Segoe UI"/>
          <w:b/>
          <w:color w:val="000000"/>
        </w:rPr>
        <w:br/>
      </w:r>
      <w:r w:rsidRPr="00646B43">
        <w:rPr>
          <w:rFonts w:ascii="Segoe UI" w:eastAsia="Segoe UI" w:hAnsi="Segoe UI" w:cs="Segoe UI"/>
          <w:color w:val="000000"/>
        </w:rPr>
        <w:t>Yes</w:t>
      </w:r>
    </w:p>
    <w:p w14:paraId="50EEC45F" w14:textId="43A4B6A1" w:rsidR="00133449" w:rsidRPr="007C5FA4" w:rsidRDefault="00133449" w:rsidP="00133449">
      <w:pPr>
        <w:rPr>
          <w:rFonts w:ascii="Segoe UI" w:hAnsi="Segoe UI" w:cs="Segoe UI"/>
        </w:rPr>
      </w:pPr>
      <w:r w:rsidRPr="0010048D">
        <w:rPr>
          <w:rFonts w:ascii="Segoe UI" w:eastAsia="Segoe UI" w:hAnsi="Segoe UI" w:cs="Segoe UI"/>
          <w:b/>
          <w:color w:val="000000"/>
        </w:rPr>
        <w:t xml:space="preserve">Has it been listed or registered or included in the Australian Register of Therapeutic Goods (ARTG) by the Therapeutic Goods Administration (TGA)? </w:t>
      </w:r>
      <w:r w:rsidR="00E8625E">
        <w:rPr>
          <w:rFonts w:ascii="Segoe UI" w:eastAsia="Segoe UI" w:hAnsi="Segoe UI" w:cs="Segoe UI"/>
          <w:b/>
          <w:color w:val="000000"/>
        </w:rPr>
        <w:br/>
      </w:r>
      <w:r w:rsidRPr="007C5FA4">
        <w:rPr>
          <w:rFonts w:ascii="Segoe UI" w:eastAsia="Segoe UI" w:hAnsi="Segoe UI" w:cs="Segoe UI"/>
          <w:color w:val="000000"/>
        </w:rPr>
        <w:t>Yes</w:t>
      </w:r>
    </w:p>
    <w:p w14:paraId="09F652A0" w14:textId="72E27C61" w:rsidR="00133449" w:rsidRPr="007C5FA4" w:rsidRDefault="00133449" w:rsidP="00133449">
      <w:pPr>
        <w:rPr>
          <w:rFonts w:ascii="Segoe UI" w:hAnsi="Segoe UI" w:cs="Segoe UI"/>
        </w:rPr>
      </w:pPr>
      <w:r w:rsidRPr="0010048D">
        <w:rPr>
          <w:rFonts w:ascii="Segoe UI" w:eastAsia="Segoe UI" w:hAnsi="Segoe UI" w:cs="Segoe UI"/>
          <w:b/>
          <w:color w:val="000000"/>
        </w:rPr>
        <w:t>Is the therapeutic good classified by the TGA as either a Class III or Active Implantable Medical Device (AIMD) against the TGA regulatory scheme for devices?</w:t>
      </w:r>
      <w:r w:rsidR="00E8625E">
        <w:rPr>
          <w:rFonts w:ascii="Segoe UI" w:eastAsia="Segoe UI" w:hAnsi="Segoe UI" w:cs="Segoe UI"/>
          <w:b/>
          <w:color w:val="000000"/>
        </w:rPr>
        <w:br/>
      </w:r>
      <w:r w:rsidRPr="007C5FA4">
        <w:rPr>
          <w:rFonts w:ascii="Segoe UI" w:eastAsia="Segoe UI" w:hAnsi="Segoe UI" w:cs="Segoe UI"/>
          <w:color w:val="000000"/>
        </w:rPr>
        <w:t>No</w:t>
      </w:r>
    </w:p>
    <w:p w14:paraId="49CC8264" w14:textId="77777777" w:rsidR="00133449" w:rsidRPr="0010048D" w:rsidRDefault="00133449" w:rsidP="00133449">
      <w:pPr>
        <w:rPr>
          <w:rFonts w:ascii="Segoe UI" w:eastAsia="Segoe UI" w:hAnsi="Segoe UI" w:cs="Segoe UI"/>
          <w:b/>
          <w:bCs/>
          <w:color w:val="000000"/>
        </w:rPr>
      </w:pPr>
      <w:r w:rsidRPr="0010048D">
        <w:rPr>
          <w:rFonts w:ascii="Segoe UI" w:eastAsia="Segoe UI" w:hAnsi="Segoe UI" w:cs="Segoe UI"/>
          <w:b/>
          <w:bCs/>
          <w:color w:val="000000"/>
        </w:rPr>
        <w:t>Please enter all relevant ARTG IDs:</w:t>
      </w:r>
    </w:p>
    <w:tbl>
      <w:tblPr>
        <w:tblStyle w:val="TableGrid"/>
        <w:tblW w:w="0" w:type="auto"/>
        <w:tblLook w:val="0620" w:firstRow="1" w:lastRow="0" w:firstColumn="0" w:lastColumn="0" w:noHBand="1" w:noVBand="1"/>
      </w:tblPr>
      <w:tblGrid>
        <w:gridCol w:w="2972"/>
        <w:gridCol w:w="6043"/>
      </w:tblGrid>
      <w:tr w:rsidR="00133449" w:rsidRPr="0010048D" w14:paraId="2B76FECF" w14:textId="77777777" w:rsidTr="00E8625E">
        <w:trPr>
          <w:cantSplit/>
          <w:tblHeader/>
        </w:trPr>
        <w:tc>
          <w:tcPr>
            <w:tcW w:w="2972" w:type="dxa"/>
            <w:tcMar>
              <w:top w:w="113" w:type="dxa"/>
              <w:bottom w:w="113" w:type="dxa"/>
            </w:tcMar>
          </w:tcPr>
          <w:p w14:paraId="45B30DFF" w14:textId="77777777" w:rsidR="00133449" w:rsidRPr="0010048D" w:rsidRDefault="00133449" w:rsidP="0065027C">
            <w:pPr>
              <w:rPr>
                <w:rFonts w:ascii="Segoe UI" w:hAnsi="Segoe UI" w:cs="Segoe UI"/>
                <w:b/>
              </w:rPr>
            </w:pPr>
            <w:r w:rsidRPr="0010048D">
              <w:rPr>
                <w:rFonts w:ascii="Segoe UI" w:hAnsi="Segoe UI" w:cs="Segoe UI"/>
                <w:b/>
              </w:rPr>
              <w:t>ARTG ID</w:t>
            </w:r>
          </w:p>
        </w:tc>
        <w:tc>
          <w:tcPr>
            <w:tcW w:w="6043" w:type="dxa"/>
            <w:tcMar>
              <w:top w:w="113" w:type="dxa"/>
              <w:bottom w:w="113" w:type="dxa"/>
            </w:tcMar>
          </w:tcPr>
          <w:p w14:paraId="012CB70C" w14:textId="77777777" w:rsidR="00133449" w:rsidRPr="0010048D" w:rsidRDefault="00133449" w:rsidP="0065027C">
            <w:pPr>
              <w:rPr>
                <w:rFonts w:ascii="Segoe UI" w:hAnsi="Segoe UI" w:cs="Segoe UI"/>
                <w:b/>
              </w:rPr>
            </w:pPr>
            <w:r w:rsidRPr="0010048D">
              <w:rPr>
                <w:rFonts w:ascii="Segoe UI" w:hAnsi="Segoe UI" w:cs="Segoe UI"/>
                <w:b/>
              </w:rPr>
              <w:t>ARTG name</w:t>
            </w:r>
          </w:p>
        </w:tc>
      </w:tr>
      <w:tr w:rsidR="00133449" w:rsidRPr="0010048D" w14:paraId="1A5F28AD" w14:textId="77777777" w:rsidTr="003C7291">
        <w:trPr>
          <w:trHeight w:val="304"/>
        </w:trPr>
        <w:tc>
          <w:tcPr>
            <w:tcW w:w="2972" w:type="dxa"/>
            <w:tcMar>
              <w:top w:w="113" w:type="dxa"/>
              <w:bottom w:w="113" w:type="dxa"/>
            </w:tcMar>
          </w:tcPr>
          <w:p w14:paraId="0F1A0E90" w14:textId="77777777" w:rsidR="00133449" w:rsidRPr="0010048D" w:rsidRDefault="00133449" w:rsidP="0065027C">
            <w:pPr>
              <w:rPr>
                <w:rFonts w:ascii="Segoe UI" w:hAnsi="Segoe UI" w:cs="Segoe UI"/>
                <w:bCs/>
              </w:rPr>
            </w:pPr>
            <w:r>
              <w:rPr>
                <w:rFonts w:ascii="Segoe UI" w:hAnsi="Segoe UI" w:cs="Segoe UI"/>
                <w:bCs/>
              </w:rPr>
              <w:t>202167</w:t>
            </w:r>
          </w:p>
        </w:tc>
        <w:tc>
          <w:tcPr>
            <w:tcW w:w="6043" w:type="dxa"/>
            <w:tcMar>
              <w:top w:w="113" w:type="dxa"/>
              <w:bottom w:w="113" w:type="dxa"/>
            </w:tcMar>
          </w:tcPr>
          <w:p w14:paraId="75AD749A" w14:textId="77777777" w:rsidR="00133449" w:rsidRPr="0010048D" w:rsidRDefault="00133449" w:rsidP="0065027C">
            <w:pPr>
              <w:rPr>
                <w:rFonts w:ascii="Segoe UI" w:hAnsi="Segoe UI" w:cs="Segoe UI"/>
                <w:bCs/>
              </w:rPr>
            </w:pPr>
            <w:r>
              <w:rPr>
                <w:rFonts w:ascii="Segoe UI" w:hAnsi="Segoe UI" w:cs="Segoe UI"/>
                <w:bCs/>
              </w:rPr>
              <w:t>Clinical chemistry-specific protein IVDs</w:t>
            </w:r>
          </w:p>
        </w:tc>
      </w:tr>
      <w:tr w:rsidR="00E8625E" w:rsidRPr="0010048D" w14:paraId="49B77D1F" w14:textId="77777777" w:rsidTr="00E8625E">
        <w:tc>
          <w:tcPr>
            <w:tcW w:w="2972" w:type="dxa"/>
            <w:tcMar>
              <w:top w:w="113" w:type="dxa"/>
              <w:bottom w:w="113" w:type="dxa"/>
            </w:tcMar>
          </w:tcPr>
          <w:p w14:paraId="012318EA" w14:textId="4C7E2DF2" w:rsidR="00E8625E" w:rsidRDefault="00E8625E" w:rsidP="0065027C">
            <w:pPr>
              <w:rPr>
                <w:rFonts w:ascii="Segoe UI" w:hAnsi="Segoe UI" w:cs="Segoe UI"/>
                <w:bCs/>
              </w:rPr>
            </w:pPr>
            <w:r w:rsidRPr="00E8625E">
              <w:rPr>
                <w:rFonts w:ascii="Segoe UI" w:hAnsi="Segoe UI" w:cs="Segoe UI"/>
                <w:bCs/>
              </w:rPr>
              <w:t>179722</w:t>
            </w:r>
          </w:p>
        </w:tc>
        <w:tc>
          <w:tcPr>
            <w:tcW w:w="6043" w:type="dxa"/>
            <w:tcMar>
              <w:top w:w="113" w:type="dxa"/>
              <w:bottom w:w="113" w:type="dxa"/>
            </w:tcMar>
          </w:tcPr>
          <w:p w14:paraId="3A7F88FF" w14:textId="05F94005" w:rsidR="00E8625E" w:rsidRDefault="00E8625E" w:rsidP="0065027C">
            <w:pPr>
              <w:rPr>
                <w:rFonts w:ascii="Segoe UI" w:hAnsi="Segoe UI" w:cs="Segoe UI"/>
                <w:bCs/>
              </w:rPr>
            </w:pPr>
            <w:r w:rsidRPr="00E8625E">
              <w:rPr>
                <w:rFonts w:ascii="Segoe UI" w:hAnsi="Segoe UI" w:cs="Segoe UI"/>
                <w:bCs/>
              </w:rPr>
              <w:t>Clinical chemistry autoimmune IVDs</w:t>
            </w:r>
          </w:p>
        </w:tc>
      </w:tr>
    </w:tbl>
    <w:p w14:paraId="746A091C" w14:textId="2F81FE0F" w:rsidR="00E8625E" w:rsidRPr="00E8625E" w:rsidRDefault="00133449" w:rsidP="00133449">
      <w:pPr>
        <w:spacing w:before="240"/>
        <w:rPr>
          <w:rFonts w:ascii="Segoe UI" w:eastAsia="Segoe UI" w:hAnsi="Segoe UI" w:cs="Segoe UI"/>
          <w:bCs/>
          <w:color w:val="000000"/>
        </w:rPr>
      </w:pPr>
      <w:r w:rsidRPr="0010048D">
        <w:rPr>
          <w:rFonts w:ascii="Segoe UI" w:eastAsia="Segoe UI" w:hAnsi="Segoe UI" w:cs="Segoe UI"/>
          <w:b/>
          <w:color w:val="000000"/>
        </w:rPr>
        <w:t>Is the intended purpose in this application the same as the intended purpose of the ARTG listing(s)?</w:t>
      </w:r>
      <w:r w:rsidR="00E8625E">
        <w:rPr>
          <w:rFonts w:ascii="Segoe UI" w:eastAsia="Segoe UI" w:hAnsi="Segoe UI" w:cs="Segoe UI"/>
          <w:b/>
          <w:color w:val="000000"/>
        </w:rPr>
        <w:br/>
      </w:r>
      <w:r w:rsidR="00E8625E">
        <w:rPr>
          <w:rFonts w:ascii="Segoe UI" w:eastAsia="Segoe UI" w:hAnsi="Segoe UI" w:cs="Segoe UI"/>
          <w:bCs/>
          <w:color w:val="000000"/>
        </w:rPr>
        <w:t>Yes</w:t>
      </w:r>
    </w:p>
    <w:bookmarkEnd w:id="0"/>
    <w:p w14:paraId="118D91EB" w14:textId="28FC576C" w:rsidR="00D21DDF" w:rsidRDefault="00D21DDF"/>
    <w:sectPr w:rsidR="00D21DDF" w:rsidSect="00133449">
      <w:headerReference w:type="even" r:id="rId6"/>
      <w:headerReference w:type="default" r:id="rId7"/>
      <w:footerReference w:type="even" r:id="rId8"/>
      <w:footerReference w:type="default" r:id="rId9"/>
      <w:pgSz w:w="11905" w:h="16837"/>
      <w:pgMar w:top="1440" w:right="1440" w:bottom="1440" w:left="1440" w:header="0" w:footer="213"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DCBC0" w14:textId="77777777" w:rsidR="00954B97" w:rsidRDefault="00954B97">
      <w:pPr>
        <w:spacing w:after="0" w:line="240" w:lineRule="auto"/>
      </w:pPr>
      <w:r>
        <w:separator/>
      </w:r>
    </w:p>
  </w:endnote>
  <w:endnote w:type="continuationSeparator" w:id="0">
    <w:p w14:paraId="7E71016F" w14:textId="77777777" w:rsidR="00954B97" w:rsidRDefault="00954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151E1" w14:textId="69CAA532" w:rsidR="00152E10" w:rsidRDefault="00F11C47">
    <w:pPr>
      <w:pStyle w:val="Footer"/>
    </w:pPr>
    <w:r>
      <w:rPr>
        <w:noProof/>
      </w:rPr>
      <mc:AlternateContent>
        <mc:Choice Requires="wps">
          <w:drawing>
            <wp:anchor distT="0" distB="0" distL="0" distR="0" simplePos="0" relativeHeight="251667456" behindDoc="0" locked="0" layoutInCell="1" allowOverlap="1" wp14:anchorId="1E3065B4" wp14:editId="49275899">
              <wp:simplePos x="635" y="635"/>
              <wp:positionH relativeFrom="page">
                <wp:align>center</wp:align>
              </wp:positionH>
              <wp:positionV relativeFrom="page">
                <wp:align>bottom</wp:align>
              </wp:positionV>
              <wp:extent cx="622300" cy="405765"/>
              <wp:effectExtent l="0" t="0" r="6350" b="0"/>
              <wp:wrapNone/>
              <wp:docPr id="98133570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D266E47" w14:textId="566185D7" w:rsidR="00F11C47" w:rsidRPr="00F11C47" w:rsidRDefault="00F11C47" w:rsidP="00F11C47">
                          <w:pPr>
                            <w:spacing w:after="0"/>
                            <w:rPr>
                              <w:rFonts w:ascii="Aptos" w:eastAsia="Aptos" w:hAnsi="Aptos" w:cs="Aptos"/>
                              <w:noProof/>
                              <w:color w:val="FF0000"/>
                            </w:rPr>
                          </w:pPr>
                          <w:r w:rsidRPr="00F11C47">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3065B4" id="_x0000_t202" coordsize="21600,21600" o:spt="202" path="m,l,21600r21600,l21600,xe">
              <v:stroke joinstyle="miter"/>
              <v:path gradientshapeok="t" o:connecttype="rect"/>
            </v:shapetype>
            <v:shape id="Text Box 7" o:spid="_x0000_s1027" type="#_x0000_t202" alt="OFFICIAL" style="position:absolute;margin-left:0;margin-top:0;width:49pt;height:31.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4D266E47" w14:textId="566185D7" w:rsidR="00F11C47" w:rsidRPr="00F11C47" w:rsidRDefault="00F11C47" w:rsidP="00F11C47">
                    <w:pPr>
                      <w:spacing w:after="0"/>
                      <w:rPr>
                        <w:rFonts w:ascii="Aptos" w:eastAsia="Aptos" w:hAnsi="Aptos" w:cs="Aptos"/>
                        <w:noProof/>
                        <w:color w:val="FF0000"/>
                      </w:rPr>
                    </w:pPr>
                    <w:r w:rsidRPr="00F11C47">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2080" w14:textId="74A6A140" w:rsidR="00D21DDF" w:rsidRDefault="00954B97">
    <w:pPr>
      <w:pStyle w:val="Footer"/>
      <w:jc w:val="right"/>
    </w:pPr>
    <w:sdt>
      <w:sdtPr>
        <w:id w:val="1288928947"/>
        <w:docPartObj>
          <w:docPartGallery w:val="Page Numbers (Bottom of Page)"/>
          <w:docPartUnique/>
        </w:docPartObj>
      </w:sdtPr>
      <w:sdtEndPr>
        <w:rPr>
          <w:noProof/>
        </w:rPr>
      </w:sdtEndPr>
      <w:sdtContent>
        <w:r w:rsidR="00C150A4">
          <w:fldChar w:fldCharType="begin"/>
        </w:r>
        <w:r w:rsidR="00C150A4">
          <w:instrText xml:space="preserve"> PAGE   \* MERGEFORMAT </w:instrText>
        </w:r>
        <w:r w:rsidR="00C150A4">
          <w:fldChar w:fldCharType="separate"/>
        </w:r>
        <w:r w:rsidR="00C150A4">
          <w:rPr>
            <w:noProof/>
          </w:rPr>
          <w:t>2</w:t>
        </w:r>
        <w:r w:rsidR="00C150A4">
          <w:rPr>
            <w:noProof/>
          </w:rPr>
          <w:fldChar w:fldCharType="end"/>
        </w:r>
      </w:sdtContent>
    </w:sdt>
  </w:p>
  <w:p w14:paraId="6552B54D" w14:textId="77777777" w:rsidR="00D21DDF" w:rsidRDefault="00D21DDF">
    <w:pPr>
      <w:pStyle w:val="EmptyCellLayoutStyle"/>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C1D35" w14:textId="77777777" w:rsidR="00954B97" w:rsidRDefault="00954B97">
      <w:pPr>
        <w:spacing w:after="0" w:line="240" w:lineRule="auto"/>
      </w:pPr>
      <w:r>
        <w:separator/>
      </w:r>
    </w:p>
  </w:footnote>
  <w:footnote w:type="continuationSeparator" w:id="0">
    <w:p w14:paraId="68764FC1" w14:textId="77777777" w:rsidR="00954B97" w:rsidRDefault="00954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4FC64" w14:textId="7F29435A" w:rsidR="00152E10" w:rsidRDefault="00F11C47">
    <w:pPr>
      <w:pStyle w:val="Header"/>
    </w:pPr>
    <w:r>
      <w:rPr>
        <w:noProof/>
      </w:rPr>
      <mc:AlternateContent>
        <mc:Choice Requires="wps">
          <w:drawing>
            <wp:anchor distT="0" distB="0" distL="0" distR="0" simplePos="0" relativeHeight="251664384" behindDoc="0" locked="0" layoutInCell="1" allowOverlap="1" wp14:anchorId="6D09D6CF" wp14:editId="4352FF43">
              <wp:simplePos x="635" y="635"/>
              <wp:positionH relativeFrom="page">
                <wp:align>center</wp:align>
              </wp:positionH>
              <wp:positionV relativeFrom="page">
                <wp:align>top</wp:align>
              </wp:positionV>
              <wp:extent cx="622300" cy="405765"/>
              <wp:effectExtent l="0" t="0" r="6350" b="13335"/>
              <wp:wrapNone/>
              <wp:docPr id="18378418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6E808EA" w14:textId="3EAAF829" w:rsidR="00F11C47" w:rsidRPr="00F11C47" w:rsidRDefault="00F11C47" w:rsidP="00F11C47">
                          <w:pPr>
                            <w:spacing w:after="0"/>
                            <w:rPr>
                              <w:rFonts w:ascii="Aptos" w:eastAsia="Aptos" w:hAnsi="Aptos" w:cs="Aptos"/>
                              <w:noProof/>
                              <w:color w:val="FF0000"/>
                            </w:rPr>
                          </w:pPr>
                          <w:r w:rsidRPr="00F11C47">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09D6CF" id="_x0000_t202" coordsize="21600,21600" o:spt="202" path="m,l,21600r21600,l21600,xe">
              <v:stroke joinstyle="miter"/>
              <v:path gradientshapeok="t" o:connecttype="rect"/>
            </v:shapetype>
            <v:shape id="Text Box 4" o:spid="_x0000_s1026" type="#_x0000_t202" alt="OFFICIAL" style="position:absolute;margin-left:0;margin-top:0;width:49pt;height:31.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76E808EA" w14:textId="3EAAF829" w:rsidR="00F11C47" w:rsidRPr="00F11C47" w:rsidRDefault="00F11C47" w:rsidP="00F11C47">
                    <w:pPr>
                      <w:spacing w:after="0"/>
                      <w:rPr>
                        <w:rFonts w:ascii="Aptos" w:eastAsia="Aptos" w:hAnsi="Aptos" w:cs="Aptos"/>
                        <w:noProof/>
                        <w:color w:val="FF0000"/>
                      </w:rPr>
                    </w:pPr>
                    <w:r w:rsidRPr="00F11C47">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61E" w14:textId="24BFFF01" w:rsidR="00D21DDF" w:rsidRDefault="00C150A4">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49"/>
    <w:rsid w:val="0008026D"/>
    <w:rsid w:val="00133449"/>
    <w:rsid w:val="00152E10"/>
    <w:rsid w:val="003C7291"/>
    <w:rsid w:val="00460872"/>
    <w:rsid w:val="00681E26"/>
    <w:rsid w:val="00954B97"/>
    <w:rsid w:val="00AD1FAF"/>
    <w:rsid w:val="00C150A4"/>
    <w:rsid w:val="00D21DDF"/>
    <w:rsid w:val="00DA31CF"/>
    <w:rsid w:val="00E8625E"/>
    <w:rsid w:val="00F11C47"/>
    <w:rsid w:val="00F30B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1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449"/>
    <w:pPr>
      <w:spacing w:before="240" w:after="240" w:line="259" w:lineRule="auto"/>
      <w:outlineLvl w:val="0"/>
    </w:pPr>
    <w:rPr>
      <w:rFonts w:ascii="Segoe UI" w:eastAsia="Segoe UI" w:hAnsi="Segoe UI" w:cs="Times New Roman"/>
      <w:b/>
      <w:color w:val="213E60"/>
      <w:kern w:val="0"/>
      <w:sz w:val="32"/>
      <w:szCs w:val="20"/>
      <w14:ligatures w14:val="none"/>
    </w:rPr>
  </w:style>
  <w:style w:type="paragraph" w:styleId="Heading2">
    <w:name w:val="heading 2"/>
    <w:basedOn w:val="Normal"/>
    <w:next w:val="Normal"/>
    <w:link w:val="Heading2Char"/>
    <w:uiPriority w:val="9"/>
    <w:semiHidden/>
    <w:unhideWhenUsed/>
    <w:qFormat/>
    <w:rsid w:val="00152E10"/>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449"/>
    <w:rPr>
      <w:rFonts w:ascii="Segoe UI" w:eastAsia="Segoe UI" w:hAnsi="Segoe UI" w:cs="Times New Roman"/>
      <w:b/>
      <w:color w:val="213E60"/>
      <w:kern w:val="0"/>
      <w:sz w:val="32"/>
      <w:szCs w:val="20"/>
      <w14:ligatures w14:val="none"/>
    </w:rPr>
  </w:style>
  <w:style w:type="paragraph" w:customStyle="1" w:styleId="EmptyCellLayoutStyle">
    <w:name w:val="EmptyCellLayoutStyle"/>
    <w:rsid w:val="00133449"/>
    <w:pPr>
      <w:spacing w:line="259" w:lineRule="auto"/>
    </w:pPr>
    <w:rPr>
      <w:rFonts w:ascii="Times New Roman" w:eastAsia="Times New Roman" w:hAnsi="Times New Roman" w:cs="Times New Roman"/>
      <w:kern w:val="0"/>
      <w:sz w:val="2"/>
      <w:szCs w:val="20"/>
      <w14:ligatures w14:val="none"/>
    </w:rPr>
  </w:style>
  <w:style w:type="paragraph" w:styleId="Title">
    <w:name w:val="Title"/>
    <w:basedOn w:val="Normal"/>
    <w:next w:val="Normal"/>
    <w:link w:val="TitleChar"/>
    <w:uiPriority w:val="10"/>
    <w:qFormat/>
    <w:rsid w:val="00133449"/>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133449"/>
    <w:rPr>
      <w:rFonts w:asciiTheme="majorHAnsi" w:eastAsiaTheme="majorEastAsia" w:hAnsiTheme="majorHAnsi" w:cstheme="majorBidi"/>
      <w:spacing w:val="-10"/>
      <w:kern w:val="28"/>
      <w:sz w:val="56"/>
      <w:szCs w:val="56"/>
      <w14:ligatures w14:val="none"/>
    </w:rPr>
  </w:style>
  <w:style w:type="table" w:styleId="TableGrid">
    <w:name w:val="Table Grid"/>
    <w:basedOn w:val="TableNormal"/>
    <w:uiPriority w:val="39"/>
    <w:rsid w:val="001334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133449"/>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133449"/>
    <w:rPr>
      <w:color w:val="5A5A5A" w:themeColor="text1" w:themeTint="A5"/>
      <w:spacing w:val="15"/>
      <w:sz w:val="22"/>
      <w:szCs w:val="22"/>
    </w:rPr>
  </w:style>
  <w:style w:type="paragraph" w:styleId="Footer">
    <w:name w:val="footer"/>
    <w:basedOn w:val="Normal"/>
    <w:link w:val="FooterChar"/>
    <w:uiPriority w:val="99"/>
    <w:unhideWhenUsed/>
    <w:rsid w:val="001334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449"/>
  </w:style>
  <w:style w:type="paragraph" w:styleId="Header">
    <w:name w:val="header"/>
    <w:basedOn w:val="Normal"/>
    <w:link w:val="HeaderChar"/>
    <w:uiPriority w:val="99"/>
    <w:unhideWhenUsed/>
    <w:rsid w:val="00152E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E10"/>
  </w:style>
  <w:style w:type="character" w:customStyle="1" w:styleId="Heading2Char">
    <w:name w:val="Heading 2 Char"/>
    <w:basedOn w:val="DefaultParagraphFont"/>
    <w:link w:val="Heading2"/>
    <w:uiPriority w:val="9"/>
    <w:semiHidden/>
    <w:rsid w:val="00152E10"/>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2103</Words>
  <Characters>12414</Characters>
  <Application>Microsoft Office Word</Application>
  <DocSecurity>0</DocSecurity>
  <Lines>288</Lines>
  <Paragraphs>138</Paragraphs>
  <ScaleCrop>false</ScaleCrop>
  <Company/>
  <LinksUpToDate>false</LinksUpToDate>
  <CharactersWithSpaces>14379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2026-09-17T06:17:00Z</dcterms:created>
  <dcterms:modified xsi:type="dcterms:W3CDTF">2026-09-17T06:22:00Z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21cb614e,6d8b3de2,1b99d7b8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34dc4c9a,3a7dfe98,640c2b2</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2026-09-17T06:18:21Z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872ed9ed-d9dc-4ec0-b222-b810eaca9df5</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