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767BD2CB" w:rsidR="00133449" w:rsidRPr="0065027C" w:rsidRDefault="00493034"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1830</w:t>
      </w:r>
    </w:p>
    <w:p w14:paraId="084637DB" w14:textId="5FF4E6D7" w:rsidR="00133449" w:rsidRPr="005B57C1" w:rsidRDefault="00493034" w:rsidP="00133449">
      <w:pPr>
        <w:pStyle w:val="Subtitle"/>
        <w:jc w:val="center"/>
        <w:rPr>
          <w:rFonts w:ascii="Segoe UI" w:eastAsiaTheme="minorHAnsi" w:hAnsi="Segoe UI" w:cs="Segoe UI"/>
          <w:b/>
          <w:bCs/>
          <w:color w:val="153D63" w:themeColor="text2" w:themeTint="E6"/>
          <w:sz w:val="48"/>
          <w:szCs w:val="48"/>
          <w:lang w:eastAsia="en-US"/>
        </w:rPr>
      </w:pPr>
      <w:r w:rsidRPr="00493034">
        <w:rPr>
          <w:rFonts w:ascii="Segoe UI" w:eastAsiaTheme="minorHAnsi" w:hAnsi="Segoe UI" w:cs="Segoe UI"/>
          <w:b/>
          <w:bCs/>
          <w:color w:val="153D63" w:themeColor="text2" w:themeTint="E6"/>
          <w:sz w:val="48"/>
          <w:szCs w:val="48"/>
          <w:lang w:eastAsia="en-US"/>
        </w:rPr>
        <w:t>Genetic testing to identify homologous recombination repair (HRR) gene alterations in patients with metastatic castration-sensitive prostate cancer (</w:t>
      </w:r>
      <w:proofErr w:type="spellStart"/>
      <w:r w:rsidRPr="00493034">
        <w:rPr>
          <w:rFonts w:ascii="Segoe UI" w:eastAsiaTheme="minorHAnsi" w:hAnsi="Segoe UI" w:cs="Segoe UI"/>
          <w:b/>
          <w:bCs/>
          <w:color w:val="153D63" w:themeColor="text2" w:themeTint="E6"/>
          <w:sz w:val="48"/>
          <w:szCs w:val="48"/>
          <w:lang w:eastAsia="en-US"/>
        </w:rPr>
        <w:t>mCSPC</w:t>
      </w:r>
      <w:proofErr w:type="spellEnd"/>
      <w:r w:rsidRPr="00493034">
        <w:rPr>
          <w:rFonts w:ascii="Segoe UI" w:eastAsiaTheme="minorHAnsi" w:hAnsi="Segoe UI" w:cs="Segoe UI"/>
          <w:b/>
          <w:bCs/>
          <w:color w:val="153D63" w:themeColor="text2" w:themeTint="E6"/>
          <w:sz w:val="48"/>
          <w:szCs w:val="48"/>
          <w:lang w:eastAsia="en-US"/>
        </w:rPr>
        <w:t xml:space="preserve">) to determine eligibility for treatment with PBS subsidised </w:t>
      </w:r>
      <w:proofErr w:type="spellStart"/>
      <w:r w:rsidRPr="00493034">
        <w:rPr>
          <w:rFonts w:ascii="Segoe UI" w:eastAsiaTheme="minorHAnsi" w:hAnsi="Segoe UI" w:cs="Segoe UI"/>
          <w:b/>
          <w:bCs/>
          <w:color w:val="153D63" w:themeColor="text2" w:themeTint="E6"/>
          <w:sz w:val="48"/>
          <w:szCs w:val="48"/>
          <w:lang w:eastAsia="en-US"/>
        </w:rPr>
        <w:t>talazoparib</w:t>
      </w:r>
      <w:proofErr w:type="spellEnd"/>
      <w:r w:rsidRPr="00493034">
        <w:rPr>
          <w:rFonts w:ascii="Segoe UI" w:eastAsiaTheme="minorHAnsi" w:hAnsi="Segoe UI" w:cs="Segoe UI"/>
          <w:b/>
          <w:bCs/>
          <w:color w:val="153D63" w:themeColor="text2" w:themeTint="E6"/>
          <w:sz w:val="48"/>
          <w:szCs w:val="48"/>
          <w:lang w:eastAsia="en-US"/>
        </w:rPr>
        <w:t>.</w:t>
      </w:r>
    </w:p>
    <w:p w14:paraId="08D98030" w14:textId="77777777" w:rsidR="00133449" w:rsidRPr="0010048D" w:rsidRDefault="00133449" w:rsidP="00133449">
      <w:pPr>
        <w:rPr>
          <w:rFonts w:ascii="Segoe UI" w:eastAsia="Segoe UI" w:hAnsi="Segoe UI" w:cs="Segoe UI"/>
          <w:b/>
          <w:color w:val="000000"/>
          <w:sz w:val="32"/>
        </w:rPr>
      </w:pPr>
      <w:r w:rsidRPr="0010048D">
        <w:rPr>
          <w:rFonts w:ascii="Segoe UI" w:hAnsi="Segoe UI" w:cs="Segoe UI"/>
        </w:rPr>
        <w:br w:type="page"/>
      </w:r>
    </w:p>
    <w:p w14:paraId="1B176AAF" w14:textId="77777777" w:rsidR="00133449" w:rsidRPr="0010048D" w:rsidRDefault="00133449" w:rsidP="00133449">
      <w:pPr>
        <w:pStyle w:val="Heading1"/>
        <w:rPr>
          <w:rFonts w:cs="Segoe UI"/>
        </w:rPr>
      </w:pPr>
      <w:r w:rsidRPr="0010048D">
        <w:rPr>
          <w:rFonts w:cs="Segoe UI"/>
        </w:rPr>
        <w:lastRenderedPageBreak/>
        <w:t>Application for MBS eligible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HPP200453</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Amendment to MBS items 73303 and 73304 to identify homologous recombination repair (HRR) gene alterations in patients with metastatic castration-sensitive prostate cancer (</w:t>
      </w:r>
      <w:proofErr w:type="spellStart"/>
      <w:r w:rsidRPr="005B57C1">
        <w:rPr>
          <w:rFonts w:ascii="Segoe UI" w:eastAsia="Segoe UI" w:hAnsi="Segoe UI" w:cs="Segoe UI"/>
          <w:color w:val="000000"/>
        </w:rPr>
        <w:t>mCSPC</w:t>
      </w:r>
      <w:proofErr w:type="spellEnd"/>
      <w:r w:rsidRPr="005B57C1">
        <w:rPr>
          <w:rFonts w:ascii="Segoe UI" w:eastAsia="Segoe UI" w:hAnsi="Segoe UI" w:cs="Segoe UI"/>
          <w:color w:val="000000"/>
        </w:rPr>
        <w:t>) eligible for treatment under the Pharmaceutical Benefits Scheme (PBS).</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44826F65" w14:textId="77777777" w:rsidR="00133449" w:rsidRPr="0010048D" w:rsidRDefault="00133449" w:rsidP="00133449">
      <w:pPr>
        <w:rPr>
          <w:rFonts w:ascii="Segoe UI" w:hAnsi="Segoe UI" w:cs="Segoe UI"/>
        </w:rPr>
      </w:pPr>
      <w:r>
        <w:rPr>
          <w:rFonts w:ascii="Segoe UI" w:eastAsia="Segoe UI" w:hAnsi="Segoe UI" w:cs="Segoe UI"/>
          <w:color w:val="000000"/>
        </w:rPr>
        <w:t>PFIZER AUSTRALIA PTY LTD</w:t>
      </w:r>
    </w:p>
    <w:p w14:paraId="5AF85C6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p>
    <w:p w14:paraId="04FE4FD7" w14:textId="77777777" w:rsidR="00133449" w:rsidRPr="0010048D" w:rsidRDefault="00133449" w:rsidP="00133449">
      <w:pPr>
        <w:rPr>
          <w:rFonts w:ascii="Segoe UI" w:hAnsi="Segoe UI" w:cs="Segoe UI"/>
        </w:rPr>
      </w:pPr>
      <w:r>
        <w:rPr>
          <w:rFonts w:ascii="Segoe UI" w:hAnsi="Segoe UI" w:cs="Segoe UI"/>
        </w:rPr>
        <w:t>50008422348</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 xml:space="preserve">Prostate cancer is the </w:t>
      </w:r>
      <w:proofErr w:type="gramStart"/>
      <w:r w:rsidRPr="00DA3592">
        <w:rPr>
          <w:rFonts w:ascii="Segoe UI" w:eastAsia="Segoe UI" w:hAnsi="Segoe UI" w:cs="Segoe UI"/>
          <w:color w:val="000000"/>
        </w:rPr>
        <w:t>most commonly diagnosed</w:t>
      </w:r>
      <w:proofErr w:type="gramEnd"/>
      <w:r w:rsidRPr="00DA3592">
        <w:rPr>
          <w:rFonts w:ascii="Segoe UI" w:eastAsia="Segoe UI" w:hAnsi="Segoe UI" w:cs="Segoe UI"/>
          <w:color w:val="000000"/>
        </w:rPr>
        <w:t xml:space="preserve"> cancer in Australian men and remains a major cause of cancer-related morbidity and mortality. Patients with metastatic castration-sensitive prostate cancer (</w:t>
      </w:r>
      <w:proofErr w:type="spellStart"/>
      <w:r w:rsidRPr="00DA3592">
        <w:rPr>
          <w:rFonts w:ascii="Segoe UI" w:eastAsia="Segoe UI" w:hAnsi="Segoe UI" w:cs="Segoe UI"/>
          <w:color w:val="000000"/>
        </w:rPr>
        <w:t>mCSPC</w:t>
      </w:r>
      <w:proofErr w:type="spellEnd"/>
      <w:r w:rsidRPr="00DA3592">
        <w:rPr>
          <w:rFonts w:ascii="Segoe UI" w:eastAsia="Segoe UI" w:hAnsi="Segoe UI" w:cs="Segoe UI"/>
          <w:color w:val="000000"/>
        </w:rPr>
        <w:t>) have advanced disease that has spread beyond the prostate but remains responsive to androgen deprivation therapy. Despite recent advances in treatment, patients with metastatic disease experience substantially poorer outcomes than those with localised disease.</w:t>
      </w:r>
      <w:r w:rsidRPr="00DA3592">
        <w:rPr>
          <w:rFonts w:ascii="Segoe UI" w:eastAsia="Segoe UI" w:hAnsi="Segoe UI" w:cs="Segoe UI"/>
          <w:color w:val="000000"/>
        </w:rPr>
        <w:br/>
        <w:t>Approximately 25–30% of patients with metastatic prostate cancer harbour pathogenic alterations in genes involved in homologous recombination repair (HRR) pathways, including BRCA1, BRCA2, ATM, PALB2 and other clinically relevant HRR genes. Identification of HRR gene alterations is increasingly important because it may facilitate biomarker-informed treatment selection for patients with advanced prostate cancer.</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 xml:space="preserve">The proposed technology amends MBS items 73303 and 73304 to enable NGS-based HRR panel testing in </w:t>
      </w:r>
      <w:proofErr w:type="spellStart"/>
      <w:r w:rsidRPr="00DA3592">
        <w:rPr>
          <w:rFonts w:ascii="Segoe UI" w:eastAsia="Segoe UI" w:hAnsi="Segoe UI" w:cs="Segoe UI"/>
          <w:color w:val="000000"/>
        </w:rPr>
        <w:t>mCSPC</w:t>
      </w:r>
      <w:proofErr w:type="spellEnd"/>
      <w:r w:rsidRPr="00DA3592">
        <w:rPr>
          <w:rFonts w:ascii="Segoe UI" w:eastAsia="Segoe UI" w:hAnsi="Segoe UI" w:cs="Segoe UI"/>
          <w:color w:val="000000"/>
        </w:rPr>
        <w:t xml:space="preserve"> to determine eligibility for relevant PBS treatment.</w:t>
      </w:r>
      <w:r w:rsidRPr="00DA3592">
        <w:rPr>
          <w:rFonts w:ascii="Segoe UI" w:eastAsia="Segoe UI" w:hAnsi="Segoe UI" w:cs="Segoe UI"/>
          <w:color w:val="000000"/>
        </w:rPr>
        <w:br/>
        <w:t xml:space="preserve">Testing would use tumour tissue, with germline testing where tumour testing is not feasible. The amendment extends testing from mCRPC to </w:t>
      </w:r>
      <w:proofErr w:type="spellStart"/>
      <w:r w:rsidRPr="00DA3592">
        <w:rPr>
          <w:rFonts w:ascii="Segoe UI" w:eastAsia="Segoe UI" w:hAnsi="Segoe UI" w:cs="Segoe UI"/>
          <w:color w:val="000000"/>
        </w:rPr>
        <w:t>mCSPC</w:t>
      </w:r>
      <w:proofErr w:type="spellEnd"/>
      <w:r w:rsidRPr="00DA3592">
        <w:rPr>
          <w:rFonts w:ascii="Segoe UI" w:eastAsia="Segoe UI" w:hAnsi="Segoe UI" w:cs="Segoe UI"/>
          <w:color w:val="000000"/>
        </w:rPr>
        <w:t xml:space="preserve"> and expands scope </w:t>
      </w:r>
      <w:r w:rsidRPr="00DA3592">
        <w:rPr>
          <w:rFonts w:ascii="Segoe UI" w:eastAsia="Segoe UI" w:hAnsi="Segoe UI" w:cs="Segoe UI"/>
          <w:color w:val="000000"/>
        </w:rPr>
        <w:lastRenderedPageBreak/>
        <w:t>from BRCA1/2 to an HRR panel.</w:t>
      </w:r>
      <w:r w:rsidRPr="00DA3592">
        <w:rPr>
          <w:rFonts w:ascii="Segoe UI" w:eastAsia="Segoe UI" w:hAnsi="Segoe UI" w:cs="Segoe UI"/>
          <w:color w:val="000000"/>
        </w:rPr>
        <w:br/>
        <w:t xml:space="preserve">TALAPRO-3 supports this approach: patients with </w:t>
      </w:r>
      <w:proofErr w:type="spellStart"/>
      <w:r w:rsidRPr="00DA3592">
        <w:rPr>
          <w:rFonts w:ascii="Segoe UI" w:eastAsia="Segoe UI" w:hAnsi="Segoe UI" w:cs="Segoe UI"/>
          <w:color w:val="000000"/>
        </w:rPr>
        <w:t>mCSPC</w:t>
      </w:r>
      <w:proofErr w:type="spellEnd"/>
      <w:r w:rsidRPr="00DA3592">
        <w:rPr>
          <w:rFonts w:ascii="Segoe UI" w:eastAsia="Segoe UI" w:hAnsi="Segoe UI" w:cs="Segoe UI"/>
          <w:color w:val="000000"/>
        </w:rPr>
        <w:t xml:space="preserve"> were prospectively selected by HRR alteration status and evaluated for </w:t>
      </w:r>
      <w:proofErr w:type="spellStart"/>
      <w:r w:rsidRPr="00DA3592">
        <w:rPr>
          <w:rFonts w:ascii="Segoe UI" w:eastAsia="Segoe UI" w:hAnsi="Segoe UI" w:cs="Segoe UI"/>
          <w:color w:val="000000"/>
        </w:rPr>
        <w:t>talazoparib</w:t>
      </w:r>
      <w:proofErr w:type="spellEnd"/>
      <w:r w:rsidRPr="00DA3592">
        <w:rPr>
          <w:rFonts w:ascii="Segoe UI" w:eastAsia="Segoe UI" w:hAnsi="Segoe UI" w:cs="Segoe UI"/>
          <w:color w:val="000000"/>
        </w:rPr>
        <w:t xml:space="preserve"> plus enzalutamide. The proposed strategy identifies the same biomarker-defined population in practice.</w:t>
      </w:r>
      <w:r w:rsidRPr="00DA3592">
        <w:rPr>
          <w:rFonts w:ascii="Segoe UI" w:eastAsia="Segoe UI" w:hAnsi="Segoe UI" w:cs="Segoe UI"/>
          <w:color w:val="000000"/>
        </w:rPr>
        <w:br/>
        <w:t>TALAPRO-3 eligibility required an alteration in at least one of 12 HRR genes: ATM, ATR, BRCA1, BRCA2, CDK12, CHEK2, FANCA, MLH1, MRE11A, NBN, PALB2 and RAD51C.</w:t>
      </w:r>
      <w:r w:rsidRPr="00DA3592">
        <w:rPr>
          <w:rFonts w:ascii="Segoe UI" w:eastAsia="Segoe UI" w:hAnsi="Segoe UI" w:cs="Segoe UI"/>
          <w:color w:val="000000"/>
        </w:rPr>
        <w:br/>
        <w:t>NGS panel testing is established in Australia. The amendment does not introduce new methodology, infrastructure or referral pathways; it expands reportable genes and shifts testing earlier.</w:t>
      </w:r>
    </w:p>
    <w:p w14:paraId="6B61DA55" w14:textId="77777777" w:rsidR="00133449" w:rsidRPr="0010048D" w:rsidRDefault="00133449" w:rsidP="00133449">
      <w:pPr>
        <w:pStyle w:val="Heading1"/>
        <w:rPr>
          <w:rFonts w:cs="Segoe UI"/>
        </w:rPr>
      </w:pPr>
      <w:r w:rsidRPr="0010048D">
        <w:rPr>
          <w:rFonts w:cs="Segoe UI"/>
        </w:rPr>
        <w:t>Application contact details</w:t>
      </w:r>
    </w:p>
    <w:p w14:paraId="2401EE2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the applicant, or are you a consultant or lobbyist acting on behalf of the applicant?</w:t>
      </w:r>
    </w:p>
    <w:p w14:paraId="791B4BED" w14:textId="77777777" w:rsidR="00133449" w:rsidRPr="00DA3592" w:rsidRDefault="00133449" w:rsidP="00133449">
      <w:pPr>
        <w:rPr>
          <w:rFonts w:ascii="Segoe UI" w:hAnsi="Segoe UI" w:cs="Segoe UI"/>
        </w:rPr>
      </w:pPr>
      <w:r w:rsidRPr="00DA3592">
        <w:rPr>
          <w:rFonts w:ascii="Segoe UI" w:eastAsia="Segoe UI" w:hAnsi="Segoe UI" w:cs="Segoe UI"/>
          <w:color w:val="000000"/>
        </w:rPr>
        <w:t>Applicant</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Pr="00DA3592" w:rsidRDefault="00133449" w:rsidP="00133449">
      <w:pPr>
        <w:rPr>
          <w:rFonts w:ascii="Segoe UI" w:hAnsi="Segoe UI" w:cs="Segoe UI"/>
        </w:rPr>
      </w:pPr>
      <w:r w:rsidRPr="00DA3592">
        <w:rPr>
          <w:rFonts w:ascii="Segoe UI" w:eastAsia="Segoe UI" w:hAnsi="Segoe UI" w:cs="Segoe UI"/>
          <w:color w:val="000000"/>
        </w:rPr>
        <w:t>Organisation</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PFIZER AUSTRALIA PTY LTD</w:t>
      </w:r>
    </w:p>
    <w:p w14:paraId="3E3352C1" w14:textId="77777777" w:rsidR="00133449" w:rsidRPr="0010048D"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51FA98F1" w14:textId="77777777" w:rsidR="00133449" w:rsidRPr="0010048D" w:rsidRDefault="00133449" w:rsidP="00133449">
      <w:pPr>
        <w:rPr>
          <w:rFonts w:ascii="Segoe UI" w:hAnsi="Segoe UI" w:cs="Segoe UI"/>
        </w:rPr>
      </w:pPr>
      <w:r w:rsidRPr="0010048D">
        <w:rPr>
          <w:rFonts w:ascii="Segoe UI" w:eastAsia="Segoe UI" w:hAnsi="Segoe UI" w:cs="Segoe UI"/>
          <w:b/>
          <w:color w:val="000000"/>
        </w:rPr>
        <w:t>Does the implementation of your service or health technology rely on a new listing on the Pharmaceutical Benefits Scheme (PBS) and/or the Prescribed List?</w:t>
      </w:r>
    </w:p>
    <w:p w14:paraId="15CA45CC" w14:textId="77777777" w:rsidR="00133449" w:rsidRPr="009755EC" w:rsidRDefault="00133449" w:rsidP="00133449">
      <w:pPr>
        <w:rPr>
          <w:rFonts w:ascii="Segoe UI" w:hAnsi="Segoe UI" w:cs="Segoe UI"/>
        </w:rPr>
      </w:pPr>
      <w:r w:rsidRPr="009755EC">
        <w:rPr>
          <w:rFonts w:ascii="Segoe UI" w:eastAsia="Segoe UI" w:hAnsi="Segoe UI" w:cs="Segoe UI"/>
          <w:color w:val="000000"/>
        </w:rPr>
        <w:t>Yes</w:t>
      </w:r>
    </w:p>
    <w:p w14:paraId="0BE45A56" w14:textId="712A8F05" w:rsidR="00133449" w:rsidRPr="0010048D" w:rsidRDefault="00133449" w:rsidP="00133449">
      <w:pPr>
        <w:rPr>
          <w:rFonts w:ascii="Segoe UI" w:hAnsi="Segoe UI" w:cs="Segoe UI"/>
        </w:rPr>
      </w:pPr>
      <w:r w:rsidRPr="0010048D">
        <w:rPr>
          <w:rFonts w:ascii="Segoe UI" w:eastAsia="Segoe UI" w:hAnsi="Segoe UI" w:cs="Segoe UI"/>
          <w:b/>
          <w:color w:val="000000"/>
        </w:rPr>
        <w:t xml:space="preserve">Which list/schedule will the other health technologies be listed on? </w:t>
      </w:r>
    </w:p>
    <w:p w14:paraId="526A43B2" w14:textId="77777777" w:rsidR="00133449" w:rsidRPr="009755EC" w:rsidRDefault="00133449" w:rsidP="00133449">
      <w:pPr>
        <w:rPr>
          <w:rFonts w:ascii="Segoe UI" w:hAnsi="Segoe UI" w:cs="Segoe UI"/>
        </w:rPr>
      </w:pPr>
      <w:r w:rsidRPr="009755EC">
        <w:rPr>
          <w:rFonts w:ascii="Segoe UI" w:eastAsia="Segoe UI" w:hAnsi="Segoe UI" w:cs="Segoe UI"/>
          <w:color w:val="000000"/>
        </w:rPr>
        <w:t>Pharmaceutical Benefits Scheme</w:t>
      </w:r>
    </w:p>
    <w:p w14:paraId="51B3F52E"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application for a new service or health technology, or an amendment to an existing listed service or health technology?</w:t>
      </w:r>
    </w:p>
    <w:p w14:paraId="7FD1C6AA" w14:textId="77777777" w:rsidR="00133449" w:rsidRPr="009755EC" w:rsidRDefault="00133449" w:rsidP="00133449">
      <w:pPr>
        <w:rPr>
          <w:rFonts w:ascii="Segoe UI" w:eastAsia="Segoe UI" w:hAnsi="Segoe UI" w:cs="Segoe UI"/>
          <w:color w:val="000000"/>
        </w:rPr>
      </w:pPr>
      <w:r w:rsidRPr="009755EC">
        <w:rPr>
          <w:rFonts w:ascii="Segoe UI" w:eastAsia="Segoe UI" w:hAnsi="Segoe UI" w:cs="Segoe UI"/>
          <w:color w:val="000000"/>
        </w:rPr>
        <w:t>Amendment</w:t>
      </w:r>
    </w:p>
    <w:p w14:paraId="2DBF699C" w14:textId="08BDB0B3"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t xml:space="preserve">What is the nature of the amendment? </w:t>
      </w:r>
    </w:p>
    <w:p w14:paraId="23435745" w14:textId="77777777" w:rsidR="00133449" w:rsidRPr="009755EC" w:rsidRDefault="00133449" w:rsidP="00133449">
      <w:pPr>
        <w:rPr>
          <w:rFonts w:ascii="Segoe UI" w:hAnsi="Segoe UI" w:cs="Segoe UI"/>
        </w:rPr>
      </w:pPr>
      <w:r w:rsidRPr="009755EC">
        <w:rPr>
          <w:rFonts w:ascii="Segoe UI" w:hAnsi="Segoe UI" w:cs="Segoe UI"/>
        </w:rPr>
        <w:t>An amendment to the patient population under the existing item(s)</w:t>
      </w:r>
    </w:p>
    <w:p w14:paraId="1B4AFADB" w14:textId="70307C7F"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lastRenderedPageBreak/>
        <w:t xml:space="preserve">Justification for amendment: </w:t>
      </w:r>
    </w:p>
    <w:p w14:paraId="2686730F"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 xml:space="preserve">This application seeks an amendment of existing MBS items 73303 and 73304 to enable identification of patients with </w:t>
      </w:r>
      <w:proofErr w:type="spellStart"/>
      <w:r w:rsidRPr="005B57C1">
        <w:rPr>
          <w:rFonts w:ascii="Segoe UI" w:eastAsia="Segoe UI" w:hAnsi="Segoe UI" w:cs="Segoe UI"/>
          <w:color w:val="000000"/>
        </w:rPr>
        <w:t>mCSPC</w:t>
      </w:r>
      <w:proofErr w:type="spellEnd"/>
      <w:r w:rsidRPr="005B57C1">
        <w:rPr>
          <w:rFonts w:ascii="Segoe UI" w:eastAsia="Segoe UI" w:hAnsi="Segoe UI" w:cs="Segoe UI"/>
          <w:color w:val="000000"/>
        </w:rPr>
        <w:t xml:space="preserve"> who harbour alterations in homologous recombination repair (HRR) genes and may be eligible for a relevant treatment under the PBS.</w:t>
      </w:r>
      <w:r w:rsidRPr="005B57C1">
        <w:rPr>
          <w:rFonts w:ascii="Segoe UI" w:eastAsia="Segoe UI" w:hAnsi="Segoe UI" w:cs="Segoe UI"/>
          <w:color w:val="000000"/>
        </w:rPr>
        <w:br/>
        <w:t xml:space="preserve">The testing platform and methodology are established and have previously been accepted by MSAC. HRR gene alterations, including BRCA1 and BRCA2, are detected using next-generation sequencing (NGS) multi-gene panels already in routine use in NATA-accredited Australian laboratories. MSAC has previously accepted this testing approach in prostate cancer: in Application 1618 (olaparib in metastatic castration-resistant prostate cancer [mCRPC]), MSAC supported MBS listing of NGS testing for BRCA1/2 variants and accepted that high analytical concordance had been demonstrated between the </w:t>
      </w:r>
      <w:proofErr w:type="spellStart"/>
      <w:r w:rsidRPr="005B57C1">
        <w:rPr>
          <w:rFonts w:ascii="Segoe UI" w:eastAsia="Segoe UI" w:hAnsi="Segoe UI" w:cs="Segoe UI"/>
          <w:color w:val="000000"/>
        </w:rPr>
        <w:t>FoundationOne®CDx</w:t>
      </w:r>
      <w:proofErr w:type="spellEnd"/>
      <w:r w:rsidRPr="005B57C1">
        <w:rPr>
          <w:rFonts w:ascii="Segoe UI" w:eastAsia="Segoe UI" w:hAnsi="Segoe UI" w:cs="Segoe UI"/>
          <w:color w:val="000000"/>
        </w:rPr>
        <w:t xml:space="preserve"> assay used in the pivotal trial and locally validated HRR panel assays. The specimen types, sequencing methodology, bioinformatic analysis, interpretation and reporting infrastructure are therefore unchanged from the previously evaluated service.</w:t>
      </w:r>
      <w:r w:rsidRPr="005B57C1">
        <w:rPr>
          <w:rFonts w:ascii="Segoe UI" w:eastAsia="Segoe UI" w:hAnsi="Segoe UI" w:cs="Segoe UI"/>
          <w:color w:val="000000"/>
        </w:rPr>
        <w:br/>
        <w:t>The concept of HRR gene testing beyond BRCA1/2 in prostate cancer is not novel to MSAC. The Ratified PICO for Application 1618 originally encompassed detection of pathogenic BRCA1/2 or ATM variants. The final MBS items were ultimately confined to BRCA1/2, reflecting the absence, at that time, of evidence that patients with ATM alterations derived clinical benefit from PARP inhibition. This application is distinguished by prospective, indication-specific evidence from the Phase III TALAPRO-3 study. Patients in TALAPRO-3 were prospectively identified using molecular testing and were required to harbour alterations in one of 12 pre-specified HRR genes. The study therefore evaluated a biomarker-defined population and provides the evidentiary basis for the broader HRR gene scope sought through this amendment.</w:t>
      </w:r>
      <w:r w:rsidRPr="005B57C1">
        <w:rPr>
          <w:rFonts w:ascii="Segoe UI" w:eastAsia="Segoe UI" w:hAnsi="Segoe UI" w:cs="Segoe UI"/>
          <w:color w:val="000000"/>
        </w:rPr>
        <w:br/>
        <w:t xml:space="preserve">HRR testing is generally performed once per patient. The amendment is expected to shift testing earlier in the disease pathway — to the </w:t>
      </w:r>
      <w:proofErr w:type="spellStart"/>
      <w:r w:rsidRPr="005B57C1">
        <w:rPr>
          <w:rFonts w:ascii="Segoe UI" w:eastAsia="Segoe UI" w:hAnsi="Segoe UI" w:cs="Segoe UI"/>
          <w:color w:val="000000"/>
        </w:rPr>
        <w:t>mCSPC</w:t>
      </w:r>
      <w:proofErr w:type="spellEnd"/>
      <w:r w:rsidRPr="005B57C1">
        <w:rPr>
          <w:rFonts w:ascii="Segoe UI" w:eastAsia="Segoe UI" w:hAnsi="Segoe UI" w:cs="Segoe UI"/>
          <w:color w:val="000000"/>
        </w:rPr>
        <w:t xml:space="preserve"> setting rather than mCRPC — rather than to introduce a separate additional test for individual patients. The net impact on the number of patients tested and on cost to the MBS is quantified in the utilisation section, taking into account the size of the </w:t>
      </w:r>
      <w:proofErr w:type="spellStart"/>
      <w:r w:rsidRPr="005B57C1">
        <w:rPr>
          <w:rFonts w:ascii="Segoe UI" w:eastAsia="Segoe UI" w:hAnsi="Segoe UI" w:cs="Segoe UI"/>
          <w:color w:val="000000"/>
        </w:rPr>
        <w:t>mCSPC</w:t>
      </w:r>
      <w:proofErr w:type="spellEnd"/>
      <w:r w:rsidRPr="005B57C1">
        <w:rPr>
          <w:rFonts w:ascii="Segoe UI" w:eastAsia="Segoe UI" w:hAnsi="Segoe UI" w:cs="Segoe UI"/>
          <w:color w:val="000000"/>
        </w:rPr>
        <w:t xml:space="preserve"> population and measures to avoid duplicate testing across disease stages.</w:t>
      </w:r>
      <w:r w:rsidRPr="005B57C1">
        <w:rPr>
          <w:rFonts w:ascii="Segoe UI" w:eastAsia="Segoe UI" w:hAnsi="Segoe UI" w:cs="Segoe UI"/>
          <w:color w:val="000000"/>
        </w:rPr>
        <w:br/>
        <w:t>The amendment extends the reportable gene scope from BRCA1/2 to the broader set of clinically relevant HRR genes, consistent with the biomarker-defined population evaluated in the Phase III TALAPRO-3 trial. It does not introduce a new test, testing methodology, laboratory infrastructure requirement or clinical referral pathway.</w:t>
      </w:r>
    </w:p>
    <w:p w14:paraId="0EF8D594" w14:textId="77777777" w:rsidR="00133449" w:rsidRPr="0010048D" w:rsidRDefault="00133449" w:rsidP="00133449">
      <w:pPr>
        <w:pStyle w:val="Heading1"/>
        <w:rPr>
          <w:rFonts w:cs="Segoe UI"/>
        </w:rPr>
      </w:pPr>
      <w:r w:rsidRPr="0010048D">
        <w:rPr>
          <w:rFonts w:cs="Segoe UI"/>
        </w:rPr>
        <w:lastRenderedPageBreak/>
        <w:t>Relevant MBS items</w:t>
      </w:r>
    </w:p>
    <w:p w14:paraId="7B263B0C"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Please select any relevant MBS items.</w:t>
      </w:r>
    </w:p>
    <w:tbl>
      <w:tblPr>
        <w:tblStyle w:val="TableGrid"/>
        <w:tblW w:w="0" w:type="auto"/>
        <w:tblLook w:val="0620" w:firstRow="1" w:lastRow="0" w:firstColumn="0" w:lastColumn="0" w:noHBand="1" w:noVBand="1"/>
      </w:tblPr>
      <w:tblGrid>
        <w:gridCol w:w="4507"/>
        <w:gridCol w:w="4508"/>
      </w:tblGrid>
      <w:tr w:rsidR="00133449" w:rsidRPr="0010048D" w14:paraId="662EA316" w14:textId="77777777" w:rsidTr="0065027C">
        <w:trPr>
          <w:cantSplit/>
          <w:tblHeader/>
        </w:trPr>
        <w:tc>
          <w:tcPr>
            <w:tcW w:w="4507" w:type="dxa"/>
            <w:tcMar>
              <w:top w:w="113" w:type="dxa"/>
              <w:bottom w:w="113" w:type="dxa"/>
            </w:tcMar>
          </w:tcPr>
          <w:p w14:paraId="04B4229D" w14:textId="77777777" w:rsidR="00133449" w:rsidRPr="0010048D" w:rsidRDefault="00133449" w:rsidP="0065027C">
            <w:pPr>
              <w:rPr>
                <w:rFonts w:ascii="Segoe UI" w:hAnsi="Segoe UI" w:cs="Segoe UI"/>
                <w:b/>
              </w:rPr>
            </w:pPr>
            <w:r w:rsidRPr="0010048D">
              <w:rPr>
                <w:rFonts w:ascii="Segoe UI" w:hAnsi="Segoe UI" w:cs="Segoe UI"/>
                <w:b/>
              </w:rPr>
              <w:t>MBS item number</w:t>
            </w:r>
          </w:p>
        </w:tc>
        <w:tc>
          <w:tcPr>
            <w:tcW w:w="4508" w:type="dxa"/>
            <w:tcMar>
              <w:top w:w="113" w:type="dxa"/>
              <w:bottom w:w="113" w:type="dxa"/>
            </w:tcMar>
          </w:tcPr>
          <w:p w14:paraId="0DA0A034" w14:textId="77777777" w:rsidR="00133449" w:rsidRPr="0010048D" w:rsidRDefault="00133449" w:rsidP="0065027C">
            <w:pPr>
              <w:rPr>
                <w:rFonts w:ascii="Segoe UI" w:hAnsi="Segoe UI" w:cs="Segoe UI"/>
                <w:b/>
              </w:rPr>
            </w:pPr>
            <w:r w:rsidRPr="0010048D">
              <w:rPr>
                <w:rFonts w:ascii="Segoe UI" w:hAnsi="Segoe UI" w:cs="Segoe UI"/>
                <w:b/>
              </w:rPr>
              <w:t>Selected reason type</w:t>
            </w:r>
          </w:p>
        </w:tc>
      </w:tr>
      <w:tr w:rsidR="00133449" w14:paraId="00118037" w14:textId="77777777" w:rsidTr="0065027C">
        <w:tblPrEx>
          <w:tblLook w:val="04A0" w:firstRow="1" w:lastRow="0" w:firstColumn="1" w:lastColumn="0" w:noHBand="0" w:noVBand="1"/>
        </w:tblPrEx>
        <w:tc>
          <w:tcPr>
            <w:tcW w:w="4507" w:type="dxa"/>
          </w:tcPr>
          <w:p w14:paraId="263365AD" w14:textId="77777777" w:rsidR="00133449" w:rsidRPr="005B57C1" w:rsidRDefault="00133449" w:rsidP="0065027C">
            <w:pPr>
              <w:rPr>
                <w:rFonts w:ascii="Segoe UI" w:hAnsi="Segoe UI" w:cs="Segoe UI"/>
                <w:bCs/>
              </w:rPr>
            </w:pPr>
            <w:r w:rsidRPr="005B57C1">
              <w:rPr>
                <w:rFonts w:ascii="Segoe UI" w:hAnsi="Segoe UI" w:cs="Segoe UI"/>
                <w:bCs/>
              </w:rPr>
              <w:t>73303</w:t>
            </w:r>
          </w:p>
        </w:tc>
        <w:tc>
          <w:tcPr>
            <w:tcW w:w="4508" w:type="dxa"/>
          </w:tcPr>
          <w:p w14:paraId="1CD059CB" w14:textId="77777777" w:rsidR="00133449" w:rsidRPr="005B57C1" w:rsidRDefault="00133449" w:rsidP="0065027C">
            <w:pPr>
              <w:rPr>
                <w:rFonts w:ascii="Segoe UI" w:hAnsi="Segoe UI" w:cs="Segoe UI"/>
                <w:bCs/>
              </w:rPr>
            </w:pPr>
            <w:r w:rsidRPr="005B57C1">
              <w:rPr>
                <w:rFonts w:ascii="Segoe UI" w:hAnsi="Segoe UI" w:cs="Segoe UI"/>
                <w:bCs/>
              </w:rPr>
              <w:t>Expansion or amendment to existing item</w:t>
            </w:r>
          </w:p>
        </w:tc>
      </w:tr>
      <w:tr w:rsidR="00133449" w14:paraId="300F3DC7" w14:textId="77777777" w:rsidTr="0065027C">
        <w:tblPrEx>
          <w:tblLook w:val="04A0" w:firstRow="1" w:lastRow="0" w:firstColumn="1" w:lastColumn="0" w:noHBand="0" w:noVBand="1"/>
        </w:tblPrEx>
        <w:tc>
          <w:tcPr>
            <w:tcW w:w="4507" w:type="dxa"/>
          </w:tcPr>
          <w:p w14:paraId="604408CB" w14:textId="77777777" w:rsidR="00133449" w:rsidRPr="005B57C1" w:rsidRDefault="00133449" w:rsidP="0065027C">
            <w:pPr>
              <w:rPr>
                <w:rFonts w:ascii="Segoe UI" w:hAnsi="Segoe UI" w:cs="Segoe UI"/>
                <w:bCs/>
              </w:rPr>
            </w:pPr>
            <w:r w:rsidRPr="005B57C1">
              <w:rPr>
                <w:rFonts w:ascii="Segoe UI" w:hAnsi="Segoe UI" w:cs="Segoe UI"/>
                <w:bCs/>
              </w:rPr>
              <w:t>73304</w:t>
            </w:r>
          </w:p>
        </w:tc>
        <w:tc>
          <w:tcPr>
            <w:tcW w:w="4508" w:type="dxa"/>
          </w:tcPr>
          <w:p w14:paraId="2D123F32" w14:textId="77777777" w:rsidR="00133449" w:rsidRPr="005B57C1" w:rsidRDefault="00133449" w:rsidP="0065027C">
            <w:pPr>
              <w:rPr>
                <w:rFonts w:ascii="Segoe UI" w:hAnsi="Segoe UI" w:cs="Segoe UI"/>
                <w:bCs/>
              </w:rPr>
            </w:pPr>
            <w:r w:rsidRPr="005B57C1">
              <w:rPr>
                <w:rFonts w:ascii="Segoe UI" w:hAnsi="Segoe UI" w:cs="Segoe UI"/>
                <w:bCs/>
              </w:rPr>
              <w:t>Expansion or amendment to existing item</w:t>
            </w:r>
          </w:p>
        </w:tc>
      </w:tr>
    </w:tbl>
    <w:p w14:paraId="3A706BB0" w14:textId="77777777" w:rsidR="00133449" w:rsidRPr="0010048D" w:rsidRDefault="00133449" w:rsidP="00133449">
      <w:pPr>
        <w:spacing w:before="360"/>
        <w:rPr>
          <w:rFonts w:ascii="Segoe UI" w:hAnsi="Segoe UI" w:cs="Segoe UI"/>
        </w:rPr>
      </w:pPr>
      <w:r w:rsidRPr="0010048D">
        <w:rPr>
          <w:rFonts w:ascii="Segoe UI" w:eastAsia="Segoe UI" w:hAnsi="Segoe UI" w:cs="Segoe UI"/>
          <w:b/>
          <w:color w:val="000000"/>
        </w:rPr>
        <w:t>What is the type of service or health technology?</w:t>
      </w:r>
    </w:p>
    <w:p w14:paraId="05E01124"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Investigative</w:t>
      </w:r>
    </w:p>
    <w:p w14:paraId="7FFE36CA" w14:textId="189EEC91" w:rsidR="00133449" w:rsidRPr="0010048D" w:rsidRDefault="00133449" w:rsidP="00133449">
      <w:pPr>
        <w:rPr>
          <w:rFonts w:ascii="Segoe UI" w:hAnsi="Segoe UI" w:cs="Segoe UI"/>
        </w:rPr>
      </w:pPr>
      <w:r w:rsidRPr="0010048D">
        <w:rPr>
          <w:rFonts w:ascii="Segoe UI" w:eastAsia="Segoe UI" w:hAnsi="Segoe UI" w:cs="Segoe UI"/>
          <w:b/>
          <w:color w:val="000000"/>
        </w:rPr>
        <w:t>Please select the type of investigative health technology</w:t>
      </w:r>
      <w:r w:rsidR="00493034">
        <w:rPr>
          <w:rFonts w:ascii="Segoe UI" w:eastAsia="Segoe UI" w:hAnsi="Segoe UI" w:cs="Segoe UI"/>
          <w:b/>
          <w:color w:val="000000"/>
        </w:rPr>
        <w:t>:</w:t>
      </w:r>
    </w:p>
    <w:p w14:paraId="5688E3BC"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Molecular diagnostic tests</w:t>
      </w:r>
    </w:p>
    <w:p w14:paraId="5C9582FB" w14:textId="23E62416"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 xml:space="preserve">Please select the type of molecular diagnostics health technology: </w:t>
      </w:r>
    </w:p>
    <w:p w14:paraId="6ECEAF4C"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Single gene assay</w:t>
      </w:r>
    </w:p>
    <w:p w14:paraId="16E68CEB" w14:textId="77777777" w:rsidR="00133449" w:rsidRPr="0010048D" w:rsidRDefault="00133449" w:rsidP="00133449">
      <w:pPr>
        <w:pStyle w:val="Heading1"/>
        <w:rPr>
          <w:rFonts w:cs="Segoe UI"/>
        </w:rPr>
      </w:pPr>
      <w:r w:rsidRPr="0010048D">
        <w:rPr>
          <w:rFonts w:cs="Segoe UI"/>
        </w:rPr>
        <w:t>PICO sets</w:t>
      </w:r>
    </w:p>
    <w:p w14:paraId="25B8C5A6" w14:textId="77777777" w:rsidR="00133449" w:rsidRPr="0010048D" w:rsidRDefault="00133449" w:rsidP="00133449">
      <w:pPr>
        <w:rPr>
          <w:rFonts w:ascii="Segoe UI" w:hAnsi="Segoe UI" w:cs="Segoe UI"/>
          <w:b/>
          <w:bCs/>
        </w:rPr>
      </w:pPr>
      <w:r w:rsidRPr="0010048D">
        <w:rPr>
          <w:rFonts w:ascii="Segoe UI" w:hAnsi="Segoe UI" w:cs="Segoe UI"/>
          <w:b/>
          <w:bCs/>
        </w:rPr>
        <w:t>Application PICO sets:</w:t>
      </w:r>
    </w:p>
    <w:tbl>
      <w:tblPr>
        <w:tblStyle w:val="TableGrid"/>
        <w:tblW w:w="0" w:type="auto"/>
        <w:tblLook w:val="0620" w:firstRow="1" w:lastRow="0" w:firstColumn="0" w:lastColumn="0" w:noHBand="1" w:noVBand="1"/>
      </w:tblPr>
      <w:tblGrid>
        <w:gridCol w:w="8926"/>
      </w:tblGrid>
      <w:tr w:rsidR="00133449" w:rsidRPr="0010048D" w14:paraId="13374401" w14:textId="77777777" w:rsidTr="00493034">
        <w:trPr>
          <w:tblHeader/>
        </w:trPr>
        <w:tc>
          <w:tcPr>
            <w:tcW w:w="8926"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t>PICO set name</w:t>
            </w:r>
          </w:p>
        </w:tc>
      </w:tr>
      <w:tr w:rsidR="00133449" w:rsidRPr="0010048D" w14:paraId="79C27EF3" w14:textId="77777777" w:rsidTr="00493034">
        <w:tc>
          <w:tcPr>
            <w:tcW w:w="8926" w:type="dxa"/>
            <w:tcMar>
              <w:top w:w="113" w:type="dxa"/>
              <w:bottom w:w="113" w:type="dxa"/>
            </w:tcMar>
          </w:tcPr>
          <w:p w14:paraId="4A38A298" w14:textId="77777777" w:rsidR="00133449" w:rsidRPr="0010048D" w:rsidRDefault="00133449" w:rsidP="0065027C">
            <w:pPr>
              <w:rPr>
                <w:rFonts w:ascii="Segoe UI" w:hAnsi="Segoe UI" w:cs="Segoe UI"/>
                <w:bCs/>
              </w:rPr>
            </w:pPr>
            <w:r>
              <w:rPr>
                <w:rFonts w:ascii="Segoe UI" w:hAnsi="Segoe UI" w:cs="Segoe UI"/>
                <w:bCs/>
              </w:rPr>
              <w:t>Adult patients with metastatic castration-sensitive prostate cancer (</w:t>
            </w:r>
            <w:proofErr w:type="spellStart"/>
            <w:r>
              <w:rPr>
                <w:rFonts w:ascii="Segoe UI" w:hAnsi="Segoe UI" w:cs="Segoe UI"/>
                <w:bCs/>
              </w:rPr>
              <w:t>mCSPC</w:t>
            </w:r>
            <w:proofErr w:type="spellEnd"/>
            <w:r>
              <w:rPr>
                <w:rFonts w:ascii="Segoe UI" w:hAnsi="Segoe UI" w:cs="Segoe UI"/>
                <w:bCs/>
              </w:rPr>
              <w:t>) requiring homologous recombination repair (HRR) gene alteration testing to determine eligibility for a relevant treatment under the Pharmaceutical Benefits Scheme (PBS). Intervention: NGS-based HRR gene panel testing</w:t>
            </w:r>
          </w:p>
        </w:tc>
      </w:tr>
    </w:tbl>
    <w:p w14:paraId="358D3966" w14:textId="77777777" w:rsidR="00133449" w:rsidRDefault="00133449" w:rsidP="00133449">
      <w:pPr>
        <w:rPr>
          <w:rFonts w:ascii="Segoe UI" w:hAnsi="Segoe UI" w:cs="Segoe UI"/>
        </w:rPr>
      </w:pPr>
    </w:p>
    <w:p w14:paraId="7F4B6E7B" w14:textId="05B86EAC" w:rsidR="00493034" w:rsidRPr="00493034" w:rsidRDefault="00493034" w:rsidP="00493034">
      <w:pPr>
        <w:rPr>
          <w:rFonts w:ascii="Segoe UI" w:hAnsi="Segoe UI" w:cs="Segoe UI"/>
        </w:rPr>
      </w:pPr>
      <w:r w:rsidRPr="00493034">
        <w:rPr>
          <w:rFonts w:ascii="Segoe UI" w:hAnsi="Segoe UI" w:cs="Segoe UI"/>
          <w:b/>
          <w:bCs/>
        </w:rPr>
        <w:t>State the purpose(s) of the health technology for this PICO set and provide a rationale:</w:t>
      </w:r>
      <w:r w:rsidRPr="00493034">
        <w:rPr>
          <w:rFonts w:ascii="Segoe UI" w:hAnsi="Segoe UI" w:cs="Segoe UI"/>
        </w:rPr>
        <w:t xml:space="preserve"> </w:t>
      </w:r>
    </w:p>
    <w:p w14:paraId="6075E540" w14:textId="195E9F1E" w:rsidR="00493034" w:rsidRPr="00493034" w:rsidRDefault="00493034" w:rsidP="00493034">
      <w:pPr>
        <w:rPr>
          <w:rFonts w:ascii="Segoe UI" w:eastAsia="Segoe UI" w:hAnsi="Segoe UI" w:cs="Segoe UI"/>
          <w:color w:val="000000"/>
          <w:sz w:val="22"/>
          <w:szCs w:val="22"/>
        </w:rPr>
      </w:pPr>
      <w:r w:rsidRPr="00493034">
        <w:rPr>
          <w:rFonts w:ascii="Segoe UI" w:hAnsi="Segoe UI" w:cs="Segoe UI"/>
          <w:b/>
          <w:bCs/>
        </w:rPr>
        <w:t xml:space="preserve">Purpose category: </w:t>
      </w:r>
      <w:r w:rsidR="00C632EE">
        <w:rPr>
          <w:rFonts w:ascii="Segoe UI" w:hAnsi="Segoe UI" w:cs="Segoe UI"/>
          <w:b/>
          <w:bCs/>
        </w:rPr>
        <w:br/>
      </w:r>
      <w:r w:rsidRPr="00493034">
        <w:rPr>
          <w:rFonts w:ascii="Segoe UI" w:eastAsia="Segoe UI" w:hAnsi="Segoe UI" w:cs="Segoe UI"/>
          <w:color w:val="000000"/>
          <w:sz w:val="22"/>
          <w:szCs w:val="22"/>
        </w:rPr>
        <w:t>Predictive</w:t>
      </w:r>
    </w:p>
    <w:p w14:paraId="6879BFB5" w14:textId="66460C1B" w:rsidR="00493034" w:rsidRPr="00493034" w:rsidRDefault="00493034" w:rsidP="00493034">
      <w:pPr>
        <w:rPr>
          <w:rFonts w:ascii="Segoe UI" w:eastAsia="Segoe UI" w:hAnsi="Segoe UI" w:cs="Segoe UI"/>
          <w:color w:val="000000"/>
          <w:sz w:val="22"/>
          <w:szCs w:val="22"/>
        </w:rPr>
      </w:pPr>
      <w:r w:rsidRPr="00493034">
        <w:rPr>
          <w:rFonts w:ascii="Segoe UI" w:hAnsi="Segoe UI" w:cs="Segoe UI"/>
          <w:b/>
          <w:bCs/>
        </w:rPr>
        <w:t xml:space="preserve">Purpose description: </w:t>
      </w:r>
      <w:r w:rsidR="00C632EE">
        <w:rPr>
          <w:rFonts w:ascii="Segoe UI" w:hAnsi="Segoe UI" w:cs="Segoe UI"/>
          <w:b/>
          <w:bCs/>
        </w:rPr>
        <w:br/>
      </w:r>
      <w:r w:rsidRPr="00493034">
        <w:rPr>
          <w:rFonts w:ascii="Segoe UI" w:eastAsia="Segoe UI" w:hAnsi="Segoe UI" w:cs="Segoe UI"/>
          <w:color w:val="000000"/>
          <w:sz w:val="22"/>
          <w:szCs w:val="22"/>
        </w:rPr>
        <w:t>To provide predictive information to support selection of a specific therapy or intervention</w:t>
      </w:r>
    </w:p>
    <w:p w14:paraId="41EBF2BD" w14:textId="77777777" w:rsidR="00493034" w:rsidRDefault="00493034">
      <w:pPr>
        <w:rPr>
          <w:rFonts w:ascii="Segoe UI" w:hAnsi="Segoe UI" w:cs="Segoe UI"/>
          <w:b/>
          <w:bCs/>
        </w:rPr>
      </w:pPr>
      <w:r>
        <w:rPr>
          <w:rFonts w:ascii="Segoe UI" w:hAnsi="Segoe UI" w:cs="Segoe UI"/>
          <w:b/>
          <w:bCs/>
        </w:rPr>
        <w:br w:type="page"/>
      </w:r>
    </w:p>
    <w:p w14:paraId="3C88EF32" w14:textId="4199BCC7" w:rsidR="00493034" w:rsidRPr="00493034" w:rsidRDefault="00493034" w:rsidP="00493034">
      <w:pPr>
        <w:rPr>
          <w:rFonts w:ascii="Segoe UI" w:hAnsi="Segoe UI" w:cs="Segoe UI"/>
        </w:rPr>
      </w:pPr>
      <w:r w:rsidRPr="00493034">
        <w:rPr>
          <w:rFonts w:ascii="Segoe UI" w:hAnsi="Segoe UI" w:cs="Segoe UI"/>
          <w:b/>
          <w:bCs/>
        </w:rPr>
        <w:lastRenderedPageBreak/>
        <w:t>What additional purpose(s) could the health technology be used for, other than the purposes listed above for this PICO set?</w:t>
      </w:r>
      <w:r w:rsidRPr="00493034">
        <w:rPr>
          <w:rFonts w:ascii="Segoe UI" w:hAnsi="Segoe UI" w:cs="Segoe UI"/>
        </w:rPr>
        <w:t xml:space="preserve"> </w:t>
      </w:r>
    </w:p>
    <w:p w14:paraId="6867997D" w14:textId="5D278352" w:rsidR="00493034" w:rsidRPr="00493034" w:rsidRDefault="00493034" w:rsidP="00493034">
      <w:pPr>
        <w:rPr>
          <w:rFonts w:ascii="Segoe UI" w:eastAsia="Segoe UI" w:hAnsi="Segoe UI" w:cs="Segoe UI"/>
          <w:color w:val="000000"/>
        </w:rPr>
      </w:pPr>
      <w:r w:rsidRPr="00493034">
        <w:rPr>
          <w:rFonts w:ascii="Segoe UI" w:hAnsi="Segoe UI" w:cs="Segoe UI"/>
          <w:b/>
          <w:bCs/>
        </w:rPr>
        <w:t xml:space="preserve">Purpose category: </w:t>
      </w:r>
      <w:r w:rsidR="00C632EE">
        <w:rPr>
          <w:rFonts w:ascii="Segoe UI" w:hAnsi="Segoe UI" w:cs="Segoe UI"/>
          <w:b/>
          <w:bCs/>
        </w:rPr>
        <w:br/>
      </w:r>
      <w:r w:rsidRPr="00493034">
        <w:rPr>
          <w:rFonts w:ascii="Segoe UI" w:eastAsia="Segoe UI" w:hAnsi="Segoe UI" w:cs="Segoe UI"/>
          <w:color w:val="000000"/>
        </w:rPr>
        <w:t>Other</w:t>
      </w:r>
    </w:p>
    <w:p w14:paraId="697835DC" w14:textId="77777777" w:rsidR="00493034" w:rsidRPr="00493034" w:rsidRDefault="00493034" w:rsidP="00493034">
      <w:pPr>
        <w:rPr>
          <w:rFonts w:ascii="Segoe UI" w:hAnsi="Segoe UI" w:cs="Segoe UI"/>
          <w:b/>
          <w:bCs/>
        </w:rPr>
      </w:pPr>
      <w:r w:rsidRPr="00493034">
        <w:rPr>
          <w:rFonts w:ascii="Segoe UI" w:hAnsi="Segoe UI" w:cs="Segoe UI"/>
          <w:b/>
          <w:bCs/>
        </w:rPr>
        <w:t xml:space="preserve">Purpose description: </w:t>
      </w:r>
    </w:p>
    <w:p w14:paraId="00472107" w14:textId="3E4360FC" w:rsidR="00493034" w:rsidRDefault="00493034" w:rsidP="00C632EE">
      <w:pPr>
        <w:rPr>
          <w:rFonts w:ascii="Segoe UI" w:eastAsia="Segoe UI" w:hAnsi="Segoe UI" w:cs="Segoe UI"/>
          <w:color w:val="000000"/>
          <w:sz w:val="22"/>
          <w:szCs w:val="22"/>
        </w:rPr>
      </w:pPr>
      <w:r w:rsidRPr="00493034">
        <w:rPr>
          <w:rFonts w:ascii="Segoe UI" w:hAnsi="Segoe UI" w:cs="Segoe UI"/>
          <w:b/>
          <w:bCs/>
        </w:rPr>
        <w:t xml:space="preserve">Rationale: </w:t>
      </w:r>
      <w:r w:rsidR="00C632EE">
        <w:rPr>
          <w:rFonts w:ascii="Segoe UI" w:hAnsi="Segoe UI" w:cs="Segoe UI"/>
          <w:b/>
          <w:bCs/>
        </w:rPr>
        <w:br/>
      </w:r>
      <w:r w:rsidRPr="00493034">
        <w:rPr>
          <w:rFonts w:ascii="Segoe UI" w:eastAsia="Segoe UI" w:hAnsi="Segoe UI" w:cs="Segoe UI"/>
          <w:color w:val="000000"/>
          <w:sz w:val="22"/>
          <w:szCs w:val="22"/>
        </w:rPr>
        <w:t>Identification of HRR gene alteration status to determine eligibility for biomarker-directed treatment under the PBS.</w:t>
      </w:r>
      <w:r w:rsidRPr="00493034">
        <w:rPr>
          <w:rFonts w:ascii="Segoe UI" w:eastAsia="Segoe UI" w:hAnsi="Segoe UI" w:cs="Segoe UI"/>
          <w:color w:val="000000"/>
          <w:sz w:val="22"/>
          <w:szCs w:val="22"/>
        </w:rPr>
        <w:br/>
        <w:t>This purpose is addressed within the PICO set through the proposed intervention, proposed MBS item descriptors, and outcomes relating to change in clinical management and health outcomes. It has not been included as a separate standalone purpose because identification of HRR gene alteration status is inherent to the proposed testing intervention and its clinical value is realised through treatment selection and eligibility for PBS-funded biomarker-directed therapy</w:t>
      </w:r>
    </w:p>
    <w:p w14:paraId="719DBBE2" w14:textId="77777777" w:rsidR="00493034" w:rsidRPr="00493034" w:rsidRDefault="00493034" w:rsidP="00C632EE">
      <w:pPr>
        <w:pStyle w:val="Heading1"/>
      </w:pPr>
      <w:r w:rsidRPr="00493034">
        <w:t>Population</w:t>
      </w:r>
    </w:p>
    <w:p w14:paraId="4B3DAE5C" w14:textId="77777777" w:rsidR="00493034" w:rsidRPr="00493034" w:rsidRDefault="00493034" w:rsidP="00493034">
      <w:pPr>
        <w:rPr>
          <w:rFonts w:ascii="Segoe UI" w:hAnsi="Segoe UI" w:cs="Segoe UI"/>
          <w:b/>
          <w:bCs/>
        </w:rPr>
      </w:pPr>
      <w:r w:rsidRPr="00493034">
        <w:rPr>
          <w:rFonts w:ascii="Segoe UI" w:hAnsi="Segoe UI" w:cs="Segoe UI"/>
          <w:b/>
          <w:bCs/>
        </w:rPr>
        <w:t>Describe the population in which the proposed health technology is intended to be used:</w:t>
      </w:r>
    </w:p>
    <w:p w14:paraId="1856D092" w14:textId="77777777" w:rsidR="00493034" w:rsidRPr="00493034" w:rsidRDefault="00493034" w:rsidP="00493034">
      <w:pPr>
        <w:rPr>
          <w:rFonts w:ascii="Segoe UI" w:hAnsi="Segoe UI" w:cs="Segoe UI"/>
        </w:rPr>
      </w:pPr>
      <w:r w:rsidRPr="00493034">
        <w:rPr>
          <w:rFonts w:ascii="Segoe UI" w:eastAsia="Segoe UI" w:hAnsi="Segoe UI" w:cs="Segoe UI"/>
          <w:color w:val="000000"/>
        </w:rPr>
        <w:t>Adult patients with metastatic castration-sensitive prostate cancer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whose tumours harbour homologous recombination repair (HRR) gene alterations and who may be eligible for a relevant treatment under the Pharmaceutical Benefits Scheme (PBS).</w:t>
      </w:r>
    </w:p>
    <w:p w14:paraId="558C4003" w14:textId="77777777" w:rsidR="00493034" w:rsidRPr="00493034" w:rsidRDefault="00493034" w:rsidP="00493034">
      <w:pPr>
        <w:rPr>
          <w:rFonts w:ascii="Segoe UI" w:hAnsi="Segoe UI" w:cs="Segoe UI"/>
          <w:b/>
          <w:bCs/>
        </w:rPr>
      </w:pPr>
      <w:r w:rsidRPr="00493034">
        <w:rPr>
          <w:rFonts w:ascii="Segoe UI" w:hAnsi="Segoe UI" w:cs="Segoe UI"/>
          <w:b/>
          <w:bCs/>
        </w:rPr>
        <w:t xml:space="preserve">Select the most applicable </w:t>
      </w:r>
      <w:proofErr w:type="gramStart"/>
      <w:r w:rsidRPr="00493034">
        <w:rPr>
          <w:rFonts w:ascii="Segoe UI" w:hAnsi="Segoe UI" w:cs="Segoe UI"/>
          <w:b/>
          <w:bCs/>
        </w:rPr>
        <w:t>Medical</w:t>
      </w:r>
      <w:proofErr w:type="gramEnd"/>
      <w:r w:rsidRPr="00493034">
        <w:rPr>
          <w:rFonts w:ascii="Segoe UI" w:hAnsi="Segoe UI" w:cs="Segoe UI"/>
          <w:b/>
          <w:bCs/>
        </w:rPr>
        <w:t xml:space="preserve"> condition terminology (SNOMED CT):</w:t>
      </w:r>
    </w:p>
    <w:p w14:paraId="00809E2B"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Hormone sensitive prostate cancer</w:t>
      </w:r>
    </w:p>
    <w:p w14:paraId="61407A63" w14:textId="77777777" w:rsidR="00493034" w:rsidRPr="00493034" w:rsidRDefault="00493034" w:rsidP="00C632EE">
      <w:pPr>
        <w:pStyle w:val="Heading1"/>
      </w:pPr>
      <w:r w:rsidRPr="00493034">
        <w:t>Intervention</w:t>
      </w:r>
    </w:p>
    <w:p w14:paraId="01A40C99" w14:textId="77777777" w:rsidR="00493034" w:rsidRPr="00493034" w:rsidRDefault="00493034" w:rsidP="00493034">
      <w:pPr>
        <w:rPr>
          <w:rFonts w:ascii="Segoe UI" w:hAnsi="Segoe UI" w:cs="Segoe UI"/>
          <w:b/>
          <w:bCs/>
        </w:rPr>
      </w:pPr>
      <w:r w:rsidRPr="00493034">
        <w:rPr>
          <w:rFonts w:ascii="Segoe UI" w:hAnsi="Segoe UI" w:cs="Segoe UI"/>
          <w:b/>
          <w:bCs/>
        </w:rPr>
        <w:t>Name of the proposed health technology:</w:t>
      </w:r>
    </w:p>
    <w:p w14:paraId="0D84065A"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Existing BRCA testing service MBS items 73303 &amp; 73304 with the descriptors amended to (</w:t>
      </w:r>
      <w:proofErr w:type="spellStart"/>
      <w:r w:rsidRPr="00493034">
        <w:rPr>
          <w:rFonts w:ascii="Segoe UI" w:eastAsia="Segoe UI" w:hAnsi="Segoe UI" w:cs="Segoe UI"/>
          <w:color w:val="000000"/>
        </w:rPr>
        <w:t>i</w:t>
      </w:r>
      <w:proofErr w:type="spellEnd"/>
      <w:r w:rsidRPr="00493034">
        <w:rPr>
          <w:rFonts w:ascii="Segoe UI" w:eastAsia="Segoe UI" w:hAnsi="Segoe UI" w:cs="Segoe UI"/>
          <w:color w:val="000000"/>
        </w:rPr>
        <w:t xml:space="preserve">) extend the eligible population from mCRPC to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(ii) expand the reportable gene scope from BRCA1/2 to a 12‑gene HRR panel, using established NGS technology. The co‑dependent therapy for which eligibility is determined is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with ENZA. consistent with TALAPRO-3 study.</w:t>
      </w:r>
    </w:p>
    <w:p w14:paraId="3018BA86" w14:textId="77777777" w:rsidR="00C632EE" w:rsidRDefault="00C632EE">
      <w:pPr>
        <w:rPr>
          <w:rFonts w:ascii="Segoe UI" w:eastAsia="Segoe UI" w:hAnsi="Segoe UI" w:cs="Segoe UI"/>
          <w:b/>
          <w:color w:val="000000" w:themeColor="text1"/>
          <w:kern w:val="0"/>
          <w:sz w:val="28"/>
          <w:szCs w:val="20"/>
          <w14:ligatures w14:val="none"/>
        </w:rPr>
      </w:pPr>
      <w:r>
        <w:rPr>
          <w:rFonts w:ascii="Segoe UI" w:eastAsia="Segoe UI" w:hAnsi="Segoe UI" w:cs="Segoe UI"/>
          <w:b/>
          <w:color w:val="000000" w:themeColor="text1"/>
          <w:kern w:val="0"/>
          <w:sz w:val="28"/>
          <w:szCs w:val="20"/>
          <w14:ligatures w14:val="none"/>
        </w:rPr>
        <w:br w:type="page"/>
      </w:r>
    </w:p>
    <w:p w14:paraId="1CF46A17" w14:textId="2CF43818" w:rsidR="00493034" w:rsidRPr="00493034" w:rsidRDefault="00493034" w:rsidP="00C632EE">
      <w:pPr>
        <w:pStyle w:val="Heading1"/>
      </w:pPr>
      <w:r w:rsidRPr="00493034">
        <w:lastRenderedPageBreak/>
        <w:t>Comparator</w:t>
      </w:r>
    </w:p>
    <w:p w14:paraId="6796A698" w14:textId="77777777" w:rsidR="00493034" w:rsidRPr="00493034" w:rsidRDefault="00493034" w:rsidP="00493034">
      <w:pPr>
        <w:rPr>
          <w:rFonts w:ascii="Segoe UI" w:hAnsi="Segoe UI" w:cs="Segoe UI"/>
          <w:b/>
          <w:bCs/>
        </w:rPr>
      </w:pPr>
      <w:r w:rsidRPr="00493034">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1981FA30"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 xml:space="preserve">No HRR gene alteration testing in the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setting. Patients with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are currently managed using standard treatment approaches,</w:t>
      </w:r>
    </w:p>
    <w:p w14:paraId="2A67C0E1" w14:textId="77777777" w:rsidR="00493034" w:rsidRPr="00493034" w:rsidRDefault="00493034" w:rsidP="00C632EE">
      <w:pPr>
        <w:pStyle w:val="Heading1"/>
      </w:pPr>
      <w:r w:rsidRPr="00493034">
        <w:t>Outcomes</w:t>
      </w:r>
    </w:p>
    <w:p w14:paraId="695F4F7A" w14:textId="77777777" w:rsidR="00493034" w:rsidRPr="00493034" w:rsidRDefault="00493034" w:rsidP="00493034">
      <w:pPr>
        <w:rPr>
          <w:rFonts w:ascii="Segoe UI" w:hAnsi="Segoe UI" w:cs="Segoe UI"/>
          <w:b/>
          <w:bCs/>
        </w:rPr>
      </w:pPr>
      <w:r w:rsidRPr="00493034">
        <w:rPr>
          <w:rFonts w:ascii="Segoe UI" w:hAnsi="Segoe UI" w:cs="Segoe UI"/>
          <w:b/>
          <w:bCs/>
        </w:rPr>
        <w:t xml:space="preserve">Outcome description – please include information about whether a change in patient management, or prognosis, occurs </w:t>
      </w:r>
      <w:proofErr w:type="gramStart"/>
      <w:r w:rsidRPr="00493034">
        <w:rPr>
          <w:rFonts w:ascii="Segoe UI" w:hAnsi="Segoe UI" w:cs="Segoe UI"/>
          <w:b/>
          <w:bCs/>
        </w:rPr>
        <w:t>as a result of</w:t>
      </w:r>
      <w:proofErr w:type="gramEnd"/>
      <w:r w:rsidRPr="00493034">
        <w:rPr>
          <w:rFonts w:ascii="Segoe UI" w:hAnsi="Segoe UI" w:cs="Segoe UI"/>
          <w:b/>
          <w:bCs/>
        </w:rPr>
        <w:t xml:space="preserve"> the test information:</w:t>
      </w:r>
    </w:p>
    <w:p w14:paraId="0878F010"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Test performance: The NGS multi-gene HRR panel platform is established and was accepted by MSAC for BRCA1/2 detection in prostate cancer (Application 1618 and 1765), including analytical concordance between the trial assay and locally validated panels. The assays used in TALAPRO-3 incorporated a 12-gene HRR panel and utilised established NGS methodology previously considered by MSAC. This application extends the reportable scope from BRCA1/2 to the broader HRR12 panel using the same underlying testing approach.</w:t>
      </w:r>
      <w:r w:rsidRPr="00493034">
        <w:rPr>
          <w:rFonts w:ascii="Segoe UI" w:eastAsia="Segoe UI" w:hAnsi="Segoe UI" w:cs="Segoe UI"/>
          <w:color w:val="000000"/>
        </w:rPr>
        <w:br/>
        <w:t xml:space="preserve">Predictive validity: Evidence that HRR gene alteration status identifies a biomarker-defined population for whom treatment benefit with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in combination with enzalutamide has been demonstrated, supported by prospective patient selection using a 12-gene HRR panel in the Phase III TALAPRO-3 study. Supportive evidence regarding biomarker-treatment interaction is available from TALAPRO-2 in mCRPC.</w:t>
      </w:r>
      <w:r w:rsidRPr="00493034">
        <w:rPr>
          <w:rFonts w:ascii="Segoe UI" w:eastAsia="Segoe UI" w:hAnsi="Segoe UI" w:cs="Segoe UI"/>
          <w:color w:val="000000"/>
        </w:rPr>
        <w:br/>
        <w:t xml:space="preserve">Clinical utility </w:t>
      </w:r>
      <w:proofErr w:type="spellStart"/>
      <w:r w:rsidRPr="00493034">
        <w:rPr>
          <w:rFonts w:ascii="Segoe UI" w:eastAsia="Segoe UI" w:hAnsi="Segoe UI" w:cs="Segoe UI"/>
          <w:color w:val="000000"/>
        </w:rPr>
        <w:t>rPFS</w:t>
      </w:r>
      <w:proofErr w:type="spellEnd"/>
      <w:r w:rsidRPr="00493034">
        <w:rPr>
          <w:rFonts w:ascii="Segoe UI" w:eastAsia="Segoe UI" w:hAnsi="Segoe UI" w:cs="Segoe UI"/>
          <w:color w:val="000000"/>
        </w:rPr>
        <w:t xml:space="preserve"> (primary) and OS (key secondary) in patients with HRR-altered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identified using the proposed testing strategy, supported by ORR, PSA response, time to symptomatic skeletal event, safety and quality of life. Consistency of treatment effect across the HRR12 population, including exploratory by-gene subgroup analyses, will be examined as supportive evidence.</w:t>
      </w:r>
      <w:r w:rsidRPr="00493034">
        <w:rPr>
          <w:rFonts w:ascii="Segoe UI" w:eastAsia="Segoe UI" w:hAnsi="Segoe UI" w:cs="Segoe UI"/>
          <w:color w:val="000000"/>
        </w:rPr>
        <w:br/>
        <w:t>Change in management: proportion of patients identified as having HRR gene alterations and therefore eligible for biomarker-directed treatment, resulting in treatment selection informed by HRR status rather than standard management alone</w:t>
      </w:r>
    </w:p>
    <w:p w14:paraId="4DCC85FE" w14:textId="77777777" w:rsidR="00C632EE" w:rsidRDefault="00C632EE">
      <w:pPr>
        <w:rPr>
          <w:rFonts w:ascii="Segoe UI" w:eastAsia="Segoe UI" w:hAnsi="Segoe UI" w:cs="Times New Roman"/>
          <w:b/>
          <w:color w:val="000000" w:themeColor="text1"/>
          <w:kern w:val="0"/>
          <w:sz w:val="28"/>
          <w:szCs w:val="20"/>
          <w14:ligatures w14:val="none"/>
        </w:rPr>
      </w:pPr>
      <w:r>
        <w:rPr>
          <w:rFonts w:ascii="Segoe UI" w:eastAsia="Segoe UI" w:hAnsi="Segoe UI" w:cs="Times New Roman"/>
          <w:b/>
          <w:color w:val="000000" w:themeColor="text1"/>
          <w:kern w:val="0"/>
          <w:sz w:val="28"/>
          <w:szCs w:val="20"/>
          <w14:ligatures w14:val="none"/>
        </w:rPr>
        <w:br w:type="page"/>
      </w:r>
    </w:p>
    <w:p w14:paraId="229E4924" w14:textId="3E39E32A" w:rsidR="00493034" w:rsidRPr="00493034" w:rsidRDefault="00493034" w:rsidP="00493034">
      <w:pPr>
        <w:spacing w:before="320" w:after="240" w:line="240" w:lineRule="auto"/>
        <w:outlineLvl w:val="1"/>
        <w:rPr>
          <w:rFonts w:ascii="Segoe UI" w:eastAsia="Segoe UI" w:hAnsi="Segoe UI" w:cs="Times New Roman"/>
          <w:b/>
          <w:color w:val="000000" w:themeColor="text1"/>
          <w:kern w:val="0"/>
          <w:sz w:val="28"/>
          <w:szCs w:val="20"/>
          <w14:ligatures w14:val="none"/>
        </w:rPr>
      </w:pPr>
      <w:r w:rsidRPr="00493034">
        <w:rPr>
          <w:rFonts w:ascii="Segoe UI" w:eastAsia="Segoe UI" w:hAnsi="Segoe UI" w:cs="Times New Roman"/>
          <w:b/>
          <w:color w:val="000000" w:themeColor="text1"/>
          <w:kern w:val="0"/>
          <w:sz w:val="28"/>
          <w:szCs w:val="20"/>
          <w14:ligatures w14:val="none"/>
        </w:rPr>
        <w:lastRenderedPageBreak/>
        <w:t>Proposed MBS items</w:t>
      </w:r>
    </w:p>
    <w:tbl>
      <w:tblPr>
        <w:tblStyle w:val="TableGrid"/>
        <w:tblW w:w="0" w:type="auto"/>
        <w:tblLook w:val="04A0" w:firstRow="1" w:lastRow="0" w:firstColumn="1" w:lastColumn="0" w:noHBand="0" w:noVBand="1"/>
      </w:tblPr>
      <w:tblGrid>
        <w:gridCol w:w="9015"/>
      </w:tblGrid>
      <w:tr w:rsidR="00493034" w:rsidRPr="00493034" w14:paraId="3641B890" w14:textId="77777777" w:rsidTr="007C3B1F">
        <w:tc>
          <w:tcPr>
            <w:tcW w:w="9628" w:type="dxa"/>
          </w:tcPr>
          <w:p w14:paraId="2D68ADD1" w14:textId="3A3D42E8" w:rsidR="00493034" w:rsidRPr="00493034" w:rsidRDefault="00493034" w:rsidP="00493034">
            <w:pPr>
              <w:spacing w:after="160"/>
              <w:rPr>
                <w:rFonts w:ascii="Segoe UI" w:eastAsia="Segoe UI" w:hAnsi="Segoe UI" w:cs="Segoe UI"/>
                <w:b/>
                <w:color w:val="000000"/>
              </w:rPr>
            </w:pPr>
            <w:r w:rsidRPr="00493034">
              <w:rPr>
                <w:rFonts w:ascii="Segoe UI" w:eastAsia="Segoe UI" w:hAnsi="Segoe UI" w:cs="Segoe UI"/>
                <w:b/>
                <w:color w:val="000000"/>
              </w:rPr>
              <w:t xml:space="preserve">Please provide at least one proposed item with their descriptor and associated costs, for each population / intervention: </w:t>
            </w:r>
          </w:p>
          <w:p w14:paraId="05EBD9A5" w14:textId="3CCA6446" w:rsidR="00493034" w:rsidRPr="00493034" w:rsidRDefault="00493034" w:rsidP="00493034">
            <w:pPr>
              <w:spacing w:after="160"/>
              <w:rPr>
                <w:rFonts w:ascii="Segoe UI" w:hAnsi="Segoe UI" w:cs="Segoe UI"/>
                <w:bCs/>
              </w:rPr>
            </w:pPr>
            <w:r w:rsidRPr="00493034">
              <w:rPr>
                <w:rFonts w:ascii="Segoe UI" w:hAnsi="Segoe UI" w:cs="Segoe UI"/>
                <w:b/>
              </w:rPr>
              <w:t>Proposed item:</w:t>
            </w:r>
            <w:r w:rsidR="00C632EE">
              <w:rPr>
                <w:rFonts w:ascii="Segoe UI" w:hAnsi="Segoe UI" w:cs="Segoe UI"/>
                <w:b/>
              </w:rPr>
              <w:br/>
            </w:r>
            <w:r w:rsidRPr="00493034">
              <w:rPr>
                <w:rFonts w:ascii="Segoe UI" w:hAnsi="Segoe UI" w:cs="Segoe UI"/>
                <w:bCs/>
              </w:rPr>
              <w:t>AAAAA</w:t>
            </w:r>
          </w:p>
          <w:p w14:paraId="3137A0B3" w14:textId="46F77887" w:rsidR="00493034" w:rsidRPr="00493034" w:rsidRDefault="00493034" w:rsidP="00493034">
            <w:pPr>
              <w:spacing w:after="160"/>
              <w:rPr>
                <w:rFonts w:ascii="Segoe UI" w:hAnsi="Segoe UI" w:cs="Segoe UI"/>
                <w:bCs/>
              </w:rPr>
            </w:pPr>
            <w:r w:rsidRPr="00493034">
              <w:rPr>
                <w:rFonts w:ascii="Segoe UI" w:hAnsi="Segoe UI" w:cs="Segoe UI"/>
                <w:b/>
              </w:rPr>
              <w:t>MBS item number (where used as a template for the proposed item):</w:t>
            </w:r>
            <w:r w:rsidR="00C632EE">
              <w:rPr>
                <w:rFonts w:ascii="Segoe UI" w:hAnsi="Segoe UI" w:cs="Segoe UI"/>
                <w:b/>
              </w:rPr>
              <w:br/>
            </w:r>
            <w:r w:rsidRPr="00493034">
              <w:rPr>
                <w:rFonts w:ascii="Segoe UI" w:hAnsi="Segoe UI" w:cs="Segoe UI"/>
                <w:bCs/>
              </w:rPr>
              <w:t>73303</w:t>
            </w:r>
          </w:p>
          <w:p w14:paraId="726AACA1" w14:textId="6E546E23" w:rsidR="00493034" w:rsidRPr="00493034" w:rsidRDefault="00493034" w:rsidP="00493034">
            <w:pPr>
              <w:spacing w:after="160"/>
              <w:rPr>
                <w:rFonts w:ascii="Segoe UI" w:hAnsi="Segoe UI" w:cs="Segoe UI"/>
                <w:bCs/>
              </w:rPr>
            </w:pPr>
            <w:r w:rsidRPr="00493034">
              <w:rPr>
                <w:rFonts w:ascii="Segoe UI" w:hAnsi="Segoe UI" w:cs="Segoe UI"/>
                <w:b/>
              </w:rPr>
              <w:t>Category number:</w:t>
            </w:r>
            <w:r w:rsidR="00C632EE">
              <w:rPr>
                <w:rFonts w:ascii="Segoe UI" w:hAnsi="Segoe UI" w:cs="Segoe UI"/>
                <w:b/>
              </w:rPr>
              <w:br/>
            </w:r>
            <w:r w:rsidRPr="00493034">
              <w:rPr>
                <w:rFonts w:ascii="Segoe UI" w:hAnsi="Segoe UI" w:cs="Segoe UI"/>
                <w:bCs/>
              </w:rPr>
              <w:t>PATHOLOGY SERVICES</w:t>
            </w:r>
          </w:p>
          <w:p w14:paraId="60E274EE" w14:textId="2E3FC4A3" w:rsidR="00493034" w:rsidRPr="00493034" w:rsidRDefault="00493034" w:rsidP="00C632EE">
            <w:pPr>
              <w:spacing w:after="160"/>
              <w:rPr>
                <w:rFonts w:ascii="Segoe UI" w:hAnsi="Segoe UI" w:cs="Segoe UI"/>
                <w:bCs/>
              </w:rPr>
            </w:pPr>
            <w:r w:rsidRPr="00493034">
              <w:rPr>
                <w:rFonts w:ascii="Segoe UI" w:hAnsi="Segoe UI" w:cs="Segoe UI"/>
                <w:b/>
              </w:rPr>
              <w:t>Category description:</w:t>
            </w:r>
            <w:r w:rsidR="00C632EE">
              <w:rPr>
                <w:rFonts w:ascii="Segoe UI" w:hAnsi="Segoe UI" w:cs="Segoe UI"/>
                <w:b/>
              </w:rPr>
              <w:br/>
            </w:r>
            <w:r w:rsidRPr="00493034">
              <w:rPr>
                <w:rFonts w:ascii="Segoe UI" w:hAnsi="Segoe UI" w:cs="Segoe UI"/>
                <w:bCs/>
              </w:rPr>
              <w:t>GENETICS</w:t>
            </w:r>
          </w:p>
          <w:p w14:paraId="01369BC5" w14:textId="1FF1395F" w:rsidR="00493034" w:rsidRPr="00493034" w:rsidRDefault="00493034" w:rsidP="00493034">
            <w:pPr>
              <w:spacing w:after="160"/>
              <w:rPr>
                <w:rFonts w:ascii="Segoe UI" w:hAnsi="Segoe UI" w:cs="Segoe UI"/>
                <w:bCs/>
              </w:rPr>
            </w:pPr>
            <w:r w:rsidRPr="00493034">
              <w:rPr>
                <w:rFonts w:ascii="Segoe UI" w:hAnsi="Segoe UI" w:cs="Segoe UI"/>
                <w:b/>
              </w:rPr>
              <w:t>Proposed item descriptor:</w:t>
            </w:r>
            <w:r w:rsidR="00C632EE">
              <w:rPr>
                <w:rFonts w:ascii="Segoe UI" w:hAnsi="Segoe UI" w:cs="Segoe UI"/>
                <w:b/>
              </w:rPr>
              <w:br/>
            </w:r>
            <w:r w:rsidRPr="00493034">
              <w:rPr>
                <w:rFonts w:ascii="Segoe UI" w:hAnsi="Segoe UI" w:cs="Segoe UI"/>
                <w:bCs/>
              </w:rPr>
              <w:t>73303 (amended) – A test of tumour tissue from a patient with metastatic castration-sensitive prostate cancer, including subsequent characterisation of germline gene variants should tumour tissue testing undertaken during the same service be inconclusive, requested by a specialist or consultant physician, to detect homologous recombination repair (HRR) gene alterations (ATM, ATR, BRCA1, BRCA2, CDK12, CHEK2, FANCA, MLH1, MRE11A, NBN, PALB2 and RAD51C) to determine eligibility for a relevant treatment under the Pharmaceutical Benefits Scheme. Applicable once per primary tumour diagnosis.</w:t>
            </w:r>
          </w:p>
          <w:p w14:paraId="27ED56E0" w14:textId="29C4837C" w:rsidR="00493034" w:rsidRPr="00493034" w:rsidRDefault="00493034" w:rsidP="00493034">
            <w:pPr>
              <w:spacing w:after="160"/>
              <w:rPr>
                <w:rFonts w:ascii="Segoe UI" w:hAnsi="Segoe UI" w:cs="Segoe UI"/>
                <w:bCs/>
              </w:rPr>
            </w:pPr>
            <w:r w:rsidRPr="00493034">
              <w:rPr>
                <w:rFonts w:ascii="Segoe UI" w:hAnsi="Segoe UI" w:cs="Segoe UI"/>
                <w:b/>
              </w:rPr>
              <w:t>Proposed MBS fee:</w:t>
            </w:r>
            <w:r w:rsidR="00C632EE">
              <w:rPr>
                <w:rFonts w:ascii="Segoe UI" w:hAnsi="Segoe UI" w:cs="Segoe UI"/>
                <w:b/>
              </w:rPr>
              <w:br/>
            </w:r>
            <w:r w:rsidRPr="00493034">
              <w:rPr>
                <w:rFonts w:ascii="Segoe UI" w:hAnsi="Segoe UI" w:cs="Segoe UI"/>
                <w:bCs/>
              </w:rPr>
              <w:t>$1,000.00</w:t>
            </w:r>
          </w:p>
          <w:p w14:paraId="1A9205C1" w14:textId="393DF1B0" w:rsidR="00493034" w:rsidRPr="00493034" w:rsidRDefault="00493034" w:rsidP="00493034">
            <w:pPr>
              <w:spacing w:after="160"/>
              <w:rPr>
                <w:rFonts w:ascii="Segoe UI" w:hAnsi="Segoe UI" w:cs="Segoe UI"/>
                <w:bCs/>
              </w:rPr>
            </w:pPr>
            <w:r w:rsidRPr="00493034">
              <w:rPr>
                <w:rFonts w:ascii="Segoe UI" w:hAnsi="Segoe UI" w:cs="Segoe UI"/>
                <w:b/>
              </w:rPr>
              <w:t>Indicate the overall cost per patient of providing the proposed health technology:</w:t>
            </w:r>
            <w:r w:rsidR="00C632EE">
              <w:rPr>
                <w:rFonts w:ascii="Segoe UI" w:hAnsi="Segoe UI" w:cs="Segoe UI"/>
                <w:b/>
              </w:rPr>
              <w:br/>
            </w:r>
            <w:r w:rsidRPr="00493034">
              <w:rPr>
                <w:rFonts w:ascii="Segoe UI" w:hAnsi="Segoe UI" w:cs="Segoe UI"/>
                <w:bCs/>
              </w:rPr>
              <w:t>$1,000.00</w:t>
            </w:r>
          </w:p>
          <w:p w14:paraId="0E806805" w14:textId="42987E32" w:rsidR="00493034" w:rsidRPr="00493034" w:rsidRDefault="00493034" w:rsidP="00493034">
            <w:pPr>
              <w:spacing w:after="160"/>
              <w:rPr>
                <w:rFonts w:ascii="Segoe UI" w:hAnsi="Segoe UI" w:cs="Segoe UI"/>
                <w:bCs/>
              </w:rPr>
            </w:pPr>
            <w:r w:rsidRPr="00493034">
              <w:rPr>
                <w:rFonts w:ascii="Segoe UI" w:hAnsi="Segoe UI" w:cs="Segoe UI"/>
                <w:b/>
              </w:rPr>
              <w:t>Please specify any anticipated out of pocket expenses:</w:t>
            </w:r>
            <w:r w:rsidR="00C632EE">
              <w:rPr>
                <w:rFonts w:ascii="Segoe UI" w:hAnsi="Segoe UI" w:cs="Segoe UI"/>
                <w:b/>
              </w:rPr>
              <w:br/>
            </w:r>
            <w:r w:rsidRPr="00493034">
              <w:rPr>
                <w:rFonts w:ascii="Segoe UI" w:hAnsi="Segoe UI" w:cs="Segoe UI"/>
                <w:bCs/>
              </w:rPr>
              <w:t>$250.00</w:t>
            </w:r>
          </w:p>
          <w:p w14:paraId="35787FFD" w14:textId="55AF7024" w:rsidR="00493034" w:rsidRPr="00493034" w:rsidRDefault="00493034" w:rsidP="00493034">
            <w:pPr>
              <w:spacing w:after="160"/>
              <w:rPr>
                <w:rFonts w:ascii="Segoe UI" w:hAnsi="Segoe UI" w:cs="Segoe UI"/>
                <w:bCs/>
              </w:rPr>
            </w:pPr>
            <w:r w:rsidRPr="00493034">
              <w:rPr>
                <w:rFonts w:ascii="Segoe UI" w:hAnsi="Segoe UI" w:cs="Segoe UI"/>
                <w:b/>
              </w:rPr>
              <w:t>Provide any further details and explain:</w:t>
            </w:r>
            <w:r w:rsidR="00C632EE">
              <w:rPr>
                <w:rFonts w:ascii="Segoe UI" w:hAnsi="Segoe UI" w:cs="Segoe UI"/>
                <w:b/>
              </w:rPr>
              <w:br/>
            </w:r>
            <w:r w:rsidRPr="00493034">
              <w:rPr>
                <w:rFonts w:ascii="Segoe UI" w:hAnsi="Segoe UI" w:cs="Segoe UI"/>
                <w:bCs/>
              </w:rPr>
              <w:t xml:space="preserve">HRR panel testing is not currently MBS-funded for the </w:t>
            </w:r>
            <w:proofErr w:type="spellStart"/>
            <w:r w:rsidRPr="00493034">
              <w:rPr>
                <w:rFonts w:ascii="Segoe UI" w:hAnsi="Segoe UI" w:cs="Segoe UI"/>
                <w:bCs/>
              </w:rPr>
              <w:t>mCSPC</w:t>
            </w:r>
            <w:proofErr w:type="spellEnd"/>
            <w:r w:rsidRPr="00493034">
              <w:rPr>
                <w:rFonts w:ascii="Segoe UI" w:hAnsi="Segoe UI" w:cs="Segoe UI"/>
                <w:bCs/>
              </w:rPr>
              <w:t xml:space="preserve"> population. Testing is currently MBS-funded only for mCRPC (via 73303/73304). This application amends item 73303. The $1,000 fee is consistent with the existing BRCA item. The proposed amendment does not require a fundamentally different testing methodology to that previously accepted by MSAC under Application 1618. MSAC previously supported reimbursement for tumour NGS testing that included BRCA1, BRCA2 and ATM, establishing a precedent that the MBS fee is associated with the genomic testing process rather than the number of individual genes analysed. Applicable once per primary tumour diagnosis.</w:t>
            </w:r>
          </w:p>
          <w:p w14:paraId="6AD2DBA8" w14:textId="77777777" w:rsidR="00493034" w:rsidRPr="00493034" w:rsidRDefault="00493034" w:rsidP="00493034"/>
        </w:tc>
      </w:tr>
      <w:tr w:rsidR="00493034" w:rsidRPr="00493034" w14:paraId="012650CB" w14:textId="77777777" w:rsidTr="007C3B1F">
        <w:tc>
          <w:tcPr>
            <w:tcW w:w="9628" w:type="dxa"/>
          </w:tcPr>
          <w:p w14:paraId="70EA429D" w14:textId="02A17CFA" w:rsidR="00493034" w:rsidRPr="00493034" w:rsidRDefault="00493034" w:rsidP="00493034">
            <w:pPr>
              <w:spacing w:after="160"/>
              <w:rPr>
                <w:rFonts w:ascii="Segoe UI" w:hAnsi="Segoe UI" w:cs="Segoe UI"/>
                <w:bCs/>
              </w:rPr>
            </w:pPr>
            <w:r w:rsidRPr="00493034">
              <w:rPr>
                <w:rFonts w:ascii="Segoe UI" w:hAnsi="Segoe UI" w:cs="Segoe UI"/>
                <w:b/>
              </w:rPr>
              <w:t>Proposed item:</w:t>
            </w:r>
            <w:r w:rsidR="00C632EE">
              <w:rPr>
                <w:rFonts w:ascii="Segoe UI" w:hAnsi="Segoe UI" w:cs="Segoe UI"/>
                <w:b/>
              </w:rPr>
              <w:br/>
            </w:r>
            <w:r w:rsidRPr="00493034">
              <w:rPr>
                <w:rFonts w:ascii="Segoe UI" w:hAnsi="Segoe UI" w:cs="Segoe UI"/>
                <w:bCs/>
              </w:rPr>
              <w:t>BBBBB</w:t>
            </w:r>
          </w:p>
          <w:p w14:paraId="3CED08D2" w14:textId="3D708170" w:rsidR="00493034" w:rsidRPr="00493034" w:rsidRDefault="00493034" w:rsidP="00493034">
            <w:pPr>
              <w:spacing w:after="160"/>
              <w:rPr>
                <w:rFonts w:ascii="Segoe UI" w:hAnsi="Segoe UI" w:cs="Segoe UI"/>
                <w:bCs/>
              </w:rPr>
            </w:pPr>
            <w:r w:rsidRPr="00493034">
              <w:rPr>
                <w:rFonts w:ascii="Segoe UI" w:hAnsi="Segoe UI" w:cs="Segoe UI"/>
                <w:b/>
              </w:rPr>
              <w:t>MBS item number (where used as a template for the proposed item):</w:t>
            </w:r>
            <w:r w:rsidR="00C632EE">
              <w:rPr>
                <w:rFonts w:ascii="Segoe UI" w:hAnsi="Segoe UI" w:cs="Segoe UI"/>
                <w:b/>
              </w:rPr>
              <w:br/>
            </w:r>
            <w:r w:rsidRPr="00493034">
              <w:rPr>
                <w:rFonts w:ascii="Segoe UI" w:hAnsi="Segoe UI" w:cs="Segoe UI"/>
                <w:bCs/>
              </w:rPr>
              <w:t>73,304</w:t>
            </w:r>
          </w:p>
          <w:p w14:paraId="5A27437F" w14:textId="65270359" w:rsidR="00493034" w:rsidRPr="00493034" w:rsidRDefault="00493034" w:rsidP="00493034">
            <w:pPr>
              <w:spacing w:after="160"/>
              <w:rPr>
                <w:rFonts w:ascii="Segoe UI" w:hAnsi="Segoe UI" w:cs="Segoe UI"/>
                <w:bCs/>
              </w:rPr>
            </w:pPr>
            <w:r w:rsidRPr="00493034">
              <w:rPr>
                <w:rFonts w:ascii="Segoe UI" w:hAnsi="Segoe UI" w:cs="Segoe UI"/>
                <w:b/>
              </w:rPr>
              <w:lastRenderedPageBreak/>
              <w:t>Category number:</w:t>
            </w:r>
            <w:r w:rsidR="00C632EE">
              <w:rPr>
                <w:rFonts w:ascii="Segoe UI" w:hAnsi="Segoe UI" w:cs="Segoe UI"/>
                <w:b/>
              </w:rPr>
              <w:br/>
            </w:r>
            <w:r w:rsidRPr="00493034">
              <w:rPr>
                <w:rFonts w:ascii="Segoe UI" w:hAnsi="Segoe UI" w:cs="Segoe UI"/>
                <w:bCs/>
              </w:rPr>
              <w:t>PATHOLOGY SERVICES</w:t>
            </w:r>
          </w:p>
          <w:p w14:paraId="7640806B" w14:textId="51EA56F8" w:rsidR="00493034" w:rsidRPr="00493034" w:rsidRDefault="00493034" w:rsidP="00C632EE">
            <w:pPr>
              <w:spacing w:after="160"/>
              <w:rPr>
                <w:rFonts w:ascii="Segoe UI" w:hAnsi="Segoe UI" w:cs="Segoe UI"/>
                <w:bCs/>
              </w:rPr>
            </w:pPr>
            <w:r w:rsidRPr="00493034">
              <w:rPr>
                <w:rFonts w:ascii="Segoe UI" w:hAnsi="Segoe UI" w:cs="Segoe UI"/>
                <w:b/>
              </w:rPr>
              <w:t>Category description:</w:t>
            </w:r>
            <w:r w:rsidR="00C632EE">
              <w:rPr>
                <w:rFonts w:ascii="Segoe UI" w:hAnsi="Segoe UI" w:cs="Segoe UI"/>
                <w:b/>
              </w:rPr>
              <w:br/>
            </w:r>
            <w:r w:rsidRPr="00493034">
              <w:rPr>
                <w:rFonts w:ascii="Segoe UI" w:hAnsi="Segoe UI" w:cs="Segoe UI"/>
                <w:bCs/>
              </w:rPr>
              <w:t>GENETICS</w:t>
            </w:r>
          </w:p>
          <w:p w14:paraId="37565AD8" w14:textId="63D6702D" w:rsidR="00493034" w:rsidRPr="00C632EE" w:rsidRDefault="00493034" w:rsidP="00493034">
            <w:pPr>
              <w:spacing w:after="160"/>
              <w:rPr>
                <w:rFonts w:ascii="Segoe UI" w:hAnsi="Segoe UI" w:cs="Segoe UI"/>
                <w:b/>
              </w:rPr>
            </w:pPr>
            <w:r w:rsidRPr="00493034">
              <w:rPr>
                <w:rFonts w:ascii="Segoe UI" w:hAnsi="Segoe UI" w:cs="Segoe UI"/>
                <w:b/>
              </w:rPr>
              <w:t>Proposed item descriptor:</w:t>
            </w:r>
            <w:r w:rsidR="00C632EE">
              <w:rPr>
                <w:rFonts w:ascii="Segoe UI" w:hAnsi="Segoe UI" w:cs="Segoe UI"/>
                <w:b/>
              </w:rPr>
              <w:br/>
            </w:r>
            <w:r w:rsidRPr="00493034">
              <w:rPr>
                <w:rFonts w:ascii="Segoe UI" w:hAnsi="Segoe UI" w:cs="Segoe UI"/>
                <w:bCs/>
              </w:rPr>
              <w:t>73304 (amended) - Detection of germline homologous recombination repair (HRR) gene alterations (ATM, ATR, BRCA1, BRCA2, CDK12, CHEK2, FANCA, MLH1, MRE11A, NBN, PALB2 and RAD51C), in a patient with metastatic castration-sensitive prostate cancer, for whom testing of tumour tissue is not clinically feasible, requested by a specialist or consultant physician, to determine eligibility for a relevant treatment under the Pharmaceutical Benefits Scheme. Applicable once per lifetime.</w:t>
            </w:r>
          </w:p>
          <w:p w14:paraId="0A5C8724" w14:textId="22ACD31D" w:rsidR="00493034" w:rsidRPr="00493034" w:rsidRDefault="00493034" w:rsidP="00493034">
            <w:pPr>
              <w:spacing w:after="160"/>
              <w:rPr>
                <w:rFonts w:ascii="Segoe UI" w:hAnsi="Segoe UI" w:cs="Segoe UI"/>
                <w:bCs/>
              </w:rPr>
            </w:pPr>
            <w:r w:rsidRPr="00493034">
              <w:rPr>
                <w:rFonts w:ascii="Segoe UI" w:hAnsi="Segoe UI" w:cs="Segoe UI"/>
                <w:b/>
              </w:rPr>
              <w:t>Proposed MBS fee:</w:t>
            </w:r>
            <w:r w:rsidR="00C632EE">
              <w:rPr>
                <w:rFonts w:ascii="Segoe UI" w:hAnsi="Segoe UI" w:cs="Segoe UI"/>
                <w:b/>
              </w:rPr>
              <w:br/>
            </w:r>
            <w:r w:rsidRPr="00493034">
              <w:rPr>
                <w:rFonts w:ascii="Segoe UI" w:hAnsi="Segoe UI" w:cs="Segoe UI"/>
                <w:bCs/>
              </w:rPr>
              <w:t>$1,000.00</w:t>
            </w:r>
          </w:p>
          <w:p w14:paraId="4D535C36" w14:textId="3939CC56" w:rsidR="00493034" w:rsidRPr="00493034" w:rsidRDefault="00493034" w:rsidP="00493034">
            <w:pPr>
              <w:spacing w:after="160"/>
              <w:rPr>
                <w:rFonts w:ascii="Segoe UI" w:hAnsi="Segoe UI" w:cs="Segoe UI"/>
                <w:bCs/>
              </w:rPr>
            </w:pPr>
            <w:r w:rsidRPr="00493034">
              <w:rPr>
                <w:rFonts w:ascii="Segoe UI" w:hAnsi="Segoe UI" w:cs="Segoe UI"/>
                <w:b/>
              </w:rPr>
              <w:t>Indicate the overall cost per patient of providing the proposed health technology:</w:t>
            </w:r>
            <w:r w:rsidR="00C632EE">
              <w:rPr>
                <w:rFonts w:ascii="Segoe UI" w:hAnsi="Segoe UI" w:cs="Segoe UI"/>
                <w:b/>
              </w:rPr>
              <w:br/>
            </w:r>
            <w:r w:rsidRPr="00493034">
              <w:rPr>
                <w:rFonts w:ascii="Segoe UI" w:hAnsi="Segoe UI" w:cs="Segoe UI"/>
                <w:bCs/>
              </w:rPr>
              <w:t>$1,000.00</w:t>
            </w:r>
          </w:p>
          <w:p w14:paraId="74D06CCD" w14:textId="12CB33EF" w:rsidR="00493034" w:rsidRPr="00493034" w:rsidRDefault="00493034" w:rsidP="00493034">
            <w:pPr>
              <w:spacing w:after="160"/>
              <w:rPr>
                <w:rFonts w:ascii="Segoe UI" w:hAnsi="Segoe UI" w:cs="Segoe UI"/>
                <w:bCs/>
              </w:rPr>
            </w:pPr>
            <w:r w:rsidRPr="00493034">
              <w:rPr>
                <w:rFonts w:ascii="Segoe UI" w:hAnsi="Segoe UI" w:cs="Segoe UI"/>
                <w:b/>
              </w:rPr>
              <w:t>Please specify any anticipated out of pocket expenses:</w:t>
            </w:r>
            <w:r w:rsidR="00C632EE">
              <w:rPr>
                <w:rFonts w:ascii="Segoe UI" w:hAnsi="Segoe UI" w:cs="Segoe UI"/>
                <w:b/>
              </w:rPr>
              <w:br/>
            </w:r>
            <w:r w:rsidRPr="00493034">
              <w:rPr>
                <w:rFonts w:ascii="Segoe UI" w:hAnsi="Segoe UI" w:cs="Segoe UI"/>
                <w:bCs/>
              </w:rPr>
              <w:t>$250.00</w:t>
            </w:r>
          </w:p>
          <w:p w14:paraId="1F4CAA1E" w14:textId="046544EC" w:rsidR="00493034" w:rsidRPr="00493034" w:rsidRDefault="00493034" w:rsidP="00493034">
            <w:pPr>
              <w:spacing w:after="160"/>
              <w:rPr>
                <w:rFonts w:ascii="Segoe UI" w:hAnsi="Segoe UI" w:cs="Segoe UI"/>
                <w:bCs/>
              </w:rPr>
            </w:pPr>
            <w:r w:rsidRPr="00493034">
              <w:rPr>
                <w:rFonts w:ascii="Segoe UI" w:hAnsi="Segoe UI" w:cs="Segoe UI"/>
                <w:b/>
              </w:rPr>
              <w:t>Provide any further details and explain:</w:t>
            </w:r>
            <w:r w:rsidR="00C632EE">
              <w:rPr>
                <w:rFonts w:ascii="Segoe UI" w:hAnsi="Segoe UI" w:cs="Segoe UI"/>
                <w:b/>
              </w:rPr>
              <w:br/>
            </w:r>
            <w:r w:rsidRPr="00493034">
              <w:rPr>
                <w:rFonts w:ascii="Segoe UI" w:hAnsi="Segoe UI" w:cs="Segoe UI"/>
                <w:bCs/>
              </w:rPr>
              <w:t xml:space="preserve">HRR panel testing is not currently MBS-funded for the </w:t>
            </w:r>
            <w:proofErr w:type="spellStart"/>
            <w:r w:rsidRPr="00493034">
              <w:rPr>
                <w:rFonts w:ascii="Segoe UI" w:hAnsi="Segoe UI" w:cs="Segoe UI"/>
                <w:bCs/>
              </w:rPr>
              <w:t>mCSPC</w:t>
            </w:r>
            <w:proofErr w:type="spellEnd"/>
            <w:r w:rsidRPr="00493034">
              <w:rPr>
                <w:rFonts w:ascii="Segoe UI" w:hAnsi="Segoe UI" w:cs="Segoe UI"/>
                <w:bCs/>
              </w:rPr>
              <w:t xml:space="preserve"> population. Testing is currently MBS-funded only for mCRPC (via 73303/73304). This application amends item 73304. The $1,000 fee is consistent with the existing BRCA item. The proposed amendment does not require a fundamentally different testing methodology to that previously accepted by MSAC under Application 1618. MSAC previously supported reimbursement for tumour NGS testing that included BRCA1, BRCA2 and ATM, establishing a precedent that the MBS fee is associated with the genomic testing process rather than the number of individual genes analysed. Applicable once per lifetime.</w:t>
            </w:r>
          </w:p>
          <w:p w14:paraId="5B26F8DE" w14:textId="77777777" w:rsidR="00493034" w:rsidRPr="00493034" w:rsidRDefault="00493034" w:rsidP="00493034"/>
        </w:tc>
      </w:tr>
    </w:tbl>
    <w:p w14:paraId="35F61DB1" w14:textId="77777777" w:rsidR="00493034" w:rsidRPr="00493034" w:rsidRDefault="00493034" w:rsidP="00493034"/>
    <w:p w14:paraId="0126F6AE" w14:textId="10713E2C"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How is the technology / service funded at present? (For example: research funding; State-based funding; self-funded by patients; no funding or payments):</w:t>
      </w:r>
      <w:r w:rsidR="00C632EE">
        <w:rPr>
          <w:rFonts w:ascii="Segoe UI" w:eastAsia="Segoe UI" w:hAnsi="Segoe UI" w:cs="Segoe UI"/>
          <w:b/>
          <w:color w:val="000000"/>
        </w:rPr>
        <w:br/>
      </w:r>
      <w:r w:rsidRPr="00493034">
        <w:rPr>
          <w:rFonts w:ascii="Segoe UI" w:eastAsia="Segoe UI" w:hAnsi="Segoe UI" w:cs="Segoe UI"/>
          <w:color w:val="000000"/>
        </w:rPr>
        <w:t xml:space="preserve">Currently MBS-funded only for mCRPC via items 73303 (somatic) and 73304 (germline), which support BRCA1/2 testing to determine eligibility for a relevant PBS treatment. It is not currently funded for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This application seeks to amend items 73303/73304 to extend HRR panel testing to the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population, enabling biomarker-directed access to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plus enzalutamide under the PBS. As HRR testing is performed once per patient, testing undertaken in the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setting may offset a proportion of future testing that would otherwise occur in the mCRPC setting. Expected patient numbers and resulting utilisation are described in the utilisation section. The per-test fee is unchanged from the existing items.</w:t>
      </w:r>
    </w:p>
    <w:p w14:paraId="4ED22C7B" w14:textId="77777777" w:rsidR="00493034" w:rsidRPr="00493034" w:rsidRDefault="00493034" w:rsidP="00C632EE">
      <w:pPr>
        <w:pStyle w:val="Heading1"/>
      </w:pPr>
      <w:r w:rsidRPr="00493034">
        <w:lastRenderedPageBreak/>
        <w:t>Claims</w:t>
      </w:r>
    </w:p>
    <w:p w14:paraId="70013828" w14:textId="77777777" w:rsidR="00493034" w:rsidRPr="00493034" w:rsidRDefault="00493034" w:rsidP="00493034">
      <w:pPr>
        <w:rPr>
          <w:rFonts w:ascii="Segoe UI" w:eastAsia="Segoe UI" w:hAnsi="Segoe UI" w:cs="Segoe UI"/>
          <w:b/>
          <w:color w:val="000000"/>
        </w:rPr>
      </w:pPr>
      <w:r w:rsidRPr="00493034">
        <w:rPr>
          <w:rFonts w:ascii="Segoe UI" w:eastAsia="Segoe UI" w:hAnsi="Segoe UI" w:cs="Segoe UI"/>
          <w:b/>
          <w:color w:val="000000"/>
        </w:rPr>
        <w:t>In terms of health outcomes (comparative benefits and harms), is the proposed technology claimed to be superior, non-inferior or inferior to the comparator(s)?</w:t>
      </w:r>
    </w:p>
    <w:p w14:paraId="79D45B27"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Superior</w:t>
      </w:r>
    </w:p>
    <w:p w14:paraId="62B9D47D" w14:textId="77777777" w:rsidR="00493034" w:rsidRPr="00493034" w:rsidRDefault="00493034" w:rsidP="00493034">
      <w:pPr>
        <w:rPr>
          <w:rFonts w:ascii="Segoe UI" w:eastAsia="Segoe UI" w:hAnsi="Segoe UI" w:cs="Segoe UI"/>
          <w:b/>
          <w:color w:val="000000"/>
        </w:rPr>
      </w:pPr>
      <w:r w:rsidRPr="00493034">
        <w:rPr>
          <w:rFonts w:ascii="Segoe UI" w:eastAsia="Segoe UI" w:hAnsi="Segoe UI" w:cs="Segoe UI"/>
          <w:b/>
          <w:color w:val="000000"/>
        </w:rPr>
        <w:t>Please state what the overall claim is, and provide a rationale:</w:t>
      </w:r>
    </w:p>
    <w:p w14:paraId="0E1999DA"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 xml:space="preserve">Effectiveness: A clinical claim of superior effectiveness is made for the proposed HRR testing strategy linked to treatment with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plus enzalutamide compared with current management without biomarker-directed treatment. The claim is supported by evidence that HRR testing identifies patients with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who derive clinically meaningful benefit from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plus enzalutamide, as demonstrated in the pivotal Phase III TALAPRO-3 trial, which showed a statistically significant and clinically meaningful improvement in radiographic progression-free survival in the HRR-altered population.</w:t>
      </w:r>
      <w:r w:rsidRPr="00493034">
        <w:rPr>
          <w:rFonts w:ascii="Segoe UI" w:eastAsia="Segoe UI" w:hAnsi="Segoe UI" w:cs="Segoe UI"/>
          <w:color w:val="000000"/>
        </w:rPr>
        <w:br/>
        <w:t xml:space="preserve">Safety: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plus enzalutamide is associated with a less favourable safety profile than enzalutamide alone; however, adverse events were generally manageable and did not result in a clinically meaningful deterioration in patient-reported quality-of-life outcomes</w:t>
      </w:r>
    </w:p>
    <w:p w14:paraId="072FFCE4" w14:textId="77777777" w:rsidR="00493034" w:rsidRPr="00493034" w:rsidRDefault="00493034" w:rsidP="00493034">
      <w:pPr>
        <w:spacing w:before="320" w:after="240" w:line="240" w:lineRule="auto"/>
        <w:outlineLvl w:val="1"/>
        <w:rPr>
          <w:rFonts w:ascii="Segoe UI" w:eastAsia="Segoe UI" w:hAnsi="Segoe UI" w:cs="Times New Roman"/>
          <w:b/>
          <w:color w:val="000000" w:themeColor="text1"/>
          <w:kern w:val="0"/>
          <w:sz w:val="28"/>
          <w:szCs w:val="20"/>
          <w14:ligatures w14:val="none"/>
        </w:rPr>
      </w:pPr>
      <w:r w:rsidRPr="00493034">
        <w:rPr>
          <w:rFonts w:ascii="Segoe UI" w:eastAsia="Segoe UI" w:hAnsi="Segoe UI" w:cs="Times New Roman"/>
          <w:b/>
          <w:color w:val="000000" w:themeColor="text1"/>
          <w:kern w:val="0"/>
          <w:sz w:val="28"/>
          <w:szCs w:val="20"/>
          <w14:ligatures w14:val="none"/>
        </w:rPr>
        <w:t>Estimated utilisation</w:t>
      </w:r>
    </w:p>
    <w:p w14:paraId="0689BB7A" w14:textId="34B8546B"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Estimate the prevalence and/or incidence of the proposed population:</w:t>
      </w:r>
      <w:r w:rsidR="00C632EE">
        <w:rPr>
          <w:rFonts w:ascii="Segoe UI" w:eastAsia="Segoe UI" w:hAnsi="Segoe UI" w:cs="Segoe UI"/>
          <w:b/>
          <w:color w:val="000000"/>
        </w:rPr>
        <w:br/>
      </w:r>
      <w:r w:rsidRPr="00493034">
        <w:rPr>
          <w:rFonts w:ascii="Segoe UI" w:eastAsia="Segoe UI" w:hAnsi="Segoe UI" w:cs="Segoe UI"/>
          <w:color w:val="000000"/>
        </w:rPr>
        <w:t xml:space="preserve">Eligible population: Based on the 10% PBS sample, approximately 3,260 patients initiated first-line therapy for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in 2025. These patients represent the population potentially eligible for HRR testing.</w:t>
      </w:r>
      <w:r w:rsidRPr="00493034">
        <w:rPr>
          <w:rFonts w:ascii="Segoe UI" w:eastAsia="Segoe UI" w:hAnsi="Segoe UI" w:cs="Segoe UI"/>
          <w:color w:val="000000"/>
        </w:rPr>
        <w:br/>
        <w:t>Current testing experience: Current MBS-funded BRCA testing in mCRPC is below the potentially eligible population. Approximately 1,381 MBS-funded BRCA tests were performed in calendar year 2025 under items 73303 and 73304, compared with an estimated mCRPC treatment population of approximately 3,000 patients, suggesting testing rates of approximately 46% in current Australian practice.</w:t>
      </w:r>
      <w:r w:rsidRPr="00493034">
        <w:rPr>
          <w:rFonts w:ascii="Segoe UI" w:eastAsia="Segoe UI" w:hAnsi="Segoe UI" w:cs="Segoe UI"/>
          <w:color w:val="000000"/>
        </w:rPr>
        <w:br/>
        <w:t xml:space="preserve">The proposed amendment would introduce HRR panel testing earlier in the disease pathway, in the </w:t>
      </w:r>
      <w:proofErr w:type="spellStart"/>
      <w:r w:rsidRPr="00493034">
        <w:rPr>
          <w:rFonts w:ascii="Segoe UI" w:eastAsia="Segoe UI" w:hAnsi="Segoe UI" w:cs="Segoe UI"/>
          <w:color w:val="000000"/>
        </w:rPr>
        <w:t>mCSPC</w:t>
      </w:r>
      <w:proofErr w:type="spellEnd"/>
      <w:r w:rsidRPr="00493034">
        <w:rPr>
          <w:rFonts w:ascii="Segoe UI" w:eastAsia="Segoe UI" w:hAnsi="Segoe UI" w:cs="Segoe UI"/>
          <w:color w:val="000000"/>
        </w:rPr>
        <w:t xml:space="preserve"> setting. However, experience in the mCRPC setting demonstrates that testing uptake is unlikely to be immediate or universal. Accordingly, utilisation estimates assume a phased increase in uptake as clinician awareness, testing pathways and access arrangements mature.</w:t>
      </w:r>
      <w:r w:rsidRPr="00493034">
        <w:rPr>
          <w:rFonts w:ascii="Segoe UI" w:eastAsia="Segoe UI" w:hAnsi="Segoe UI" w:cs="Segoe UI"/>
          <w:color w:val="000000"/>
        </w:rPr>
        <w:br/>
      </w:r>
    </w:p>
    <w:p w14:paraId="6CE9E6E6" w14:textId="77777777" w:rsidR="00493034" w:rsidRPr="00493034" w:rsidRDefault="00493034" w:rsidP="00493034">
      <w:pPr>
        <w:rPr>
          <w:rFonts w:ascii="Segoe UI" w:eastAsia="Segoe UI" w:hAnsi="Segoe UI" w:cs="Segoe UI"/>
          <w:b/>
          <w:color w:val="000000"/>
        </w:rPr>
      </w:pPr>
      <w:r w:rsidRPr="00493034">
        <w:rPr>
          <w:rFonts w:ascii="Segoe UI" w:eastAsia="Segoe UI" w:hAnsi="Segoe UI" w:cs="Segoe UI"/>
          <w:b/>
          <w:color w:val="000000"/>
        </w:rPr>
        <w:lastRenderedPageBreak/>
        <w:t>Provide the percentage uptake of the proposed health technology by the proposed population:</w:t>
      </w:r>
    </w:p>
    <w:p w14:paraId="4FBD00E1" w14:textId="6412CFBF"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 xml:space="preserve">Year 1 estimated uptake (%): </w:t>
      </w:r>
      <w:r w:rsidR="00C632EE">
        <w:rPr>
          <w:rFonts w:ascii="Segoe UI" w:eastAsia="Segoe UI" w:hAnsi="Segoe UI" w:cs="Segoe UI"/>
          <w:b/>
          <w:color w:val="000000"/>
        </w:rPr>
        <w:br/>
      </w:r>
      <w:r w:rsidRPr="00493034">
        <w:rPr>
          <w:rFonts w:ascii="Segoe UI" w:eastAsia="Segoe UI" w:hAnsi="Segoe UI" w:cs="Segoe UI"/>
          <w:color w:val="000000"/>
        </w:rPr>
        <w:t>50%</w:t>
      </w:r>
    </w:p>
    <w:p w14:paraId="0C2627D7" w14:textId="09324D8C"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 xml:space="preserve">Year 2 estimated uptake (%): </w:t>
      </w:r>
      <w:r w:rsidR="00C632EE">
        <w:rPr>
          <w:rFonts w:ascii="Segoe UI" w:eastAsia="Segoe UI" w:hAnsi="Segoe UI" w:cs="Segoe UI"/>
          <w:b/>
          <w:color w:val="000000"/>
        </w:rPr>
        <w:br/>
      </w:r>
      <w:r w:rsidRPr="00493034">
        <w:rPr>
          <w:rFonts w:ascii="Segoe UI" w:eastAsia="Segoe UI" w:hAnsi="Segoe UI" w:cs="Segoe UI"/>
          <w:color w:val="000000"/>
        </w:rPr>
        <w:t>60%</w:t>
      </w:r>
    </w:p>
    <w:p w14:paraId="76775CDF" w14:textId="42C993B3"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 xml:space="preserve">Year 3 estimated uptake (%): </w:t>
      </w:r>
      <w:r w:rsidR="00C632EE">
        <w:rPr>
          <w:rFonts w:ascii="Segoe UI" w:eastAsia="Segoe UI" w:hAnsi="Segoe UI" w:cs="Segoe UI"/>
          <w:b/>
          <w:color w:val="000000"/>
        </w:rPr>
        <w:br/>
      </w:r>
      <w:r w:rsidRPr="00493034">
        <w:rPr>
          <w:rFonts w:ascii="Segoe UI" w:eastAsia="Segoe UI" w:hAnsi="Segoe UI" w:cs="Segoe UI"/>
          <w:color w:val="000000"/>
        </w:rPr>
        <w:t>70%</w:t>
      </w:r>
    </w:p>
    <w:p w14:paraId="237A61B2" w14:textId="4D5AC142"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 xml:space="preserve">Year 4 estimated uptake (%): </w:t>
      </w:r>
      <w:r w:rsidR="00C632EE">
        <w:rPr>
          <w:rFonts w:ascii="Segoe UI" w:eastAsia="Segoe UI" w:hAnsi="Segoe UI" w:cs="Segoe UI"/>
          <w:b/>
          <w:color w:val="000000"/>
        </w:rPr>
        <w:br/>
      </w:r>
      <w:r w:rsidRPr="00493034">
        <w:rPr>
          <w:rFonts w:ascii="Segoe UI" w:eastAsia="Segoe UI" w:hAnsi="Segoe UI" w:cs="Segoe UI"/>
          <w:color w:val="000000"/>
        </w:rPr>
        <w:t>70%</w:t>
      </w:r>
    </w:p>
    <w:p w14:paraId="666CC790" w14:textId="0C610AF1" w:rsidR="00493034" w:rsidRPr="00493034" w:rsidRDefault="00493034" w:rsidP="00493034">
      <w:pPr>
        <w:rPr>
          <w:rFonts w:ascii="Segoe UI" w:eastAsia="Segoe UI" w:hAnsi="Segoe UI" w:cs="Segoe UI"/>
          <w:color w:val="000000"/>
        </w:rPr>
      </w:pPr>
      <w:r w:rsidRPr="00493034">
        <w:rPr>
          <w:rFonts w:ascii="Segoe UI" w:eastAsia="Segoe UI" w:hAnsi="Segoe UI" w:cs="Segoe UI"/>
          <w:b/>
          <w:color w:val="000000"/>
        </w:rPr>
        <w:t xml:space="preserve">Estimate the number of patients who will utilise the proposed technology for the first full year: </w:t>
      </w:r>
      <w:r w:rsidR="00C632EE">
        <w:rPr>
          <w:rFonts w:ascii="Segoe UI" w:eastAsia="Segoe UI" w:hAnsi="Segoe UI" w:cs="Segoe UI"/>
          <w:b/>
          <w:color w:val="000000"/>
        </w:rPr>
        <w:br/>
      </w:r>
      <w:r w:rsidRPr="00493034">
        <w:rPr>
          <w:rFonts w:ascii="Segoe UI" w:eastAsia="Segoe UI" w:hAnsi="Segoe UI" w:cs="Segoe UI"/>
          <w:color w:val="000000"/>
        </w:rPr>
        <w:t>Year 1</w:t>
      </w:r>
      <w:r w:rsidRPr="00493034">
        <w:rPr>
          <w:rFonts w:ascii="Segoe UI" w:eastAsia="Segoe UI" w:hAnsi="Segoe UI" w:cs="Segoe UI"/>
          <w:color w:val="000000"/>
        </w:rPr>
        <w:tab/>
        <w:t>~1,630</w:t>
      </w:r>
    </w:p>
    <w:p w14:paraId="7630DBB1" w14:textId="77777777" w:rsidR="00493034" w:rsidRPr="00493034" w:rsidRDefault="00493034" w:rsidP="00493034">
      <w:pPr>
        <w:rPr>
          <w:rFonts w:ascii="Segoe UI" w:eastAsia="Segoe UI" w:hAnsi="Segoe UI" w:cs="Segoe UI"/>
          <w:b/>
          <w:color w:val="000000"/>
        </w:rPr>
      </w:pPr>
      <w:r w:rsidRPr="00493034">
        <w:rPr>
          <w:rFonts w:ascii="Segoe UI" w:eastAsia="Segoe UI" w:hAnsi="Segoe UI" w:cs="Segoe UI"/>
          <w:b/>
          <w:color w:val="000000"/>
        </w:rPr>
        <w:t xml:space="preserve">Optionally, provide details: </w:t>
      </w:r>
    </w:p>
    <w:p w14:paraId="4B690338"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Published literature suggests that pathogenic or likely pathogenic alterations within the proposed 12-gene HRR panel occur in approximately 25–30% of patients with metastatic prostate cancer. In a large genomic profiling study of patients with metastatic hormone-sensitive prostate cancer, HRR gene alterations were identified in 28.6% of patients, including 12.4% with BRCA1/2 alterations and 16.2% with non-BRCA HRR alterations (Olmos et al., Annals of Oncology (2025)).</w:t>
      </w:r>
      <w:r w:rsidRPr="00493034">
        <w:rPr>
          <w:rFonts w:ascii="Segoe UI" w:eastAsia="Segoe UI" w:hAnsi="Segoe UI" w:cs="Segoe UI"/>
          <w:color w:val="000000"/>
        </w:rPr>
        <w:br/>
        <w:t xml:space="preserve">Applying this prevalence range to the tested population indicates that approximately one-quarter to one-third of tested patients would be expected to have an HRR alteration and therefore be potentially eligible for treatment with </w:t>
      </w:r>
      <w:proofErr w:type="spellStart"/>
      <w:r w:rsidRPr="00493034">
        <w:rPr>
          <w:rFonts w:ascii="Segoe UI" w:eastAsia="Segoe UI" w:hAnsi="Segoe UI" w:cs="Segoe UI"/>
          <w:color w:val="000000"/>
        </w:rPr>
        <w:t>talazoparib</w:t>
      </w:r>
      <w:proofErr w:type="spellEnd"/>
      <w:r w:rsidRPr="00493034">
        <w:rPr>
          <w:rFonts w:ascii="Segoe UI" w:eastAsia="Segoe UI" w:hAnsi="Segoe UI" w:cs="Segoe UI"/>
          <w:color w:val="000000"/>
        </w:rPr>
        <w:t xml:space="preserve"> in combination with enzalutamide</w:t>
      </w:r>
      <w:r w:rsidRPr="00493034">
        <w:rPr>
          <w:rFonts w:ascii="Segoe UI" w:eastAsia="Segoe UI" w:hAnsi="Segoe UI" w:cs="Segoe UI"/>
          <w:color w:val="000000"/>
        </w:rPr>
        <w:br/>
      </w:r>
    </w:p>
    <w:p w14:paraId="16AD672B" w14:textId="77777777" w:rsidR="00493034" w:rsidRPr="00493034" w:rsidRDefault="00493034" w:rsidP="00493034">
      <w:pPr>
        <w:rPr>
          <w:rFonts w:ascii="Segoe UI" w:eastAsia="Segoe UI" w:hAnsi="Segoe UI" w:cs="Segoe UI"/>
          <w:b/>
          <w:color w:val="000000"/>
        </w:rPr>
      </w:pPr>
      <w:r w:rsidRPr="00493034">
        <w:rPr>
          <w:rFonts w:ascii="Segoe UI" w:eastAsia="Segoe UI" w:hAnsi="Segoe UI" w:cs="Segoe UI"/>
          <w:b/>
          <w:color w:val="000000"/>
        </w:rPr>
        <w:t xml:space="preserve">Will the technology be needed more than once per patient? </w:t>
      </w:r>
    </w:p>
    <w:p w14:paraId="155B9EB6" w14:textId="77777777" w:rsidR="00493034" w:rsidRPr="00493034" w:rsidRDefault="00493034" w:rsidP="00493034">
      <w:pPr>
        <w:rPr>
          <w:rFonts w:ascii="Segoe UI" w:eastAsia="Segoe UI" w:hAnsi="Segoe UI" w:cs="Segoe UI"/>
          <w:color w:val="000000"/>
        </w:rPr>
      </w:pPr>
      <w:r w:rsidRPr="00493034">
        <w:rPr>
          <w:rFonts w:ascii="Segoe UI" w:eastAsia="Segoe UI" w:hAnsi="Segoe UI" w:cs="Segoe UI"/>
          <w:color w:val="000000"/>
        </w:rPr>
        <w:t>No, once only</w:t>
      </w:r>
    </w:p>
    <w:p w14:paraId="54FCB16D" w14:textId="77777777" w:rsidR="00493034" w:rsidRDefault="00493034">
      <w:pPr>
        <w:rPr>
          <w:rFonts w:ascii="Segoe UI" w:eastAsia="Segoe UI" w:hAnsi="Segoe UI" w:cs="Segoe UI"/>
          <w:b/>
          <w:color w:val="213E60"/>
          <w:kern w:val="0"/>
          <w:sz w:val="32"/>
          <w:szCs w:val="20"/>
          <w14:ligatures w14:val="none"/>
        </w:rPr>
      </w:pPr>
      <w:r>
        <w:rPr>
          <w:rFonts w:cs="Segoe UI"/>
        </w:rPr>
        <w:br w:type="page"/>
      </w:r>
    </w:p>
    <w:p w14:paraId="05DFC11F" w14:textId="1824C094" w:rsidR="00133449" w:rsidRPr="0010048D" w:rsidRDefault="00133449" w:rsidP="00133449">
      <w:pPr>
        <w:pStyle w:val="Heading1"/>
        <w:rPr>
          <w:rFonts w:cs="Segoe UI"/>
        </w:rPr>
      </w:pPr>
      <w:r w:rsidRPr="0010048D">
        <w:rPr>
          <w:rFonts w:cs="Segoe UI"/>
        </w:rPr>
        <w:lastRenderedPageBreak/>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7DED7974" w14:textId="6DF1D9E3" w:rsidR="00C632EE" w:rsidRDefault="00C632EE" w:rsidP="00133449">
      <w:pPr>
        <w:rPr>
          <w:rFonts w:ascii="Segoe UI" w:hAnsi="Segoe UI" w:cs="Segoe UI"/>
          <w:bCs/>
        </w:rPr>
      </w:pPr>
      <w:r w:rsidRPr="00C632EE">
        <w:rPr>
          <w:rFonts w:ascii="Segoe UI" w:hAnsi="Segoe UI" w:cs="Segoe UI"/>
          <w:bCs/>
          <w:u w:val="single"/>
        </w:rPr>
        <w:t>Entity who provides the health technology/service</w:t>
      </w:r>
      <w:r>
        <w:rPr>
          <w:rFonts w:ascii="Segoe UI" w:hAnsi="Segoe UI" w:cs="Segoe UI"/>
          <w:bCs/>
        </w:rPr>
        <w:t>:</w:t>
      </w:r>
    </w:p>
    <w:p w14:paraId="09BD876D" w14:textId="77777777" w:rsidR="002D3A13" w:rsidRDefault="002D3A13" w:rsidP="002D3A13">
      <w:pPr>
        <w:rPr>
          <w:rFonts w:ascii="Segoe UI" w:hAnsi="Segoe UI" w:cs="Segoe UI"/>
          <w:bCs/>
        </w:rPr>
      </w:pPr>
      <w:r>
        <w:rPr>
          <w:rFonts w:ascii="Segoe UI" w:hAnsi="Segoe UI" w:cs="Segoe UI"/>
          <w:bCs/>
        </w:rPr>
        <w:t>THE ROYAL COLLEGE OF PATHOLOGISTS OF AUSTRALASIA</w:t>
      </w:r>
    </w:p>
    <w:p w14:paraId="7BFAD074" w14:textId="713640A2" w:rsidR="002D3A13" w:rsidRDefault="002D3A13" w:rsidP="00133449">
      <w:pPr>
        <w:rPr>
          <w:rFonts w:ascii="Segoe UI" w:hAnsi="Segoe UI" w:cs="Segoe UI"/>
          <w:bCs/>
          <w:u w:val="single"/>
        </w:rPr>
      </w:pPr>
      <w:r w:rsidRPr="002D3A13">
        <w:rPr>
          <w:rFonts w:ascii="Segoe UI" w:hAnsi="Segoe UI" w:cs="Segoe UI"/>
          <w:bCs/>
          <w:u w:val="single"/>
        </w:rPr>
        <w:t>Entit</w:t>
      </w:r>
      <w:r>
        <w:rPr>
          <w:rFonts w:ascii="Segoe UI" w:hAnsi="Segoe UI" w:cs="Segoe UI"/>
          <w:bCs/>
          <w:u w:val="single"/>
        </w:rPr>
        <w:t>ies</w:t>
      </w:r>
      <w:r w:rsidRPr="002D3A13">
        <w:rPr>
          <w:rFonts w:ascii="Segoe UI" w:hAnsi="Segoe UI" w:cs="Segoe UI"/>
          <w:bCs/>
          <w:u w:val="single"/>
        </w:rPr>
        <w:t xml:space="preserve"> who request the health technology/service</w:t>
      </w:r>
      <w:r>
        <w:rPr>
          <w:rFonts w:ascii="Segoe UI" w:hAnsi="Segoe UI" w:cs="Segoe UI"/>
          <w:bCs/>
          <w:u w:val="single"/>
        </w:rPr>
        <w:t>:</w:t>
      </w:r>
    </w:p>
    <w:p w14:paraId="61A44774" w14:textId="77777777" w:rsidR="002D3A13" w:rsidRDefault="002D3A13" w:rsidP="002D3A13">
      <w:pPr>
        <w:rPr>
          <w:rFonts w:ascii="Segoe UI" w:hAnsi="Segoe UI" w:cs="Segoe UI"/>
          <w:bCs/>
        </w:rPr>
      </w:pPr>
      <w:r>
        <w:rPr>
          <w:rFonts w:ascii="Segoe UI" w:hAnsi="Segoe UI" w:cs="Segoe UI"/>
          <w:bCs/>
        </w:rPr>
        <w:t>Urological Society of Australia and New Zealand (USANZ)</w:t>
      </w:r>
    </w:p>
    <w:p w14:paraId="726F6BDE" w14:textId="77777777" w:rsidR="002D3A13" w:rsidRDefault="002D3A13" w:rsidP="002D3A13">
      <w:pPr>
        <w:rPr>
          <w:rFonts w:ascii="Segoe UI" w:hAnsi="Segoe UI" w:cs="Segoe UI"/>
          <w:bCs/>
        </w:rPr>
      </w:pPr>
      <w:r>
        <w:rPr>
          <w:rFonts w:ascii="Segoe UI" w:hAnsi="Segoe UI" w:cs="Segoe UI"/>
          <w:bCs/>
        </w:rPr>
        <w:t>Medical Oncology Group of Australia (MOGA)</w:t>
      </w:r>
    </w:p>
    <w:p w14:paraId="18741872" w14:textId="1738605C" w:rsidR="002D3A13" w:rsidRPr="002D3A13" w:rsidRDefault="002D3A13" w:rsidP="00133449">
      <w:pPr>
        <w:rPr>
          <w:rFonts w:ascii="Segoe UI" w:hAnsi="Segoe UI" w:cs="Segoe UI"/>
          <w:bCs/>
          <w:u w:val="single"/>
        </w:rPr>
      </w:pPr>
      <w:r w:rsidRPr="002D3A13">
        <w:rPr>
          <w:rFonts w:ascii="Segoe UI" w:hAnsi="Segoe UI" w:cs="Segoe UI"/>
          <w:bCs/>
          <w:u w:val="single"/>
        </w:rPr>
        <w:t>Entities who may be impacted by the health technology/service:</w:t>
      </w:r>
    </w:p>
    <w:p w14:paraId="63C95A40" w14:textId="77777777" w:rsidR="002D3A13" w:rsidRDefault="002D3A13" w:rsidP="002D3A13">
      <w:pPr>
        <w:rPr>
          <w:rFonts w:ascii="Segoe UI" w:hAnsi="Segoe UI" w:cs="Segoe UI"/>
          <w:bCs/>
        </w:rPr>
      </w:pPr>
      <w:r>
        <w:rPr>
          <w:rFonts w:ascii="Segoe UI" w:hAnsi="Segoe UI" w:cs="Segoe UI"/>
          <w:bCs/>
        </w:rPr>
        <w:t>Medical Oncology Group of Australia (MOGA)</w:t>
      </w:r>
    </w:p>
    <w:p w14:paraId="2EA7C0D1" w14:textId="77777777" w:rsidR="002D3A13" w:rsidRDefault="002D3A13" w:rsidP="002D3A13">
      <w:pPr>
        <w:rPr>
          <w:rFonts w:ascii="Segoe UI" w:hAnsi="Segoe UI" w:cs="Segoe UI"/>
          <w:bCs/>
        </w:rPr>
      </w:pPr>
      <w:r>
        <w:rPr>
          <w:rFonts w:ascii="Segoe UI" w:hAnsi="Segoe UI" w:cs="Segoe UI"/>
          <w:bCs/>
        </w:rPr>
        <w:t>Urological Society of Australia and New Zealand (USANZ)</w:t>
      </w:r>
    </w:p>
    <w:p w14:paraId="18F729DC" w14:textId="77777777" w:rsidR="002D3A13" w:rsidRDefault="002D3A13" w:rsidP="002D3A13">
      <w:pPr>
        <w:rPr>
          <w:rFonts w:ascii="Segoe UI" w:hAnsi="Segoe UI" w:cs="Segoe UI"/>
          <w:bCs/>
        </w:rPr>
      </w:pPr>
      <w:r>
        <w:rPr>
          <w:rFonts w:ascii="Segoe UI" w:hAnsi="Segoe UI" w:cs="Segoe UI"/>
          <w:bCs/>
        </w:rPr>
        <w:t>The Royal College of Pathologists of Australasia (RCPA)</w:t>
      </w:r>
    </w:p>
    <w:p w14:paraId="479D1D6B" w14:textId="77777777" w:rsidR="002D3A13" w:rsidRDefault="002D3A13" w:rsidP="002D3A13">
      <w:pPr>
        <w:rPr>
          <w:rFonts w:ascii="Segoe UI" w:hAnsi="Segoe UI" w:cs="Segoe UI"/>
          <w:bCs/>
        </w:rPr>
      </w:pPr>
      <w:r>
        <w:rPr>
          <w:rFonts w:ascii="Segoe UI" w:hAnsi="Segoe UI" w:cs="Segoe UI"/>
          <w:bCs/>
        </w:rPr>
        <w:t>Human Genetics Society of Australasia (HGSA)</w:t>
      </w:r>
    </w:p>
    <w:p w14:paraId="5F1FB548" w14:textId="6AB5376C" w:rsidR="002D3A13" w:rsidRDefault="002D3A13" w:rsidP="00133449">
      <w:pPr>
        <w:rPr>
          <w:rFonts w:ascii="Segoe UI" w:hAnsi="Segoe UI" w:cs="Segoe UI"/>
          <w:bCs/>
          <w:u w:val="single"/>
        </w:rPr>
      </w:pPr>
      <w:r w:rsidRPr="002D3A13">
        <w:rPr>
          <w:rFonts w:ascii="Segoe UI" w:hAnsi="Segoe UI" w:cs="Segoe UI"/>
          <w:bCs/>
          <w:u w:val="single"/>
        </w:rPr>
        <w:t>Patient and consumer advocacy organisations relevant to the proposed service/health technology</w:t>
      </w:r>
      <w:r>
        <w:rPr>
          <w:rFonts w:ascii="Segoe UI" w:hAnsi="Segoe UI" w:cs="Segoe UI"/>
          <w:bCs/>
          <w:u w:val="single"/>
        </w:rPr>
        <w:t>:</w:t>
      </w:r>
    </w:p>
    <w:p w14:paraId="569AFAED" w14:textId="77777777" w:rsidR="002D3A13" w:rsidRDefault="002D3A13" w:rsidP="002D3A13">
      <w:pPr>
        <w:rPr>
          <w:rFonts w:ascii="Segoe UI" w:hAnsi="Segoe UI" w:cs="Segoe UI"/>
          <w:bCs/>
        </w:rPr>
      </w:pPr>
      <w:r>
        <w:rPr>
          <w:rFonts w:ascii="Segoe UI" w:hAnsi="Segoe UI" w:cs="Segoe UI"/>
          <w:bCs/>
        </w:rPr>
        <w:t>Prostate Cancer Foundation of Australia (PCFA)</w:t>
      </w:r>
    </w:p>
    <w:p w14:paraId="642A8124" w14:textId="77777777" w:rsidR="002D3A13" w:rsidRPr="002D3A13" w:rsidRDefault="002D3A13" w:rsidP="00133449">
      <w:pPr>
        <w:rPr>
          <w:rFonts w:ascii="Segoe UI" w:hAnsi="Segoe UI" w:cs="Segoe UI"/>
          <w:b/>
          <w:u w:val="single"/>
        </w:rPr>
      </w:pPr>
    </w:p>
    <w:p w14:paraId="05BE94C6" w14:textId="77777777" w:rsidR="00133449" w:rsidRPr="0010048D" w:rsidRDefault="00133449" w:rsidP="00133449">
      <w:pPr>
        <w:pStyle w:val="Heading1"/>
        <w:rPr>
          <w:rFonts w:cs="Segoe UI"/>
        </w:rPr>
      </w:pPr>
      <w:r w:rsidRPr="0010048D">
        <w:rPr>
          <w:rFonts w:cs="Segoe UI"/>
        </w:rPr>
        <w:t>Regulatory information</w:t>
      </w:r>
    </w:p>
    <w:p w14:paraId="7B5E1A7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p>
    <w:p w14:paraId="642B0DD7" w14:textId="77777777" w:rsidR="00133449" w:rsidRPr="0010048D" w:rsidRDefault="00133449" w:rsidP="00133449">
      <w:pPr>
        <w:rPr>
          <w:rFonts w:ascii="Segoe UI" w:eastAsia="Segoe UI" w:hAnsi="Segoe UI" w:cs="Segoe UI"/>
          <w:color w:val="000000"/>
        </w:rPr>
      </w:pPr>
      <w:r w:rsidRPr="00646B43">
        <w:rPr>
          <w:rFonts w:ascii="Segoe UI" w:eastAsia="Segoe UI" w:hAnsi="Segoe UI" w:cs="Segoe UI"/>
          <w:color w:val="000000"/>
        </w:rPr>
        <w:t>Yes</w:t>
      </w:r>
    </w:p>
    <w:p w14:paraId="62BEE89D" w14:textId="7F49E818" w:rsidR="00133449" w:rsidRPr="0010048D" w:rsidRDefault="00133449" w:rsidP="00133449">
      <w:pPr>
        <w:rPr>
          <w:rFonts w:ascii="Segoe UI" w:hAnsi="Segoe UI" w:cs="Segoe UI"/>
        </w:rPr>
      </w:pPr>
      <w:r w:rsidRPr="0010048D">
        <w:rPr>
          <w:rFonts w:ascii="Segoe UI" w:eastAsia="Segoe UI" w:hAnsi="Segoe UI" w:cs="Segoe UI"/>
          <w:b/>
          <w:color w:val="000000"/>
        </w:rPr>
        <w:t>Has it been listed or registered or included in the Australian Register of Therapeutic Goods (ARTG) by the Therapeutic Goods Administration (TGA)?</w:t>
      </w:r>
    </w:p>
    <w:p w14:paraId="50EEC45F" w14:textId="77777777" w:rsidR="00133449" w:rsidRPr="007C5FA4" w:rsidRDefault="00133449" w:rsidP="00133449">
      <w:pPr>
        <w:rPr>
          <w:rFonts w:ascii="Segoe UI" w:hAnsi="Segoe UI" w:cs="Segoe UI"/>
        </w:rPr>
      </w:pPr>
      <w:r w:rsidRPr="007C5FA4">
        <w:rPr>
          <w:rFonts w:ascii="Segoe UI" w:eastAsia="Segoe UI" w:hAnsi="Segoe UI" w:cs="Segoe UI"/>
          <w:color w:val="000000"/>
        </w:rPr>
        <w:t>No</w:t>
      </w:r>
    </w:p>
    <w:p w14:paraId="72F05B95" w14:textId="77777777" w:rsidR="00133449" w:rsidRPr="0010048D" w:rsidRDefault="00133449" w:rsidP="00133449">
      <w:pPr>
        <w:rPr>
          <w:rFonts w:ascii="Segoe UI" w:hAnsi="Segoe UI" w:cs="Segoe UI"/>
        </w:rPr>
      </w:pPr>
      <w:r w:rsidRPr="0010048D">
        <w:rPr>
          <w:rFonts w:ascii="Segoe UI" w:eastAsia="Segoe UI" w:hAnsi="Segoe UI" w:cs="Segoe UI"/>
          <w:b/>
          <w:color w:val="000000"/>
        </w:rPr>
        <w:lastRenderedPageBreak/>
        <w:t>Is the therapeutic good classified by the TGA as either a Class III or Active Implantable Medical Device (AIMD) against the TGA regulatory scheme for devices?</w:t>
      </w:r>
    </w:p>
    <w:p w14:paraId="09F652A0" w14:textId="77777777" w:rsidR="00133449" w:rsidRPr="007C5FA4" w:rsidRDefault="00133449" w:rsidP="00133449">
      <w:pPr>
        <w:rPr>
          <w:rFonts w:ascii="Segoe UI" w:hAnsi="Segoe UI" w:cs="Segoe UI"/>
        </w:rPr>
      </w:pPr>
      <w:r w:rsidRPr="007C5FA4">
        <w:rPr>
          <w:rFonts w:ascii="Segoe UI" w:eastAsia="Segoe UI" w:hAnsi="Segoe UI" w:cs="Segoe UI"/>
          <w:color w:val="000000"/>
        </w:rPr>
        <w:t>Class III</w:t>
      </w:r>
    </w:p>
    <w:p w14:paraId="2807230F" w14:textId="77777777" w:rsidR="00133449" w:rsidRPr="0010048D" w:rsidRDefault="00133449" w:rsidP="00133449">
      <w:pPr>
        <w:spacing w:before="240"/>
        <w:rPr>
          <w:rFonts w:ascii="Segoe UI" w:hAnsi="Segoe UI" w:cs="Segoe UI"/>
        </w:rPr>
      </w:pPr>
      <w:r w:rsidRPr="0010048D">
        <w:rPr>
          <w:rFonts w:ascii="Segoe UI" w:eastAsia="Segoe UI" w:hAnsi="Segoe UI" w:cs="Segoe UI"/>
          <w:b/>
          <w:color w:val="000000"/>
        </w:rPr>
        <w:t>Is the therapeutic good to be used in the service exempt from the regulatory requirements of the Therapeutic Goods Act 1989?</w:t>
      </w:r>
    </w:p>
    <w:p w14:paraId="34D8C86C" w14:textId="77777777" w:rsidR="00133449" w:rsidRPr="007C5FA4" w:rsidRDefault="00133449" w:rsidP="00133449">
      <w:pPr>
        <w:rPr>
          <w:rFonts w:ascii="Segoe UI" w:eastAsia="Segoe UI" w:hAnsi="Segoe UI" w:cs="Segoe UI"/>
          <w:color w:val="000000"/>
        </w:rPr>
      </w:pPr>
      <w:r w:rsidRPr="007C5FA4">
        <w:rPr>
          <w:rFonts w:ascii="Segoe UI" w:eastAsia="Segoe UI" w:hAnsi="Segoe UI" w:cs="Segoe UI"/>
          <w:color w:val="000000"/>
        </w:rPr>
        <w:t>No</w:t>
      </w:r>
    </w:p>
    <w:p w14:paraId="7B8DA621"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therapeutic good classified by the TGA as for Research Use Only (RUO)?</w:t>
      </w:r>
    </w:p>
    <w:p w14:paraId="042B4A76" w14:textId="5AFEF9E3" w:rsidR="00133449" w:rsidRPr="007C5FA4" w:rsidRDefault="002D3A13" w:rsidP="00133449">
      <w:pPr>
        <w:rPr>
          <w:rFonts w:ascii="Segoe UI" w:eastAsia="Segoe UI" w:hAnsi="Segoe UI" w:cs="Segoe UI"/>
          <w:color w:val="000000"/>
        </w:rPr>
      </w:pPr>
      <w:r>
        <w:rPr>
          <w:rFonts w:ascii="Segoe UI" w:eastAsia="Segoe UI" w:hAnsi="Segoe UI" w:cs="Segoe UI"/>
          <w:color w:val="000000"/>
        </w:rPr>
        <w:t>No</w:t>
      </w:r>
    </w:p>
    <w:p w14:paraId="0BD437C2" w14:textId="02C551CF" w:rsidR="00133449" w:rsidRPr="0010048D" w:rsidRDefault="00133449" w:rsidP="00133449">
      <w:pPr>
        <w:rPr>
          <w:rFonts w:ascii="Segoe UI" w:eastAsia="Segoe UI" w:hAnsi="Segoe UI" w:cs="Segoe UI"/>
          <w:color w:val="000000"/>
        </w:rPr>
      </w:pPr>
      <w:r w:rsidRPr="0010048D">
        <w:rPr>
          <w:rFonts w:ascii="Segoe UI" w:eastAsia="Segoe UI" w:hAnsi="Segoe UI" w:cs="Segoe UI"/>
          <w:b/>
          <w:bCs/>
          <w:color w:val="000000"/>
        </w:rPr>
        <w:t>Is the therapeutic good in the process of being considered by the TGA?</w:t>
      </w:r>
      <w:r w:rsidRPr="0010048D">
        <w:rPr>
          <w:rFonts w:ascii="Segoe UI" w:eastAsia="Segoe UI" w:hAnsi="Segoe UI" w:cs="Segoe UI"/>
          <w:color w:val="000000"/>
        </w:rPr>
        <w:t xml:space="preserve"> </w:t>
      </w:r>
    </w:p>
    <w:p w14:paraId="676BCB5E" w14:textId="77777777" w:rsidR="00133449" w:rsidRPr="007C5FA4" w:rsidRDefault="00133449" w:rsidP="00133449">
      <w:pPr>
        <w:rPr>
          <w:rFonts w:ascii="Segoe UI" w:eastAsia="Segoe UI" w:hAnsi="Segoe UI" w:cs="Segoe UI"/>
          <w:color w:val="000000"/>
        </w:rPr>
      </w:pPr>
      <w:r w:rsidRPr="007C5FA4">
        <w:rPr>
          <w:rFonts w:ascii="Segoe UI" w:eastAsia="Segoe UI" w:hAnsi="Segoe UI" w:cs="Segoe UI"/>
          <w:color w:val="000000"/>
        </w:rPr>
        <w:t>No</w:t>
      </w:r>
    </w:p>
    <w:p w14:paraId="2D65B056" w14:textId="244693FD" w:rsidR="00133449" w:rsidRPr="0010048D" w:rsidRDefault="00133449" w:rsidP="00133449">
      <w:pPr>
        <w:rPr>
          <w:rFonts w:ascii="Segoe UI" w:eastAsia="Segoe UI" w:hAnsi="Segoe UI" w:cs="Segoe UI"/>
          <w:color w:val="000000"/>
        </w:rPr>
      </w:pPr>
      <w:r w:rsidRPr="0010048D">
        <w:rPr>
          <w:rFonts w:ascii="Segoe UI" w:eastAsia="Segoe UI" w:hAnsi="Segoe UI" w:cs="Segoe UI"/>
          <w:b/>
          <w:bCs/>
          <w:color w:val="000000"/>
        </w:rPr>
        <w:t>Please provide details of when you intend to lodge an ARTG inclusion application, or provide a rationale if you do not intend to lodge an ARTG inclusion application:</w:t>
      </w:r>
      <w:r w:rsidRPr="0010048D">
        <w:rPr>
          <w:rFonts w:ascii="Segoe UI" w:eastAsia="Segoe UI" w:hAnsi="Segoe UI" w:cs="Segoe UI"/>
          <w:color w:val="000000"/>
        </w:rPr>
        <w:t xml:space="preserve"> </w:t>
      </w:r>
    </w:p>
    <w:p w14:paraId="312AAF41" w14:textId="77777777" w:rsidR="00133449" w:rsidRPr="007C5FA4" w:rsidRDefault="00133449" w:rsidP="00133449">
      <w:pPr>
        <w:rPr>
          <w:rFonts w:ascii="Segoe UI" w:eastAsia="Segoe UI" w:hAnsi="Segoe UI" w:cs="Segoe UI"/>
          <w:color w:val="000000"/>
        </w:rPr>
      </w:pPr>
      <w:r w:rsidRPr="007C5FA4">
        <w:rPr>
          <w:rFonts w:ascii="Segoe UI" w:eastAsia="Segoe UI" w:hAnsi="Segoe UI" w:cs="Segoe UI"/>
          <w:color w:val="000000"/>
        </w:rPr>
        <w:t>The sponsor does not intend to lodge an ARTG application. The sponsor asserts with a high level of confidence that the use of established genetic testing is currently performed across NATA-accredited Australian pathology laboratories.</w:t>
      </w:r>
    </w:p>
    <w:p w14:paraId="65D8119A" w14:textId="77777777" w:rsidR="00133449" w:rsidRPr="0010048D" w:rsidRDefault="00133449" w:rsidP="00133449">
      <w:pPr>
        <w:pStyle w:val="Heading1"/>
        <w:rPr>
          <w:rFonts w:cs="Segoe UI"/>
        </w:rPr>
      </w:pPr>
      <w:r w:rsidRPr="0010048D">
        <w:rPr>
          <w:rFonts w:cs="Segoe UI"/>
        </w:rPr>
        <w:t>Codependent details</w:t>
      </w:r>
    </w:p>
    <w:p w14:paraId="2D282DA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Will a submission be made to the Pharmaceutical Benefits Advisory Committee (PBAC)?</w:t>
      </w:r>
    </w:p>
    <w:p w14:paraId="796CC219" w14:textId="77777777" w:rsidR="00133449" w:rsidRPr="007C5FA4" w:rsidRDefault="00133449" w:rsidP="00133449">
      <w:pPr>
        <w:rPr>
          <w:rFonts w:ascii="Segoe UI" w:hAnsi="Segoe UI" w:cs="Segoe UI"/>
        </w:rPr>
      </w:pPr>
      <w:r w:rsidRPr="007C5FA4">
        <w:rPr>
          <w:rFonts w:ascii="Segoe UI" w:eastAsia="Segoe UI" w:hAnsi="Segoe UI" w:cs="Segoe UI"/>
          <w:color w:val="000000"/>
        </w:rPr>
        <w:t>Yes</w:t>
      </w:r>
    </w:p>
    <w:p w14:paraId="5C5F3623"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Please provide a rationale for the </w:t>
      </w:r>
      <w:proofErr w:type="spellStart"/>
      <w:r w:rsidRPr="0010048D">
        <w:rPr>
          <w:rFonts w:ascii="Segoe UI" w:eastAsia="Segoe UI" w:hAnsi="Segoe UI" w:cs="Segoe UI"/>
          <w:b/>
          <w:color w:val="000000"/>
        </w:rPr>
        <w:t>codependency</w:t>
      </w:r>
      <w:proofErr w:type="spellEnd"/>
      <w:r w:rsidRPr="0010048D">
        <w:rPr>
          <w:rFonts w:ascii="Segoe UI" w:eastAsia="Segoe UI" w:hAnsi="Segoe UI" w:cs="Segoe UI"/>
          <w:b/>
          <w:color w:val="000000"/>
        </w:rPr>
        <w:t xml:space="preserve"> and indicate how the proposed PBS restriction would reference the intervention(s) proposed for MSAC consideration:</w:t>
      </w:r>
    </w:p>
    <w:p w14:paraId="4BACBCB3" w14:textId="47774531" w:rsidR="00133449" w:rsidRPr="007C5FA4" w:rsidRDefault="00133449" w:rsidP="00133449">
      <w:pPr>
        <w:rPr>
          <w:rFonts w:ascii="Segoe UI" w:hAnsi="Segoe UI" w:cs="Segoe UI"/>
        </w:rPr>
      </w:pPr>
      <w:r w:rsidRPr="007C5FA4">
        <w:rPr>
          <w:rFonts w:ascii="Segoe UI" w:eastAsia="Segoe UI" w:hAnsi="Segoe UI" w:cs="Segoe UI"/>
          <w:color w:val="000000"/>
        </w:rPr>
        <w:t xml:space="preserve">A co-dep submission will be made to the PBAC seeking listing of </w:t>
      </w:r>
      <w:proofErr w:type="spellStart"/>
      <w:r w:rsidRPr="007C5FA4">
        <w:rPr>
          <w:rFonts w:ascii="Segoe UI" w:eastAsia="Segoe UI" w:hAnsi="Segoe UI" w:cs="Segoe UI"/>
          <w:color w:val="000000"/>
        </w:rPr>
        <w:t>talazoparib</w:t>
      </w:r>
      <w:proofErr w:type="spellEnd"/>
      <w:r w:rsidRPr="007C5FA4">
        <w:rPr>
          <w:rFonts w:ascii="Segoe UI" w:eastAsia="Segoe UI" w:hAnsi="Segoe UI" w:cs="Segoe UI"/>
          <w:color w:val="000000"/>
        </w:rPr>
        <w:t xml:space="preserve"> in combination with enzalutamide for patients with </w:t>
      </w:r>
      <w:proofErr w:type="spellStart"/>
      <w:r w:rsidRPr="007C5FA4">
        <w:rPr>
          <w:rFonts w:ascii="Segoe UI" w:eastAsia="Segoe UI" w:hAnsi="Segoe UI" w:cs="Segoe UI"/>
          <w:color w:val="000000"/>
        </w:rPr>
        <w:t>mCSPC</w:t>
      </w:r>
      <w:proofErr w:type="spellEnd"/>
      <w:r w:rsidRPr="007C5FA4">
        <w:rPr>
          <w:rFonts w:ascii="Segoe UI" w:eastAsia="Segoe UI" w:hAnsi="Segoe UI" w:cs="Segoe UI"/>
          <w:color w:val="000000"/>
        </w:rPr>
        <w:t xml:space="preserve"> whose tumours harbour an HRR gene alteration.</w:t>
      </w:r>
      <w:r w:rsidRPr="007C5FA4">
        <w:rPr>
          <w:rFonts w:ascii="Segoe UI" w:eastAsia="Segoe UI" w:hAnsi="Segoe UI" w:cs="Segoe UI"/>
          <w:color w:val="000000"/>
        </w:rPr>
        <w:br/>
        <w:t xml:space="preserve">MBS funding of HRR panel testing would support biomarker-directed treatment selection by identifying patients eligible for PBS-subsidised </w:t>
      </w:r>
      <w:proofErr w:type="spellStart"/>
      <w:r w:rsidRPr="007C5FA4">
        <w:rPr>
          <w:rFonts w:ascii="Segoe UI" w:eastAsia="Segoe UI" w:hAnsi="Segoe UI" w:cs="Segoe UI"/>
          <w:color w:val="000000"/>
        </w:rPr>
        <w:t>talazoparib</w:t>
      </w:r>
      <w:proofErr w:type="spellEnd"/>
      <w:r w:rsidRPr="007C5FA4">
        <w:rPr>
          <w:rFonts w:ascii="Segoe UI" w:eastAsia="Segoe UI" w:hAnsi="Segoe UI" w:cs="Segoe UI"/>
          <w:color w:val="000000"/>
        </w:rPr>
        <w:t xml:space="preserve"> plus enzalutamide. The proposed MBS service and PBS listing are therefore linked: the </w:t>
      </w:r>
      <w:r w:rsidRPr="007C5FA4">
        <w:rPr>
          <w:rFonts w:ascii="Segoe UI" w:eastAsia="Segoe UI" w:hAnsi="Segoe UI" w:cs="Segoe UI"/>
          <w:color w:val="000000"/>
        </w:rPr>
        <w:lastRenderedPageBreak/>
        <w:t>test identifies the biomarker-defined population for treatment, and the clinical utility of the test in this application is derived from its role in informing access to the linked PBS-subsidised therapy.</w:t>
      </w:r>
      <w:r w:rsidRPr="007C5FA4">
        <w:rPr>
          <w:rFonts w:ascii="Segoe UI" w:eastAsia="Segoe UI" w:hAnsi="Segoe UI" w:cs="Segoe UI"/>
          <w:color w:val="000000"/>
        </w:rPr>
        <w:br/>
        <w:t xml:space="preserve">Accordingly, the PBS restriction for </w:t>
      </w:r>
      <w:proofErr w:type="spellStart"/>
      <w:r w:rsidRPr="007C5FA4">
        <w:rPr>
          <w:rFonts w:ascii="Segoe UI" w:eastAsia="Segoe UI" w:hAnsi="Segoe UI" w:cs="Segoe UI"/>
          <w:color w:val="000000"/>
        </w:rPr>
        <w:t>talazoparib</w:t>
      </w:r>
      <w:proofErr w:type="spellEnd"/>
      <w:r w:rsidRPr="007C5FA4">
        <w:rPr>
          <w:rFonts w:ascii="Segoe UI" w:eastAsia="Segoe UI" w:hAnsi="Segoe UI" w:cs="Segoe UI"/>
          <w:color w:val="000000"/>
        </w:rPr>
        <w:t xml:space="preserve"> plus enzalutamide is expected to require evidence of an HRR gene alteration consistent with the biomarker-defined population evaluated in TALAPRO-3. The TALAPRO-3 study provides the clinical evidence supporting both the proposed test population and the linked treatment.</w:t>
      </w:r>
    </w:p>
    <w:bookmarkEnd w:id="0"/>
    <w:p w14:paraId="118D91EB" w14:textId="77777777" w:rsidR="00F97837" w:rsidRDefault="00F97837"/>
    <w:sectPr w:rsidR="00F97837" w:rsidSect="00133449">
      <w:headerReference w:type="even" r:id="rId6"/>
      <w:headerReference w:type="default" r:id="rId7"/>
      <w:footerReference w:type="even" r:id="rId8"/>
      <w:footerReference w:type="default" r:id="rId9"/>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BD5E3" w14:textId="77777777" w:rsidR="00720B05" w:rsidRDefault="00720B05">
      <w:pPr>
        <w:spacing w:after="0" w:line="240" w:lineRule="auto"/>
      </w:pPr>
      <w:r>
        <w:separator/>
      </w:r>
    </w:p>
  </w:endnote>
  <w:endnote w:type="continuationSeparator" w:id="0">
    <w:p w14:paraId="1F3B65EF" w14:textId="77777777" w:rsidR="00720B05" w:rsidRDefault="00720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D53C" w14:textId="0F5C6B34" w:rsidR="00493034" w:rsidRDefault="00EA58D2">
    <w:pPr>
      <w:pStyle w:val="Footer"/>
    </w:pPr>
    <w:r>
      <w:rPr>
        <w:noProof/>
      </w:rPr>
      <mc:AlternateContent>
        <mc:Choice Requires="wps">
          <w:drawing>
            <wp:anchor distT="0" distB="0" distL="0" distR="0" simplePos="0" relativeHeight="251672576" behindDoc="0" locked="0" layoutInCell="1" allowOverlap="1" wp14:anchorId="67895BCA" wp14:editId="08CFA264">
              <wp:simplePos x="635" y="635"/>
              <wp:positionH relativeFrom="page">
                <wp:align>center</wp:align>
              </wp:positionH>
              <wp:positionV relativeFrom="page">
                <wp:align>bottom</wp:align>
              </wp:positionV>
              <wp:extent cx="622300" cy="405765"/>
              <wp:effectExtent l="0" t="0" r="6350" b="0"/>
              <wp:wrapNone/>
              <wp:docPr id="984330188"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DF891F9" w14:textId="4404EA2E" w:rsidR="00EA58D2" w:rsidRPr="00EA58D2" w:rsidRDefault="00EA58D2" w:rsidP="00EA58D2">
                          <w:pPr>
                            <w:spacing w:after="0"/>
                            <w:rPr>
                              <w:rFonts w:ascii="Aptos" w:eastAsia="Aptos" w:hAnsi="Aptos" w:cs="Aptos"/>
                              <w:noProof/>
                              <w:color w:val="FF0000"/>
                            </w:rPr>
                          </w:pPr>
                          <w:r w:rsidRPr="00EA58D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895BCA" id="_x0000_t202" coordsize="21600,21600" o:spt="202" path="m,l,21600r21600,l21600,xe">
              <v:stroke joinstyle="miter"/>
              <v:path gradientshapeok="t" o:connecttype="rect"/>
            </v:shapetype>
            <v:shape id="Text Box 13" o:spid="_x0000_s1027" type="#_x0000_t202" alt="OFFICIAL" style="position:absolute;margin-left:0;margin-top:0;width:49pt;height:31.9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7DF891F9" w14:textId="4404EA2E" w:rsidR="00EA58D2" w:rsidRPr="00EA58D2" w:rsidRDefault="00EA58D2" w:rsidP="00EA58D2">
                    <w:pPr>
                      <w:spacing w:after="0"/>
                      <w:rPr>
                        <w:rFonts w:ascii="Aptos" w:eastAsia="Aptos" w:hAnsi="Aptos" w:cs="Aptos"/>
                        <w:noProof/>
                        <w:color w:val="FF0000"/>
                      </w:rPr>
                    </w:pPr>
                    <w:r w:rsidRPr="00EA58D2">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06737AE3" w:rsidR="00F97837" w:rsidRDefault="00F97837">
    <w:pPr>
      <w:pStyle w:val="Footer"/>
      <w:jc w:val="right"/>
    </w:pPr>
  </w:p>
  <w:p w14:paraId="6552B54D" w14:textId="77777777" w:rsidR="00F97837" w:rsidRDefault="00F97837">
    <w:pPr>
      <w:pStyle w:val="EmptyCellLayoutStyle"/>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C0FD3" w14:textId="77777777" w:rsidR="00720B05" w:rsidRDefault="00720B05">
      <w:pPr>
        <w:spacing w:after="0" w:line="240" w:lineRule="auto"/>
      </w:pPr>
      <w:r>
        <w:separator/>
      </w:r>
    </w:p>
  </w:footnote>
  <w:footnote w:type="continuationSeparator" w:id="0">
    <w:p w14:paraId="13A9F9B1" w14:textId="77777777" w:rsidR="00720B05" w:rsidRDefault="00720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B385" w14:textId="41EF7325" w:rsidR="00493034" w:rsidRDefault="00EA58D2">
    <w:pPr>
      <w:pStyle w:val="Header"/>
    </w:pPr>
    <w:r>
      <w:rPr>
        <w:noProof/>
      </w:rPr>
      <mc:AlternateContent>
        <mc:Choice Requires="wps">
          <w:drawing>
            <wp:anchor distT="0" distB="0" distL="0" distR="0" simplePos="0" relativeHeight="251669504" behindDoc="0" locked="0" layoutInCell="1" allowOverlap="1" wp14:anchorId="1A212EC1" wp14:editId="3996DADF">
              <wp:simplePos x="635" y="635"/>
              <wp:positionH relativeFrom="page">
                <wp:align>center</wp:align>
              </wp:positionH>
              <wp:positionV relativeFrom="page">
                <wp:align>top</wp:align>
              </wp:positionV>
              <wp:extent cx="622300" cy="405765"/>
              <wp:effectExtent l="0" t="0" r="6350" b="13335"/>
              <wp:wrapNone/>
              <wp:docPr id="521995344"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05D1FCD" w14:textId="0F99AFB3" w:rsidR="00EA58D2" w:rsidRPr="00EA58D2" w:rsidRDefault="00EA58D2" w:rsidP="00EA58D2">
                          <w:pPr>
                            <w:spacing w:after="0"/>
                            <w:rPr>
                              <w:rFonts w:ascii="Aptos" w:eastAsia="Aptos" w:hAnsi="Aptos" w:cs="Aptos"/>
                              <w:noProof/>
                              <w:color w:val="FF0000"/>
                            </w:rPr>
                          </w:pPr>
                          <w:r w:rsidRPr="00EA58D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212EC1" id="_x0000_t202" coordsize="21600,21600" o:spt="202" path="m,l,21600r21600,l21600,xe">
              <v:stroke joinstyle="miter"/>
              <v:path gradientshapeok="t" o:connecttype="rect"/>
            </v:shapetype>
            <v:shape id="Text Box 10" o:spid="_x0000_s1026" type="#_x0000_t202" alt="OFFICIAL" style="position:absolute;margin-left:0;margin-top:0;width:49pt;height:31.9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005D1FCD" w14:textId="0F99AFB3" w:rsidR="00EA58D2" w:rsidRPr="00EA58D2" w:rsidRDefault="00EA58D2" w:rsidP="00EA58D2">
                    <w:pPr>
                      <w:spacing w:after="0"/>
                      <w:rPr>
                        <w:rFonts w:ascii="Aptos" w:eastAsia="Aptos" w:hAnsi="Aptos" w:cs="Aptos"/>
                        <w:noProof/>
                        <w:color w:val="FF0000"/>
                      </w:rPr>
                    </w:pPr>
                    <w:r w:rsidRPr="00EA58D2">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797B337F" w:rsidR="00F97837" w:rsidRDefault="00EF0F5D">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104090"/>
    <w:rsid w:val="00133449"/>
    <w:rsid w:val="001E104A"/>
    <w:rsid w:val="002D3A13"/>
    <w:rsid w:val="002F547E"/>
    <w:rsid w:val="003B4D31"/>
    <w:rsid w:val="003F2B83"/>
    <w:rsid w:val="00493034"/>
    <w:rsid w:val="0052679C"/>
    <w:rsid w:val="00681E26"/>
    <w:rsid w:val="006A6049"/>
    <w:rsid w:val="00720B05"/>
    <w:rsid w:val="0086036A"/>
    <w:rsid w:val="00870086"/>
    <w:rsid w:val="00942864"/>
    <w:rsid w:val="00AD1FAF"/>
    <w:rsid w:val="00C632EE"/>
    <w:rsid w:val="00CA67CC"/>
    <w:rsid w:val="00EA58D2"/>
    <w:rsid w:val="00EF0F5D"/>
    <w:rsid w:val="00F05105"/>
    <w:rsid w:val="00F978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49303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paragraph" w:styleId="Header">
    <w:name w:val="header"/>
    <w:basedOn w:val="Normal"/>
    <w:link w:val="HeaderChar"/>
    <w:uiPriority w:val="99"/>
    <w:unhideWhenUsed/>
    <w:rsid w:val="004930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034"/>
  </w:style>
  <w:style w:type="character" w:customStyle="1" w:styleId="Heading2Char">
    <w:name w:val="Heading 2 Char"/>
    <w:basedOn w:val="DefaultParagraphFont"/>
    <w:link w:val="Heading2"/>
    <w:uiPriority w:val="9"/>
    <w:semiHidden/>
    <w:rsid w:val="00493034"/>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3119</Words>
  <Characters>18998</Characters>
  <Application>Microsoft Office Word</Application>
  <DocSecurity>0</DocSecurity>
  <Lines>413</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2026-09-17T05:52:00Z</dcterms:created>
  <dcterms:modified xsi:type="dcterms:W3CDTF">2026-09-17T06:01:00Z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5d25dacc,1f1d0450,7e6bc1c9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c800800,3aabafcc,1d21d8f7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2026-09-17T05:58:46Z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b58e0fb1-8291-4dd8-86d1-dd7dc989ca28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