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2077D" w14:textId="422C187A" w:rsidR="00133449" w:rsidRPr="0065027C" w:rsidRDefault="009E32D2" w:rsidP="00133449">
      <w:pPr>
        <w:pStyle w:val="Title"/>
        <w:spacing w:before="960" w:after="240"/>
        <w:jc w:val="center"/>
        <w:rPr>
          <w:rFonts w:ascii="Segoe UI" w:eastAsiaTheme="minorHAnsi" w:hAnsi="Segoe UI" w:cs="Segoe UI"/>
          <w:b/>
          <w:bCs/>
          <w:lang w:eastAsia="en-US"/>
        </w:rPr>
      </w:pPr>
      <w:bookmarkStart w:id="0" w:name="_Hlk181277161"/>
      <w:r>
        <w:rPr>
          <w:rFonts w:ascii="Segoe UI" w:eastAsiaTheme="minorHAnsi" w:hAnsi="Segoe UI" w:cs="Segoe UI"/>
          <w:b/>
          <w:bCs/>
          <w:lang w:eastAsia="en-US"/>
        </w:rPr>
        <w:t>MSAC</w:t>
      </w:r>
      <w:r w:rsidR="00133449" w:rsidRPr="0065027C">
        <w:rPr>
          <w:rFonts w:ascii="Segoe UI" w:eastAsiaTheme="minorHAnsi" w:hAnsi="Segoe UI" w:cs="Segoe UI"/>
          <w:b/>
          <w:bCs/>
          <w:lang w:eastAsia="en-US"/>
        </w:rPr>
        <w:t xml:space="preserve"> application </w:t>
      </w:r>
      <w:r>
        <w:rPr>
          <w:rFonts w:ascii="Segoe UI" w:eastAsiaTheme="minorHAnsi" w:hAnsi="Segoe UI" w:cs="Segoe UI"/>
          <w:b/>
          <w:bCs/>
          <w:lang w:eastAsia="en-US"/>
        </w:rPr>
        <w:t>18</w:t>
      </w:r>
      <w:r w:rsidR="00BD2486">
        <w:rPr>
          <w:rFonts w:ascii="Segoe UI" w:eastAsiaTheme="minorHAnsi" w:hAnsi="Segoe UI" w:cs="Segoe UI"/>
          <w:b/>
          <w:bCs/>
          <w:lang w:eastAsia="en-US"/>
        </w:rPr>
        <w:t>35</w:t>
      </w:r>
    </w:p>
    <w:p w14:paraId="08D98030" w14:textId="6376AC3C" w:rsidR="00133449" w:rsidRPr="0010048D" w:rsidRDefault="00BD2486" w:rsidP="00BD2486">
      <w:pPr>
        <w:jc w:val="center"/>
        <w:rPr>
          <w:rFonts w:ascii="Segoe UI" w:eastAsia="Segoe UI" w:hAnsi="Segoe UI" w:cs="Segoe UI"/>
          <w:b/>
          <w:color w:val="000000"/>
          <w:sz w:val="32"/>
        </w:rPr>
      </w:pPr>
      <w:proofErr w:type="spellStart"/>
      <w:r w:rsidRPr="00BD2486">
        <w:rPr>
          <w:rFonts w:ascii="Segoe UI" w:eastAsiaTheme="minorHAnsi" w:hAnsi="Segoe UI" w:cs="Segoe UI"/>
          <w:b/>
          <w:bCs/>
          <w:color w:val="153D63" w:themeColor="text2" w:themeTint="E6"/>
          <w:spacing w:val="15"/>
          <w:sz w:val="48"/>
          <w:szCs w:val="48"/>
          <w:lang w:eastAsia="en-US"/>
        </w:rPr>
        <w:t>Lifileucel</w:t>
      </w:r>
      <w:proofErr w:type="spellEnd"/>
      <w:r w:rsidRPr="00BD2486">
        <w:rPr>
          <w:rFonts w:ascii="Segoe UI" w:eastAsiaTheme="minorHAnsi" w:hAnsi="Segoe UI" w:cs="Segoe UI"/>
          <w:b/>
          <w:bCs/>
          <w:color w:val="153D63" w:themeColor="text2" w:themeTint="E6"/>
          <w:spacing w:val="15"/>
          <w:sz w:val="48"/>
          <w:szCs w:val="48"/>
          <w:lang w:eastAsia="en-US"/>
        </w:rPr>
        <w:t xml:space="preserve"> for the treatment of patients with previously treated unresectable or metastatic melanoma</w:t>
      </w:r>
      <w:r w:rsidR="00133449" w:rsidRPr="0010048D">
        <w:rPr>
          <w:rFonts w:ascii="Segoe UI" w:hAnsi="Segoe UI" w:cs="Segoe UI"/>
        </w:rPr>
        <w:br w:type="page"/>
      </w:r>
    </w:p>
    <w:p w14:paraId="1B176AAF" w14:textId="0C225380" w:rsidR="00133449" w:rsidRPr="0010048D" w:rsidRDefault="00EB1D62" w:rsidP="00133449">
      <w:pPr>
        <w:pStyle w:val="Heading1"/>
        <w:rPr>
          <w:rFonts w:cs="Segoe UI"/>
        </w:rPr>
      </w:pPr>
      <w:r w:rsidRPr="00EB1D62">
        <w:rPr>
          <w:rFonts w:cs="Segoe UI"/>
        </w:rPr>
        <w:lastRenderedPageBreak/>
        <w:t>Application or referral for other medical service or health technology</w:t>
      </w:r>
    </w:p>
    <w:p w14:paraId="6877642E" w14:textId="7EF7D23E" w:rsidR="00133449" w:rsidRPr="005B57C1" w:rsidRDefault="00133449" w:rsidP="00133449">
      <w:pPr>
        <w:rPr>
          <w:rFonts w:ascii="Segoe UI" w:eastAsia="Segoe UI" w:hAnsi="Segoe UI" w:cs="Segoe UI"/>
          <w:color w:val="000000"/>
        </w:rPr>
      </w:pPr>
      <w:r w:rsidRPr="0010048D">
        <w:rPr>
          <w:rFonts w:ascii="Segoe UI" w:eastAsia="Segoe UI" w:hAnsi="Segoe UI" w:cs="Segoe UI"/>
          <w:b/>
          <w:color w:val="000000"/>
        </w:rPr>
        <w:t>HPP Application number:</w:t>
      </w:r>
      <w:r w:rsidR="003D5C3F">
        <w:rPr>
          <w:rFonts w:ascii="Segoe UI" w:eastAsia="Segoe UI" w:hAnsi="Segoe UI" w:cs="Segoe UI"/>
          <w:b/>
          <w:color w:val="000000"/>
        </w:rPr>
        <w:br/>
      </w:r>
      <w:r w:rsidRPr="005B57C1">
        <w:rPr>
          <w:rFonts w:ascii="Segoe UI" w:eastAsia="Segoe UI" w:hAnsi="Segoe UI" w:cs="Segoe UI"/>
          <w:color w:val="000000"/>
        </w:rPr>
        <w:t>HPP200446</w:t>
      </w:r>
    </w:p>
    <w:p w14:paraId="28AE5EE5" w14:textId="1323D49E" w:rsidR="00133449" w:rsidRPr="005B57C1" w:rsidRDefault="00133449" w:rsidP="00133449">
      <w:pPr>
        <w:rPr>
          <w:rFonts w:ascii="Segoe UI" w:eastAsia="Segoe UI" w:hAnsi="Segoe UI" w:cs="Segoe UI"/>
          <w:color w:val="000000"/>
        </w:rPr>
      </w:pPr>
      <w:r w:rsidRPr="0010048D">
        <w:rPr>
          <w:rFonts w:ascii="Segoe UI" w:eastAsia="Segoe UI" w:hAnsi="Segoe UI" w:cs="Segoe UI"/>
          <w:b/>
          <w:color w:val="000000"/>
        </w:rPr>
        <w:t>Application title:</w:t>
      </w:r>
      <w:r w:rsidR="003D5C3F">
        <w:rPr>
          <w:rFonts w:ascii="Segoe UI" w:eastAsia="Segoe UI" w:hAnsi="Segoe UI" w:cs="Segoe UI"/>
          <w:b/>
          <w:color w:val="000000"/>
        </w:rPr>
        <w:br/>
      </w:r>
      <w:proofErr w:type="spellStart"/>
      <w:r w:rsidRPr="005B57C1">
        <w:rPr>
          <w:rFonts w:ascii="Segoe UI" w:eastAsia="Segoe UI" w:hAnsi="Segoe UI" w:cs="Segoe UI"/>
          <w:color w:val="000000"/>
        </w:rPr>
        <w:t>Lifileucel</w:t>
      </w:r>
      <w:proofErr w:type="spellEnd"/>
      <w:r w:rsidRPr="005B57C1">
        <w:rPr>
          <w:rFonts w:ascii="Segoe UI" w:eastAsia="Segoe UI" w:hAnsi="Segoe UI" w:cs="Segoe UI"/>
          <w:color w:val="000000"/>
        </w:rPr>
        <w:t xml:space="preserve"> (AMTAGVI) for previously treated unresectable or metastatic melanoma</w:t>
      </w:r>
    </w:p>
    <w:p w14:paraId="44826F65" w14:textId="053F0C0F" w:rsidR="00133449" w:rsidRPr="0010048D" w:rsidRDefault="00133449" w:rsidP="00133449">
      <w:pPr>
        <w:rPr>
          <w:rFonts w:ascii="Segoe UI" w:hAnsi="Segoe UI" w:cs="Segoe UI"/>
        </w:rPr>
      </w:pPr>
      <w:r w:rsidRPr="0010048D">
        <w:rPr>
          <w:rFonts w:ascii="Segoe UI" w:eastAsia="Segoe UI" w:hAnsi="Segoe UI" w:cs="Segoe UI"/>
          <w:b/>
          <w:color w:val="000000"/>
        </w:rPr>
        <w:t xml:space="preserve">Submitting organisation: </w:t>
      </w:r>
      <w:r w:rsidR="003D5C3F">
        <w:rPr>
          <w:rFonts w:ascii="Segoe UI" w:eastAsia="Segoe UI" w:hAnsi="Segoe UI" w:cs="Segoe UI"/>
          <w:b/>
          <w:color w:val="000000"/>
        </w:rPr>
        <w:br/>
      </w:r>
      <w:r>
        <w:rPr>
          <w:rFonts w:ascii="Segoe UI" w:eastAsia="Segoe UI" w:hAnsi="Segoe UI" w:cs="Segoe UI"/>
          <w:color w:val="000000"/>
        </w:rPr>
        <w:t>IOVANCE AUSTRALIA PTY LTD</w:t>
      </w:r>
    </w:p>
    <w:p w14:paraId="04FE4FD7" w14:textId="4514D536" w:rsidR="00133449" w:rsidRPr="0010048D" w:rsidRDefault="00133449" w:rsidP="00133449">
      <w:pPr>
        <w:rPr>
          <w:rFonts w:ascii="Segoe UI" w:hAnsi="Segoe UI" w:cs="Segoe UI"/>
        </w:rPr>
      </w:pPr>
      <w:r w:rsidRPr="0010048D">
        <w:rPr>
          <w:rFonts w:ascii="Segoe UI" w:eastAsia="Segoe UI" w:hAnsi="Segoe UI" w:cs="Segoe UI"/>
          <w:b/>
          <w:color w:val="000000"/>
        </w:rPr>
        <w:t>Submitting organisation ABN:</w:t>
      </w:r>
      <w:r w:rsidR="003D5C3F">
        <w:rPr>
          <w:rFonts w:ascii="Segoe UI" w:eastAsia="Segoe UI" w:hAnsi="Segoe UI" w:cs="Segoe UI"/>
          <w:b/>
          <w:color w:val="000000"/>
        </w:rPr>
        <w:br/>
      </w:r>
      <w:r>
        <w:rPr>
          <w:rFonts w:ascii="Segoe UI" w:hAnsi="Segoe UI" w:cs="Segoe UI"/>
        </w:rPr>
        <w:t>60683226520</w:t>
      </w:r>
    </w:p>
    <w:p w14:paraId="2B498BDA" w14:textId="77777777" w:rsidR="00133449" w:rsidRPr="0010048D" w:rsidRDefault="00133449" w:rsidP="00133449">
      <w:pPr>
        <w:pStyle w:val="Heading1"/>
        <w:rPr>
          <w:rFonts w:cs="Segoe UI"/>
        </w:rPr>
      </w:pPr>
      <w:r w:rsidRPr="0010048D">
        <w:rPr>
          <w:rFonts w:cs="Segoe UI"/>
        </w:rPr>
        <w:t>Application description</w:t>
      </w:r>
    </w:p>
    <w:p w14:paraId="3F86EC22"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Succinct description of the medical condition/s:</w:t>
      </w:r>
    </w:p>
    <w:p w14:paraId="361DA832" w14:textId="77777777" w:rsidR="00133449" w:rsidRPr="00DA3592" w:rsidRDefault="00133449" w:rsidP="00133449">
      <w:pPr>
        <w:rPr>
          <w:rFonts w:ascii="Segoe UI" w:hAnsi="Segoe UI" w:cs="Segoe UI"/>
        </w:rPr>
      </w:pPr>
      <w:r w:rsidRPr="00DA3592">
        <w:rPr>
          <w:rFonts w:ascii="Segoe UI" w:eastAsia="Segoe UI" w:hAnsi="Segoe UI" w:cs="Segoe UI"/>
          <w:color w:val="000000"/>
        </w:rPr>
        <w:t>Treatment of adult patients with unresectable or metastatic melanoma previously treated with a PD-1 blocking antibody, and if BRAF V600 mutation positive, a BRAF inhibitor with or without a MEK inhibitor.</w:t>
      </w:r>
      <w:r w:rsidRPr="00DA3592">
        <w:rPr>
          <w:rFonts w:ascii="Segoe UI" w:eastAsia="Segoe UI" w:hAnsi="Segoe UI" w:cs="Segoe UI"/>
          <w:color w:val="000000"/>
        </w:rPr>
        <w:br/>
      </w:r>
      <w:r w:rsidRPr="00DA3592">
        <w:rPr>
          <w:rFonts w:ascii="Segoe UI" w:eastAsia="Segoe UI" w:hAnsi="Segoe UI" w:cs="Segoe UI"/>
          <w:color w:val="000000"/>
        </w:rPr>
        <w:br/>
        <w:t xml:space="preserve">Patients have limited treatment options available and represent a significant unmet medical need in advanced melanoma management, as they have exhausted standard </w:t>
      </w:r>
      <w:proofErr w:type="spellStart"/>
      <w:r w:rsidRPr="00DA3592">
        <w:rPr>
          <w:rFonts w:ascii="Segoe UI" w:eastAsia="Segoe UI" w:hAnsi="Segoe UI" w:cs="Segoe UI"/>
          <w:color w:val="000000"/>
        </w:rPr>
        <w:t>firstline</w:t>
      </w:r>
      <w:proofErr w:type="spellEnd"/>
      <w:r w:rsidRPr="00DA3592">
        <w:rPr>
          <w:rFonts w:ascii="Segoe UI" w:eastAsia="Segoe UI" w:hAnsi="Segoe UI" w:cs="Segoe UI"/>
          <w:color w:val="000000"/>
        </w:rPr>
        <w:t xml:space="preserve"> and often second and later-line therapeutic approaches.</w:t>
      </w:r>
    </w:p>
    <w:p w14:paraId="2ACA69D2"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Succinct description of the service or health technology:</w:t>
      </w:r>
    </w:p>
    <w:p w14:paraId="324A6718" w14:textId="10704AB9" w:rsidR="00133449" w:rsidRPr="005B57C1" w:rsidRDefault="00133449" w:rsidP="00133449">
      <w:pPr>
        <w:rPr>
          <w:rFonts w:ascii="Segoe UI" w:eastAsia="Segoe UI" w:hAnsi="Segoe UI" w:cs="Segoe UI"/>
          <w:color w:val="000000"/>
        </w:rPr>
      </w:pPr>
      <w:r w:rsidRPr="00DA3592">
        <w:rPr>
          <w:rFonts w:ascii="Segoe UI" w:eastAsia="Segoe UI" w:hAnsi="Segoe UI" w:cs="Segoe UI"/>
          <w:color w:val="000000"/>
        </w:rPr>
        <w:t>AMTAGVI (</w:t>
      </w:r>
      <w:proofErr w:type="spellStart"/>
      <w:r w:rsidRPr="00DA3592">
        <w:rPr>
          <w:rFonts w:ascii="Segoe UI" w:eastAsia="Segoe UI" w:hAnsi="Segoe UI" w:cs="Segoe UI"/>
          <w:color w:val="000000"/>
        </w:rPr>
        <w:t>Lifileucel</w:t>
      </w:r>
      <w:proofErr w:type="spellEnd"/>
      <w:r w:rsidRPr="00DA3592">
        <w:rPr>
          <w:rFonts w:ascii="Segoe UI" w:eastAsia="Segoe UI" w:hAnsi="Segoe UI" w:cs="Segoe UI"/>
          <w:color w:val="000000"/>
        </w:rPr>
        <w:t>) is an autologous T cell immunotherapy containing tumour-infiltrating lymphocytes (TIL) indicated for the treatment of adult patients with unresectable or metastatic melanoma previously treated with a PD-1 blocking antibody, and if BRAF V600 mutation positive, a BRAF inhibitor with or without a MEK inhibitor.</w:t>
      </w:r>
      <w:r w:rsidRPr="00DA3592">
        <w:rPr>
          <w:rFonts w:ascii="Segoe UI" w:eastAsia="Segoe UI" w:hAnsi="Segoe UI" w:cs="Segoe UI"/>
          <w:color w:val="000000"/>
        </w:rPr>
        <w:br/>
      </w:r>
      <w:r w:rsidRPr="00DA3592">
        <w:rPr>
          <w:rFonts w:ascii="Segoe UI" w:eastAsia="Segoe UI" w:hAnsi="Segoe UI" w:cs="Segoe UI"/>
          <w:color w:val="000000"/>
        </w:rPr>
        <w:br/>
        <w:t>AMTAGVI was first TGA approved for this indication on June 4th</w:t>
      </w:r>
      <w:proofErr w:type="gramStart"/>
      <w:r w:rsidRPr="00DA3592">
        <w:rPr>
          <w:rFonts w:ascii="Segoe UI" w:eastAsia="Segoe UI" w:hAnsi="Segoe UI" w:cs="Segoe UI"/>
          <w:color w:val="000000"/>
        </w:rPr>
        <w:t xml:space="preserve"> 2026</w:t>
      </w:r>
      <w:proofErr w:type="gramEnd"/>
    </w:p>
    <w:p w14:paraId="6B61DA55" w14:textId="77777777" w:rsidR="00133449" w:rsidRPr="0010048D" w:rsidRDefault="00133449" w:rsidP="00133449">
      <w:pPr>
        <w:pStyle w:val="Heading1"/>
        <w:rPr>
          <w:rFonts w:cs="Segoe UI"/>
        </w:rPr>
      </w:pPr>
      <w:r w:rsidRPr="0010048D">
        <w:rPr>
          <w:rFonts w:cs="Segoe UI"/>
        </w:rPr>
        <w:t>Application contact details</w:t>
      </w:r>
    </w:p>
    <w:p w14:paraId="273CAE8C"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Are you applying on behalf of an organisation, or as an individual?</w:t>
      </w:r>
    </w:p>
    <w:p w14:paraId="5E00F69E" w14:textId="77777777" w:rsidR="00133449" w:rsidRDefault="00133449" w:rsidP="00133449">
      <w:pPr>
        <w:rPr>
          <w:rFonts w:ascii="Segoe UI" w:eastAsia="Segoe UI" w:hAnsi="Segoe UI" w:cs="Segoe UI"/>
          <w:color w:val="000000"/>
        </w:rPr>
      </w:pPr>
      <w:r w:rsidRPr="00DA3592">
        <w:rPr>
          <w:rFonts w:ascii="Segoe UI" w:eastAsia="Segoe UI" w:hAnsi="Segoe UI" w:cs="Segoe UI"/>
          <w:color w:val="000000"/>
        </w:rPr>
        <w:t>Organisation</w:t>
      </w:r>
    </w:p>
    <w:p w14:paraId="7DF286D6" w14:textId="77777777" w:rsidR="00887431" w:rsidRPr="00FB3833" w:rsidRDefault="00887431" w:rsidP="00887431">
      <w:pPr>
        <w:rPr>
          <w:rFonts w:ascii="Segoe UI" w:hAnsi="Segoe UI" w:cs="Segoe UI"/>
        </w:rPr>
      </w:pPr>
      <w:r w:rsidRPr="00FB3833">
        <w:rPr>
          <w:rFonts w:ascii="Segoe UI" w:eastAsia="Segoe UI" w:hAnsi="Segoe UI" w:cs="Segoe UI"/>
          <w:b/>
          <w:color w:val="000000"/>
        </w:rPr>
        <w:lastRenderedPageBreak/>
        <w:t>Is the applicant organisation the organisation you are representing in the HPP today?</w:t>
      </w:r>
    </w:p>
    <w:p w14:paraId="62A563CC" w14:textId="16CE2DD9" w:rsidR="00887431" w:rsidRPr="00DA3592" w:rsidRDefault="00887431" w:rsidP="00133449">
      <w:pPr>
        <w:rPr>
          <w:rFonts w:ascii="Segoe UI" w:hAnsi="Segoe UI" w:cs="Segoe UI"/>
        </w:rPr>
      </w:pPr>
      <w:r>
        <w:rPr>
          <w:rFonts w:ascii="Segoe UI" w:eastAsia="Segoe UI" w:hAnsi="Segoe UI" w:cs="Segoe UI"/>
          <w:color w:val="000000"/>
        </w:rPr>
        <w:t>Yes</w:t>
      </w:r>
    </w:p>
    <w:p w14:paraId="6601E95B"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Applicant organisation name:</w:t>
      </w:r>
    </w:p>
    <w:p w14:paraId="72623FB7" w14:textId="77777777" w:rsidR="00133449" w:rsidRPr="00DA3592" w:rsidRDefault="00133449" w:rsidP="00133449">
      <w:pPr>
        <w:rPr>
          <w:rFonts w:ascii="Segoe UI" w:eastAsia="Segoe UI" w:hAnsi="Segoe UI" w:cs="Segoe UI"/>
          <w:color w:val="000000"/>
        </w:rPr>
      </w:pPr>
      <w:r w:rsidRPr="00DA3592">
        <w:rPr>
          <w:rFonts w:ascii="Segoe UI" w:eastAsia="Segoe UI" w:hAnsi="Segoe UI" w:cs="Segoe UI"/>
          <w:color w:val="000000"/>
        </w:rPr>
        <w:t>IOVANCE AUSTRALIA PTY LTD</w:t>
      </w:r>
    </w:p>
    <w:p w14:paraId="3E3352C1" w14:textId="77777777" w:rsidR="00133449" w:rsidRDefault="00133449" w:rsidP="00133449">
      <w:pPr>
        <w:pStyle w:val="Heading1"/>
        <w:rPr>
          <w:rFonts w:cs="Segoe UI"/>
        </w:rPr>
      </w:pPr>
      <w:r w:rsidRPr="00E448F0">
        <w:rPr>
          <w:rFonts w:cs="Segoe UI"/>
          <w:color w:val="153D63" w:themeColor="text2" w:themeTint="E6"/>
        </w:rPr>
        <w:t>Application</w:t>
      </w:r>
      <w:r w:rsidRPr="0010048D">
        <w:rPr>
          <w:rFonts w:cs="Segoe UI"/>
        </w:rPr>
        <w:t xml:space="preserve"> details</w:t>
      </w:r>
    </w:p>
    <w:p w14:paraId="63369A78" w14:textId="77777777" w:rsidR="00D932B0" w:rsidRPr="00FB3833" w:rsidRDefault="00D932B0" w:rsidP="00D932B0">
      <w:pPr>
        <w:rPr>
          <w:rFonts w:ascii="Segoe UI" w:hAnsi="Segoe UI" w:cs="Segoe UI"/>
          <w:b/>
          <w:bCs/>
        </w:rPr>
      </w:pPr>
      <w:r w:rsidRPr="00FB3833">
        <w:rPr>
          <w:rFonts w:ascii="Segoe UI" w:hAnsi="Segoe UI" w:cs="Segoe UI"/>
          <w:b/>
          <w:bCs/>
        </w:rPr>
        <w:t>Please select the program through which the health technology would be funded:</w:t>
      </w:r>
    </w:p>
    <w:p w14:paraId="40D0E6E7" w14:textId="42BDFDBF" w:rsidR="00D932B0" w:rsidRPr="00FB3833" w:rsidRDefault="00D932B0" w:rsidP="00D932B0">
      <w:pPr>
        <w:rPr>
          <w:rFonts w:ascii="Segoe UI" w:hAnsi="Segoe UI" w:cs="Segoe UI"/>
        </w:rPr>
      </w:pPr>
      <w:r>
        <w:rPr>
          <w:rFonts w:ascii="Segoe UI" w:hAnsi="Segoe UI" w:cs="Segoe UI"/>
        </w:rPr>
        <w:t>National Health Reform Agreement Addendum (Highly specialised therapies)</w:t>
      </w:r>
    </w:p>
    <w:p w14:paraId="33C06DEE" w14:textId="77777777" w:rsidR="00D932B0" w:rsidRPr="00FB3833" w:rsidRDefault="00D932B0" w:rsidP="00D932B0">
      <w:pPr>
        <w:rPr>
          <w:rFonts w:ascii="Segoe UI" w:hAnsi="Segoe UI" w:cs="Segoe UI"/>
          <w:b/>
          <w:bCs/>
        </w:rPr>
      </w:pPr>
      <w:r w:rsidRPr="00FB3833">
        <w:rPr>
          <w:rFonts w:ascii="Segoe UI" w:hAnsi="Segoe UI" w:cs="Segoe UI"/>
          <w:b/>
          <w:bCs/>
        </w:rPr>
        <w:t>Please provide justification for selecting the above program:</w:t>
      </w:r>
    </w:p>
    <w:p w14:paraId="7846204B" w14:textId="3774E60A" w:rsidR="00D932B0" w:rsidRPr="00FB3833" w:rsidRDefault="00D932B0" w:rsidP="00D932B0">
      <w:pPr>
        <w:rPr>
          <w:rFonts w:ascii="Segoe UI" w:hAnsi="Segoe UI" w:cs="Segoe UI"/>
        </w:rPr>
      </w:pPr>
      <w:r>
        <w:rPr>
          <w:rFonts w:ascii="Segoe UI" w:eastAsia="Segoe UI" w:hAnsi="Segoe UI" w:cs="Segoe UI"/>
          <w:color w:val="000000"/>
        </w:rPr>
        <w:t>Advanced melanoma is a serious form of skin cancer that has either spread to other parts of the body (metastatic melanoma) or cannot be removed with surgery (unresectable melanoma). Once melanoma reaches this stage, it can grow quickly and become life-threatening.</w:t>
      </w:r>
      <w:r>
        <w:rPr>
          <w:rFonts w:ascii="Segoe UI" w:eastAsia="Segoe UI" w:hAnsi="Segoe UI" w:cs="Segoe UI"/>
          <w:color w:val="000000"/>
        </w:rPr>
        <w:br/>
      </w:r>
      <w:r>
        <w:rPr>
          <w:rFonts w:ascii="Segoe UI" w:eastAsia="Segoe UI" w:hAnsi="Segoe UI" w:cs="Segoe UI"/>
          <w:color w:val="000000"/>
        </w:rPr>
        <w:br/>
        <w:t xml:space="preserve">Many patients are initially treated with immunotherapy drugs (such as pembrolizumab, nivolumab, ipilimumab or </w:t>
      </w:r>
      <w:proofErr w:type="spellStart"/>
      <w:r>
        <w:rPr>
          <w:rFonts w:ascii="Segoe UI" w:eastAsia="Segoe UI" w:hAnsi="Segoe UI" w:cs="Segoe UI"/>
          <w:color w:val="000000"/>
        </w:rPr>
        <w:t>relatlimab</w:t>
      </w:r>
      <w:proofErr w:type="spellEnd"/>
      <w:r>
        <w:rPr>
          <w:rFonts w:ascii="Segoe UI" w:eastAsia="Segoe UI" w:hAnsi="Segoe UI" w:cs="Segoe UI"/>
          <w:color w:val="000000"/>
        </w:rPr>
        <w:t>) or targeted therapies (for patients with a BRAF mutation). However, some patients’ cancer continues to grow despite these treatments. When standard treatments stop working, there are very limited effective options available, and outcomes are generally poor. This group of patients represents a high unmet medical need.</w:t>
      </w:r>
      <w:r>
        <w:rPr>
          <w:rFonts w:ascii="Segoe UI" w:eastAsia="Segoe UI" w:hAnsi="Segoe UI" w:cs="Segoe UI"/>
          <w:color w:val="000000"/>
        </w:rPr>
        <w:br/>
      </w:r>
      <w:r>
        <w:rPr>
          <w:rFonts w:ascii="Segoe UI" w:eastAsia="Segoe UI" w:hAnsi="Segoe UI" w:cs="Segoe UI"/>
          <w:color w:val="000000"/>
        </w:rPr>
        <w:br/>
      </w:r>
      <w:proofErr w:type="spellStart"/>
      <w:r>
        <w:rPr>
          <w:rFonts w:ascii="Segoe UI" w:eastAsia="Segoe UI" w:hAnsi="Segoe UI" w:cs="Segoe UI"/>
          <w:color w:val="000000"/>
        </w:rPr>
        <w:t>Lifileucel</w:t>
      </w:r>
      <w:proofErr w:type="spellEnd"/>
      <w:r>
        <w:rPr>
          <w:rFonts w:ascii="Segoe UI" w:eastAsia="Segoe UI" w:hAnsi="Segoe UI" w:cs="Segoe UI"/>
          <w:color w:val="000000"/>
        </w:rPr>
        <w:t xml:space="preserve"> (AMTAGVI) is a one-time personalised cell therapy made from a patient’s own immune cells taken directly from their tumour tissue, that is obtained during surgery.</w:t>
      </w:r>
      <w:r>
        <w:rPr>
          <w:rFonts w:ascii="Segoe UI" w:eastAsia="Segoe UI" w:hAnsi="Segoe UI" w:cs="Segoe UI"/>
          <w:color w:val="000000"/>
        </w:rPr>
        <w:br/>
      </w:r>
      <w:r>
        <w:rPr>
          <w:rFonts w:ascii="Segoe UI" w:eastAsia="Segoe UI" w:hAnsi="Segoe UI" w:cs="Segoe UI"/>
          <w:color w:val="000000"/>
        </w:rPr>
        <w:br/>
        <w:t xml:space="preserve">Before receiving </w:t>
      </w:r>
      <w:proofErr w:type="spellStart"/>
      <w:r>
        <w:rPr>
          <w:rFonts w:ascii="Segoe UI" w:eastAsia="Segoe UI" w:hAnsi="Segoe UI" w:cs="Segoe UI"/>
          <w:color w:val="000000"/>
        </w:rPr>
        <w:t>lifileucel</w:t>
      </w:r>
      <w:proofErr w:type="spellEnd"/>
      <w:r>
        <w:rPr>
          <w:rFonts w:ascii="Segoe UI" w:eastAsia="Segoe UI" w:hAnsi="Segoe UI" w:cs="Segoe UI"/>
          <w:color w:val="000000"/>
        </w:rPr>
        <w:t xml:space="preserve">, patients receive chemotherapy to facilitate the </w:t>
      </w:r>
      <w:proofErr w:type="spellStart"/>
      <w:r>
        <w:rPr>
          <w:rFonts w:ascii="Segoe UI" w:eastAsia="Segoe UI" w:hAnsi="Segoe UI" w:cs="Segoe UI"/>
          <w:color w:val="000000"/>
        </w:rPr>
        <w:t>graftment</w:t>
      </w:r>
      <w:proofErr w:type="spellEnd"/>
      <w:r>
        <w:rPr>
          <w:rFonts w:ascii="Segoe UI" w:eastAsia="Segoe UI" w:hAnsi="Segoe UI" w:cs="Segoe UI"/>
          <w:color w:val="000000"/>
        </w:rPr>
        <w:t xml:space="preserve"> of </w:t>
      </w:r>
      <w:proofErr w:type="spellStart"/>
      <w:r>
        <w:rPr>
          <w:rFonts w:ascii="Segoe UI" w:eastAsia="Segoe UI" w:hAnsi="Segoe UI" w:cs="Segoe UI"/>
          <w:color w:val="000000"/>
        </w:rPr>
        <w:t>lifileucel</w:t>
      </w:r>
      <w:proofErr w:type="spellEnd"/>
      <w:r>
        <w:rPr>
          <w:rFonts w:ascii="Segoe UI" w:eastAsia="Segoe UI" w:hAnsi="Segoe UI" w:cs="Segoe UI"/>
          <w:color w:val="000000"/>
        </w:rPr>
        <w:t xml:space="preserve">. Once the chemotherapy course is completed, the </w:t>
      </w:r>
      <w:proofErr w:type="spellStart"/>
      <w:r>
        <w:rPr>
          <w:rFonts w:ascii="Segoe UI" w:eastAsia="Segoe UI" w:hAnsi="Segoe UI" w:cs="Segoe UI"/>
          <w:color w:val="000000"/>
        </w:rPr>
        <w:t>lifileucel</w:t>
      </w:r>
      <w:proofErr w:type="spellEnd"/>
      <w:r>
        <w:rPr>
          <w:rFonts w:ascii="Segoe UI" w:eastAsia="Segoe UI" w:hAnsi="Segoe UI" w:cs="Segoe UI"/>
          <w:color w:val="000000"/>
        </w:rPr>
        <w:t xml:space="preserve"> is infused. Post-infusion, patients are then given a short course of a medicine called interleukin-2 to help the lymphocyte cells grow and expand in their body. The goal of this treatment is to increase the number of active and melanoma-specific T cells to attack and kill the cancer cells. Unlike standard treatments that are given repeatedly over </w:t>
      </w:r>
      <w:r>
        <w:rPr>
          <w:rFonts w:ascii="Segoe UI" w:eastAsia="Segoe UI" w:hAnsi="Segoe UI" w:cs="Segoe UI"/>
          <w:color w:val="000000"/>
        </w:rPr>
        <w:lastRenderedPageBreak/>
        <w:t xml:space="preserve">many months, </w:t>
      </w:r>
      <w:proofErr w:type="spellStart"/>
      <w:r>
        <w:rPr>
          <w:rFonts w:ascii="Segoe UI" w:eastAsia="Segoe UI" w:hAnsi="Segoe UI" w:cs="Segoe UI"/>
          <w:color w:val="000000"/>
        </w:rPr>
        <w:t>lifileucel</w:t>
      </w:r>
      <w:proofErr w:type="spellEnd"/>
      <w:r>
        <w:rPr>
          <w:rFonts w:ascii="Segoe UI" w:eastAsia="Segoe UI" w:hAnsi="Segoe UI" w:cs="Segoe UI"/>
          <w:color w:val="000000"/>
        </w:rPr>
        <w:t xml:space="preserve"> is delivered as a single treatment course in a specialised hospital setting.</w:t>
      </w:r>
    </w:p>
    <w:p w14:paraId="3551DF79" w14:textId="77777777" w:rsidR="00D932B0" w:rsidRPr="00FB3833" w:rsidRDefault="00D932B0" w:rsidP="00D932B0">
      <w:pPr>
        <w:rPr>
          <w:rFonts w:ascii="Segoe UI" w:hAnsi="Segoe UI" w:cs="Segoe UI"/>
          <w:b/>
          <w:bCs/>
        </w:rPr>
      </w:pPr>
      <w:r w:rsidRPr="00FB3833">
        <w:rPr>
          <w:rFonts w:ascii="Segoe UI" w:hAnsi="Segoe UI" w:cs="Segoe UI"/>
          <w:b/>
          <w:bCs/>
        </w:rPr>
        <w:t xml:space="preserve">Is the application for a new listing or a change to an existing listing? </w:t>
      </w:r>
    </w:p>
    <w:p w14:paraId="20F6F31C" w14:textId="7E3FB520" w:rsidR="00D932B0" w:rsidRPr="00FB3833" w:rsidRDefault="00473295" w:rsidP="00D932B0">
      <w:pPr>
        <w:rPr>
          <w:rFonts w:ascii="Segoe UI" w:hAnsi="Segoe UI" w:cs="Segoe UI"/>
        </w:rPr>
      </w:pPr>
      <w:r>
        <w:rPr>
          <w:rFonts w:ascii="Segoe UI" w:hAnsi="Segoe UI" w:cs="Segoe UI"/>
        </w:rPr>
        <w:t>New listing</w:t>
      </w:r>
    </w:p>
    <w:p w14:paraId="01B2B5F5" w14:textId="77777777" w:rsidR="00D932B0" w:rsidRPr="00FB3833" w:rsidRDefault="00D932B0" w:rsidP="00D932B0">
      <w:pPr>
        <w:rPr>
          <w:rFonts w:ascii="Segoe UI" w:hAnsi="Segoe UI" w:cs="Segoe UI"/>
          <w:b/>
          <w:bCs/>
        </w:rPr>
      </w:pPr>
      <w:r w:rsidRPr="00FB3833">
        <w:rPr>
          <w:rFonts w:ascii="Segoe UI" w:hAnsi="Segoe UI" w:cs="Segoe UI"/>
          <w:b/>
          <w:bCs/>
        </w:rPr>
        <w:t xml:space="preserve">What is the type of service or health technology? </w:t>
      </w:r>
    </w:p>
    <w:p w14:paraId="2686730F" w14:textId="5A893E81" w:rsidR="00133449" w:rsidRPr="00473295" w:rsidRDefault="00473295" w:rsidP="00473295">
      <w:pPr>
        <w:rPr>
          <w:rFonts w:ascii="Segoe UI" w:hAnsi="Segoe UI" w:cs="Segoe UI"/>
        </w:rPr>
      </w:pPr>
      <w:r>
        <w:rPr>
          <w:rFonts w:ascii="Segoe UI" w:eastAsia="Segoe UI" w:hAnsi="Segoe UI" w:cs="Segoe UI"/>
          <w:color w:val="000000"/>
        </w:rPr>
        <w:t>Therapeutic</w:t>
      </w:r>
    </w:p>
    <w:p w14:paraId="16E68CEB" w14:textId="77777777" w:rsidR="00133449" w:rsidRPr="0010048D" w:rsidRDefault="00133449" w:rsidP="00133449">
      <w:pPr>
        <w:pStyle w:val="Heading1"/>
        <w:rPr>
          <w:rFonts w:cs="Segoe UI"/>
        </w:rPr>
      </w:pPr>
      <w:r w:rsidRPr="0010048D">
        <w:rPr>
          <w:rFonts w:cs="Segoe UI"/>
        </w:rPr>
        <w:t>PICO sets</w:t>
      </w:r>
    </w:p>
    <w:p w14:paraId="25B8C5A6" w14:textId="77777777" w:rsidR="00133449" w:rsidRPr="0010048D" w:rsidRDefault="00133449" w:rsidP="00133449">
      <w:pPr>
        <w:rPr>
          <w:rFonts w:ascii="Segoe UI" w:hAnsi="Segoe UI" w:cs="Segoe UI"/>
          <w:b/>
          <w:bCs/>
        </w:rPr>
      </w:pPr>
      <w:r w:rsidRPr="0010048D">
        <w:rPr>
          <w:rFonts w:ascii="Segoe UI" w:hAnsi="Segoe UI" w:cs="Segoe UI"/>
          <w:b/>
          <w:bCs/>
        </w:rPr>
        <w:t>Application PICO sets:</w:t>
      </w:r>
    </w:p>
    <w:tbl>
      <w:tblPr>
        <w:tblStyle w:val="TableGrid"/>
        <w:tblW w:w="9067" w:type="dxa"/>
        <w:tblLook w:val="0620" w:firstRow="1" w:lastRow="0" w:firstColumn="0" w:lastColumn="0" w:noHBand="1" w:noVBand="1"/>
      </w:tblPr>
      <w:tblGrid>
        <w:gridCol w:w="9067"/>
      </w:tblGrid>
      <w:tr w:rsidR="00133449" w:rsidRPr="0010048D" w14:paraId="13374401" w14:textId="77777777" w:rsidTr="008C678C">
        <w:trPr>
          <w:tblHeader/>
        </w:trPr>
        <w:tc>
          <w:tcPr>
            <w:tcW w:w="9067" w:type="dxa"/>
            <w:tcMar>
              <w:top w:w="113" w:type="dxa"/>
              <w:bottom w:w="113" w:type="dxa"/>
            </w:tcMar>
          </w:tcPr>
          <w:p w14:paraId="3C834693" w14:textId="77777777" w:rsidR="00133449" w:rsidRPr="0010048D" w:rsidRDefault="00133449" w:rsidP="0065027C">
            <w:pPr>
              <w:rPr>
                <w:rFonts w:ascii="Segoe UI" w:hAnsi="Segoe UI" w:cs="Segoe UI"/>
                <w:b/>
              </w:rPr>
            </w:pPr>
            <w:r w:rsidRPr="0010048D">
              <w:rPr>
                <w:rFonts w:ascii="Segoe UI" w:hAnsi="Segoe UI" w:cs="Segoe UI"/>
                <w:b/>
              </w:rPr>
              <w:t>PICO set name</w:t>
            </w:r>
          </w:p>
        </w:tc>
      </w:tr>
      <w:tr w:rsidR="00133449" w:rsidRPr="0010048D" w14:paraId="79C27EF3" w14:textId="77777777" w:rsidTr="008C678C">
        <w:tc>
          <w:tcPr>
            <w:tcW w:w="9067" w:type="dxa"/>
            <w:tcMar>
              <w:top w:w="113" w:type="dxa"/>
              <w:bottom w:w="113" w:type="dxa"/>
            </w:tcMar>
          </w:tcPr>
          <w:p w14:paraId="4A38A298" w14:textId="77777777" w:rsidR="00133449" w:rsidRPr="0010048D" w:rsidRDefault="00133449" w:rsidP="0065027C">
            <w:pPr>
              <w:rPr>
                <w:rFonts w:ascii="Segoe UI" w:hAnsi="Segoe UI" w:cs="Segoe UI"/>
                <w:bCs/>
              </w:rPr>
            </w:pPr>
            <w:proofErr w:type="spellStart"/>
            <w:r>
              <w:rPr>
                <w:rFonts w:ascii="Segoe UI" w:hAnsi="Segoe UI" w:cs="Segoe UI"/>
                <w:bCs/>
              </w:rPr>
              <w:t>Lifileucel</w:t>
            </w:r>
            <w:proofErr w:type="spellEnd"/>
            <w:r>
              <w:rPr>
                <w:rFonts w:ascii="Segoe UI" w:hAnsi="Segoe UI" w:cs="Segoe UI"/>
                <w:bCs/>
              </w:rPr>
              <w:t xml:space="preserve"> (AMTAGVI) for previously treated unresectable or metastatic melanoma</w:t>
            </w:r>
          </w:p>
        </w:tc>
      </w:tr>
    </w:tbl>
    <w:p w14:paraId="358D3966" w14:textId="77777777" w:rsidR="00133449" w:rsidRDefault="00133449" w:rsidP="008C678C">
      <w:pPr>
        <w:rPr>
          <w:rFonts w:ascii="Segoe UI" w:hAnsi="Segoe UI" w:cs="Segoe UI"/>
        </w:rPr>
      </w:pPr>
    </w:p>
    <w:p w14:paraId="3FE9A5E3" w14:textId="77777777" w:rsidR="008C678C" w:rsidRPr="008C678C" w:rsidRDefault="008C678C" w:rsidP="008C678C">
      <w:pPr>
        <w:pStyle w:val="Heading1"/>
      </w:pPr>
      <w:r w:rsidRPr="008C678C">
        <w:t>Population</w:t>
      </w:r>
    </w:p>
    <w:p w14:paraId="37933DCE" w14:textId="12670B79" w:rsidR="008C678C" w:rsidRPr="008C678C" w:rsidRDefault="008C678C" w:rsidP="008C678C">
      <w:pPr>
        <w:rPr>
          <w:rFonts w:ascii="Segoe UI" w:hAnsi="Segoe UI" w:cs="Segoe UI"/>
        </w:rPr>
      </w:pPr>
      <w:r w:rsidRPr="008C678C">
        <w:rPr>
          <w:rFonts w:ascii="Segoe UI" w:hAnsi="Segoe UI" w:cs="Segoe UI"/>
          <w:b/>
          <w:bCs/>
        </w:rPr>
        <w:t>Describe the population in which the proposed health technology is intended to be used:</w:t>
      </w:r>
      <w:r>
        <w:rPr>
          <w:rFonts w:ascii="Segoe UI" w:hAnsi="Segoe UI" w:cs="Segoe UI"/>
          <w:b/>
          <w:bCs/>
        </w:rPr>
        <w:br/>
      </w:r>
      <w:r w:rsidRPr="008C678C">
        <w:rPr>
          <w:rFonts w:ascii="Segoe UI" w:hAnsi="Segoe UI" w:cs="Segoe UI"/>
        </w:rPr>
        <w:t>The proposed health technology is intended for adult patients with unresectable or metastatic melanoma previously treated with a PD-1 blocking antibody, and if BRAF V600 mutation positive, a BRAF inhibitor with or without a MEK inhibitor. These patients have limited treatment options available and represent a significant unmet medical need in the management of advanced melanoma.</w:t>
      </w:r>
    </w:p>
    <w:p w14:paraId="4CEBF5CD" w14:textId="009ADAEC" w:rsidR="008C678C" w:rsidRPr="008C678C" w:rsidRDefault="008C678C" w:rsidP="008C678C">
      <w:pPr>
        <w:rPr>
          <w:rFonts w:ascii="Segoe UI" w:hAnsi="Segoe UI" w:cs="Segoe UI"/>
        </w:rPr>
      </w:pPr>
      <w:r w:rsidRPr="008C678C">
        <w:rPr>
          <w:rFonts w:ascii="Segoe UI" w:hAnsi="Segoe UI" w:cs="Segoe UI"/>
          <w:b/>
          <w:bCs/>
        </w:rPr>
        <w:t xml:space="preserve">Select the most applicable </w:t>
      </w:r>
      <w:proofErr w:type="gramStart"/>
      <w:r w:rsidRPr="008C678C">
        <w:rPr>
          <w:rFonts w:ascii="Segoe UI" w:hAnsi="Segoe UI" w:cs="Segoe UI"/>
          <w:b/>
          <w:bCs/>
        </w:rPr>
        <w:t>Medical</w:t>
      </w:r>
      <w:proofErr w:type="gramEnd"/>
      <w:r w:rsidRPr="008C678C">
        <w:rPr>
          <w:rFonts w:ascii="Segoe UI" w:hAnsi="Segoe UI" w:cs="Segoe UI"/>
          <w:b/>
          <w:bCs/>
        </w:rPr>
        <w:t xml:space="preserve"> condition terminology (SNOMED CT):</w:t>
      </w:r>
      <w:r>
        <w:rPr>
          <w:rFonts w:ascii="Segoe UI" w:hAnsi="Segoe UI" w:cs="Segoe UI"/>
          <w:b/>
          <w:bCs/>
        </w:rPr>
        <w:br/>
      </w:r>
      <w:r w:rsidRPr="008C678C">
        <w:rPr>
          <w:rFonts w:ascii="Segoe UI" w:hAnsi="Segoe UI" w:cs="Segoe UI"/>
        </w:rPr>
        <w:t>Metastatic malignant melanoma</w:t>
      </w:r>
    </w:p>
    <w:p w14:paraId="13418681" w14:textId="77777777" w:rsidR="008C678C" w:rsidRPr="008C678C" w:rsidRDefault="008C678C" w:rsidP="008C678C">
      <w:pPr>
        <w:pStyle w:val="Heading1"/>
      </w:pPr>
      <w:r w:rsidRPr="008C678C">
        <w:t>Intervention</w:t>
      </w:r>
    </w:p>
    <w:p w14:paraId="53D1ABD9" w14:textId="77777777" w:rsidR="008C678C" w:rsidRPr="008C678C" w:rsidRDefault="008C678C" w:rsidP="008C678C">
      <w:pPr>
        <w:rPr>
          <w:rFonts w:ascii="Segoe UI" w:hAnsi="Segoe UI" w:cs="Segoe UI"/>
          <w:b/>
          <w:bCs/>
        </w:rPr>
      </w:pPr>
      <w:r w:rsidRPr="008C678C">
        <w:rPr>
          <w:rFonts w:ascii="Segoe UI" w:hAnsi="Segoe UI" w:cs="Segoe UI"/>
          <w:b/>
          <w:bCs/>
        </w:rPr>
        <w:t>Name of the proposed health technology:</w:t>
      </w:r>
    </w:p>
    <w:p w14:paraId="2DBA8B62" w14:textId="77777777" w:rsidR="008C678C" w:rsidRPr="008C678C" w:rsidRDefault="008C678C" w:rsidP="008C678C">
      <w:pPr>
        <w:rPr>
          <w:rFonts w:ascii="Segoe UI" w:hAnsi="Segoe UI" w:cs="Segoe UI"/>
        </w:rPr>
      </w:pPr>
      <w:proofErr w:type="spellStart"/>
      <w:r w:rsidRPr="008C678C">
        <w:rPr>
          <w:rFonts w:ascii="Segoe UI" w:hAnsi="Segoe UI" w:cs="Segoe UI"/>
        </w:rPr>
        <w:t>Lifileucel</w:t>
      </w:r>
      <w:proofErr w:type="spellEnd"/>
      <w:r w:rsidRPr="008C678C">
        <w:rPr>
          <w:rFonts w:ascii="Segoe UI" w:hAnsi="Segoe UI" w:cs="Segoe UI"/>
        </w:rPr>
        <w:t xml:space="preserve"> (AMTAGVI)</w:t>
      </w:r>
    </w:p>
    <w:p w14:paraId="11F81EDC" w14:textId="77777777" w:rsidR="008C678C" w:rsidRDefault="008C678C">
      <w:pPr>
        <w:rPr>
          <w:rFonts w:ascii="Segoe UI" w:hAnsi="Segoe UI" w:cs="Segoe UI"/>
          <w:b/>
          <w:bCs/>
        </w:rPr>
      </w:pPr>
      <w:r>
        <w:rPr>
          <w:rFonts w:ascii="Segoe UI" w:hAnsi="Segoe UI" w:cs="Segoe UI"/>
          <w:b/>
          <w:bCs/>
        </w:rPr>
        <w:br w:type="page"/>
      </w:r>
    </w:p>
    <w:p w14:paraId="59794567" w14:textId="77777777" w:rsidR="008C678C" w:rsidRPr="008C678C" w:rsidRDefault="008C678C" w:rsidP="00632A71">
      <w:pPr>
        <w:pStyle w:val="Heading1"/>
      </w:pPr>
      <w:r w:rsidRPr="008C678C">
        <w:lastRenderedPageBreak/>
        <w:t>Comparator</w:t>
      </w:r>
    </w:p>
    <w:p w14:paraId="1C686A38" w14:textId="77777777" w:rsidR="008C678C" w:rsidRPr="008C678C" w:rsidRDefault="008C678C" w:rsidP="008C678C">
      <w:pPr>
        <w:rPr>
          <w:rFonts w:ascii="Segoe UI" w:hAnsi="Segoe UI" w:cs="Segoe UI"/>
          <w:b/>
          <w:bCs/>
        </w:rPr>
      </w:pPr>
      <w:r w:rsidRPr="008C678C">
        <w:rPr>
          <w:rFonts w:ascii="Segoe UI" w:hAnsi="Segoe UI" w:cs="Segoe UI"/>
          <w:b/>
          <w:bCs/>
        </w:rPr>
        <w:t>Nominate the appropriate comparator(s) for the proposed medical service (i.e. how is the proposed population currently managed in the absence of the proposed medical service being available in the Australian health care system). This includes identifying health care resources that are needed to be delivered at the same time as the comparator service:</w:t>
      </w:r>
    </w:p>
    <w:p w14:paraId="6CBFAC19" w14:textId="3E63F44E" w:rsidR="008C678C" w:rsidRPr="008C678C" w:rsidRDefault="008C678C" w:rsidP="008C678C">
      <w:pPr>
        <w:rPr>
          <w:rFonts w:ascii="Segoe UI" w:hAnsi="Segoe UI" w:cs="Segoe UI"/>
        </w:rPr>
      </w:pPr>
      <w:r w:rsidRPr="008C678C">
        <w:rPr>
          <w:rFonts w:ascii="Segoe UI" w:hAnsi="Segoe UI" w:cs="Segoe UI"/>
        </w:rPr>
        <w:t>Ipilimumab plus nivolumab; potentially best supportive care</w:t>
      </w:r>
      <w:r w:rsidR="00EE6215">
        <w:rPr>
          <w:rFonts w:ascii="Segoe UI" w:hAnsi="Segoe UI" w:cs="Segoe UI"/>
        </w:rPr>
        <w:t xml:space="preserve"> (BSC)</w:t>
      </w:r>
    </w:p>
    <w:p w14:paraId="103A3F69" w14:textId="77777777" w:rsidR="008C678C" w:rsidRPr="008C678C" w:rsidRDefault="008C678C" w:rsidP="00632A71">
      <w:pPr>
        <w:pStyle w:val="Heading1"/>
      </w:pPr>
      <w:r w:rsidRPr="008C678C">
        <w:t>Outcomes</w:t>
      </w:r>
    </w:p>
    <w:p w14:paraId="259F4A3B" w14:textId="3BBAE2BC" w:rsidR="008C678C" w:rsidRPr="008C678C" w:rsidRDefault="008C678C" w:rsidP="008C678C">
      <w:pPr>
        <w:rPr>
          <w:rFonts w:ascii="Segoe UI" w:hAnsi="Segoe UI" w:cs="Segoe UI"/>
          <w:b/>
          <w:bCs/>
        </w:rPr>
      </w:pPr>
      <w:r w:rsidRPr="008C678C">
        <w:rPr>
          <w:rFonts w:ascii="Segoe UI" w:hAnsi="Segoe UI" w:cs="Segoe UI"/>
          <w:b/>
          <w:bCs/>
        </w:rPr>
        <w:t>Outcome description:</w:t>
      </w:r>
    </w:p>
    <w:p w14:paraId="6AEF7DEA" w14:textId="77777777" w:rsidR="008C678C" w:rsidRPr="008C678C" w:rsidRDefault="008C678C" w:rsidP="008C678C">
      <w:pPr>
        <w:rPr>
          <w:rFonts w:ascii="Segoe UI" w:hAnsi="Segoe UI" w:cs="Segoe UI"/>
        </w:rPr>
      </w:pPr>
      <w:r w:rsidRPr="008C678C">
        <w:rPr>
          <w:rFonts w:ascii="Segoe UI" w:hAnsi="Segoe UI" w:cs="Segoe UI"/>
        </w:rPr>
        <w:t>The proposed outcomes focus on demonstrating meaningful clinical benefit in a heavily pre-treated population with limited remaining treatment options. Outcomes are listed below in order of importance.</w:t>
      </w:r>
      <w:r w:rsidRPr="008C678C">
        <w:rPr>
          <w:rFonts w:ascii="Segoe UI" w:hAnsi="Segoe UI" w:cs="Segoe UI"/>
        </w:rPr>
        <w:br/>
      </w:r>
      <w:r w:rsidRPr="008C678C">
        <w:rPr>
          <w:rFonts w:ascii="Segoe UI" w:hAnsi="Segoe UI" w:cs="Segoe UI"/>
        </w:rPr>
        <w:br/>
        <w:t>1. Overall Response Rate (ORR) and Duration of Response (</w:t>
      </w:r>
      <w:proofErr w:type="spellStart"/>
      <w:r w:rsidRPr="008C678C">
        <w:rPr>
          <w:rFonts w:ascii="Segoe UI" w:hAnsi="Segoe UI" w:cs="Segoe UI"/>
        </w:rPr>
        <w:t>DoR</w:t>
      </w:r>
      <w:proofErr w:type="spellEnd"/>
      <w:r w:rsidRPr="008C678C">
        <w:rPr>
          <w:rFonts w:ascii="Segoe UI" w:hAnsi="Segoe UI" w:cs="Segoe UI"/>
        </w:rPr>
        <w:t>)</w:t>
      </w:r>
      <w:r w:rsidRPr="008C678C">
        <w:rPr>
          <w:rFonts w:ascii="Segoe UI" w:hAnsi="Segoe UI" w:cs="Segoe UI"/>
        </w:rPr>
        <w:br/>
        <w:t>2. Overall Survival (OS)</w:t>
      </w:r>
      <w:r w:rsidRPr="008C678C">
        <w:rPr>
          <w:rFonts w:ascii="Segoe UI" w:hAnsi="Segoe UI" w:cs="Segoe UI"/>
        </w:rPr>
        <w:br/>
        <w:t>3. Progression-Free Survival (PFS) – The time before the cancer worsens. This reflects disease control and delays the need for further therapy</w:t>
      </w:r>
      <w:r w:rsidRPr="008C678C">
        <w:rPr>
          <w:rFonts w:ascii="Segoe UI" w:hAnsi="Segoe UI" w:cs="Segoe UI"/>
        </w:rPr>
        <w:br/>
        <w:t>4. Safety outcomes – Incidence, severity, and timing of emergence of adverse events (particularly Grade 3+ events) and treatment-related mortality related to the treatment regimen</w:t>
      </w:r>
      <w:r w:rsidRPr="008C678C">
        <w:rPr>
          <w:rFonts w:ascii="Segoe UI" w:hAnsi="Segoe UI" w:cs="Segoe UI"/>
        </w:rPr>
        <w:br/>
      </w:r>
      <w:r w:rsidRPr="008C678C">
        <w:rPr>
          <w:rFonts w:ascii="Segoe UI" w:hAnsi="Segoe UI" w:cs="Segoe UI"/>
        </w:rPr>
        <w:br/>
      </w:r>
      <w:proofErr w:type="spellStart"/>
      <w:r w:rsidRPr="008C678C">
        <w:rPr>
          <w:rFonts w:ascii="Segoe UI" w:hAnsi="Segoe UI" w:cs="Segoe UI"/>
        </w:rPr>
        <w:t>Lifileucel</w:t>
      </w:r>
      <w:proofErr w:type="spellEnd"/>
      <w:r w:rsidRPr="008C678C">
        <w:rPr>
          <w:rFonts w:ascii="Segoe UI" w:hAnsi="Segoe UI" w:cs="Segoe UI"/>
        </w:rPr>
        <w:t xml:space="preserve"> represents a fundamental change in management from ongoing systemic therapy (such as repeated immunotherapy infusions) to a one-time personalised cellular therapy. Responding patients may no longer require continuous drug administration or ongoing side-effect management, resulting from systemic therapies administered over prolonged periods of time. Evidence of meaningful clinical benefit—particularly durable response and </w:t>
      </w:r>
      <w:proofErr w:type="gramStart"/>
      <w:r w:rsidRPr="008C678C">
        <w:rPr>
          <w:rFonts w:ascii="Segoe UI" w:hAnsi="Segoe UI" w:cs="Segoe UI"/>
        </w:rPr>
        <w:t>long term</w:t>
      </w:r>
      <w:proofErr w:type="gramEnd"/>
      <w:r w:rsidRPr="008C678C">
        <w:rPr>
          <w:rFonts w:ascii="Segoe UI" w:hAnsi="Segoe UI" w:cs="Segoe UI"/>
        </w:rPr>
        <w:t xml:space="preserve"> survival—supports justification of adoption.</w:t>
      </w:r>
    </w:p>
    <w:p w14:paraId="6B0DC20A" w14:textId="77777777" w:rsidR="00BD2486" w:rsidRDefault="00BD2486">
      <w:pPr>
        <w:rPr>
          <w:rFonts w:ascii="Segoe UI" w:eastAsia="Segoe UI" w:hAnsi="Segoe UI" w:cs="Times New Roman"/>
          <w:b/>
          <w:color w:val="213E60"/>
          <w:kern w:val="0"/>
          <w:sz w:val="32"/>
          <w:szCs w:val="20"/>
          <w14:ligatures w14:val="none"/>
        </w:rPr>
      </w:pPr>
      <w:r>
        <w:br w:type="page"/>
      </w:r>
    </w:p>
    <w:p w14:paraId="575D9F77" w14:textId="6BEFD6BB" w:rsidR="00632A71" w:rsidRDefault="00632A71" w:rsidP="00632A71">
      <w:pPr>
        <w:pStyle w:val="Heading1"/>
        <w:rPr>
          <w:rFonts w:cs="Segoe UI"/>
          <w:bCs/>
        </w:rPr>
      </w:pPr>
      <w:r>
        <w:lastRenderedPageBreak/>
        <w:t>Specified restrictions for funding</w:t>
      </w:r>
    </w:p>
    <w:p w14:paraId="3DBB80D5" w14:textId="77777777" w:rsidR="00632A71" w:rsidRPr="008C678C" w:rsidRDefault="00632A71" w:rsidP="00632A71">
      <w:pPr>
        <w:rPr>
          <w:rFonts w:ascii="Segoe UI" w:hAnsi="Segoe UI" w:cs="Segoe UI"/>
        </w:rPr>
      </w:pPr>
      <w:r w:rsidRPr="008C678C">
        <w:rPr>
          <w:rFonts w:ascii="Segoe UI" w:hAnsi="Segoe UI" w:cs="Segoe UI"/>
          <w:b/>
          <w:bCs/>
        </w:rPr>
        <w:t>Please add one or more items, with specified restrictions for funding, for each Population / Intervention:</w:t>
      </w:r>
      <w:r w:rsidRPr="008C678C">
        <w:rPr>
          <w:rFonts w:ascii="Segoe UI" w:hAnsi="Segoe UI" w:cs="Segoe UI"/>
        </w:rPr>
        <w:t xml:space="preserve"> </w:t>
      </w:r>
    </w:p>
    <w:tbl>
      <w:tblPr>
        <w:tblStyle w:val="TableGrid"/>
        <w:tblW w:w="0" w:type="auto"/>
        <w:tblLook w:val="04A0" w:firstRow="1" w:lastRow="0" w:firstColumn="1" w:lastColumn="0" w:noHBand="0" w:noVBand="1"/>
      </w:tblPr>
      <w:tblGrid>
        <w:gridCol w:w="9015"/>
      </w:tblGrid>
      <w:tr w:rsidR="00632A71" w:rsidRPr="008C678C" w14:paraId="0DF2C14C" w14:textId="77777777" w:rsidTr="007B6D55">
        <w:tc>
          <w:tcPr>
            <w:tcW w:w="9628" w:type="dxa"/>
            <w:tcBorders>
              <w:top w:val="single" w:sz="4" w:space="0" w:color="auto"/>
              <w:left w:val="single" w:sz="4" w:space="0" w:color="auto"/>
              <w:bottom w:val="single" w:sz="4" w:space="0" w:color="auto"/>
              <w:right w:val="single" w:sz="4" w:space="0" w:color="auto"/>
            </w:tcBorders>
          </w:tcPr>
          <w:p w14:paraId="5D4A34BB" w14:textId="77777777" w:rsidR="00632A71" w:rsidRPr="008C678C" w:rsidRDefault="00632A71" w:rsidP="00BD2486">
            <w:pPr>
              <w:spacing w:after="160"/>
              <w:rPr>
                <w:rFonts w:ascii="Segoe UI" w:hAnsi="Segoe UI" w:cs="Segoe UI"/>
                <w:sz w:val="24"/>
                <w:szCs w:val="24"/>
              </w:rPr>
            </w:pPr>
            <w:r w:rsidRPr="008C678C">
              <w:rPr>
                <w:rFonts w:ascii="Segoe UI" w:hAnsi="Segoe UI" w:cs="Segoe UI"/>
                <w:b/>
                <w:bCs/>
                <w:sz w:val="24"/>
                <w:szCs w:val="24"/>
              </w:rPr>
              <w:t xml:space="preserve">Proposed item: </w:t>
            </w:r>
            <w:r>
              <w:rPr>
                <w:rFonts w:ascii="Segoe UI" w:hAnsi="Segoe UI" w:cs="Segoe UI"/>
                <w:b/>
                <w:bCs/>
                <w:sz w:val="24"/>
                <w:szCs w:val="24"/>
              </w:rPr>
              <w:br/>
            </w:r>
            <w:r w:rsidRPr="008C678C">
              <w:rPr>
                <w:rFonts w:ascii="Segoe UI" w:hAnsi="Segoe UI" w:cs="Segoe UI"/>
                <w:sz w:val="24"/>
                <w:szCs w:val="24"/>
              </w:rPr>
              <w:t>AAAAA</w:t>
            </w:r>
          </w:p>
          <w:p w14:paraId="02D5E379" w14:textId="77777777" w:rsidR="00632A71" w:rsidRPr="008C678C" w:rsidRDefault="00632A71" w:rsidP="00BD2486">
            <w:pPr>
              <w:spacing w:after="160"/>
              <w:rPr>
                <w:rFonts w:ascii="Segoe UI" w:hAnsi="Segoe UI" w:cs="Segoe UI"/>
                <w:b/>
                <w:bCs/>
                <w:sz w:val="24"/>
                <w:szCs w:val="24"/>
              </w:rPr>
            </w:pPr>
            <w:r w:rsidRPr="008C678C">
              <w:rPr>
                <w:rFonts w:ascii="Segoe UI" w:hAnsi="Segoe UI" w:cs="Segoe UI"/>
                <w:b/>
                <w:bCs/>
                <w:sz w:val="24"/>
                <w:szCs w:val="24"/>
              </w:rPr>
              <w:t xml:space="preserve">Is the proposed item restricted? </w:t>
            </w:r>
            <w:r>
              <w:rPr>
                <w:rFonts w:ascii="Segoe UI" w:hAnsi="Segoe UI" w:cs="Segoe UI"/>
                <w:b/>
                <w:bCs/>
                <w:sz w:val="24"/>
                <w:szCs w:val="24"/>
              </w:rPr>
              <w:br/>
            </w:r>
            <w:r w:rsidRPr="008C678C">
              <w:rPr>
                <w:rFonts w:ascii="Segoe UI" w:hAnsi="Segoe UI" w:cs="Segoe UI"/>
                <w:sz w:val="24"/>
                <w:szCs w:val="24"/>
              </w:rPr>
              <w:t>Yes - restricted</w:t>
            </w:r>
          </w:p>
          <w:p w14:paraId="62843DE5" w14:textId="77777777" w:rsidR="00632A71" w:rsidRPr="008C678C" w:rsidRDefault="00632A71" w:rsidP="00BD2486">
            <w:pPr>
              <w:spacing w:after="160"/>
              <w:rPr>
                <w:rFonts w:ascii="Segoe UI" w:hAnsi="Segoe UI" w:cs="Segoe UI"/>
                <w:b/>
                <w:bCs/>
                <w:sz w:val="24"/>
                <w:szCs w:val="24"/>
              </w:rPr>
            </w:pPr>
            <w:r w:rsidRPr="008C678C">
              <w:rPr>
                <w:rFonts w:ascii="Segoe UI" w:hAnsi="Segoe UI" w:cs="Segoe UI"/>
                <w:b/>
                <w:bCs/>
                <w:sz w:val="24"/>
                <w:szCs w:val="24"/>
              </w:rPr>
              <w:t xml:space="preserve">Provide a short description of the restriction: </w:t>
            </w:r>
            <w:r>
              <w:rPr>
                <w:rFonts w:ascii="Segoe UI" w:hAnsi="Segoe UI" w:cs="Segoe UI"/>
                <w:b/>
                <w:bCs/>
                <w:sz w:val="24"/>
                <w:szCs w:val="24"/>
              </w:rPr>
              <w:br/>
            </w:r>
            <w:r w:rsidRPr="008C678C">
              <w:rPr>
                <w:rFonts w:ascii="Segoe UI" w:hAnsi="Segoe UI" w:cs="Segoe UI"/>
                <w:sz w:val="24"/>
                <w:szCs w:val="24"/>
              </w:rPr>
              <w:t>Unresectable or metastatic melanoma</w:t>
            </w:r>
          </w:p>
          <w:p w14:paraId="06476917" w14:textId="77777777" w:rsidR="00632A71" w:rsidRPr="008C678C" w:rsidRDefault="00632A71" w:rsidP="00BD2486">
            <w:pPr>
              <w:spacing w:after="160"/>
              <w:rPr>
                <w:rFonts w:ascii="Segoe UI" w:hAnsi="Segoe UI" w:cs="Segoe UI"/>
                <w:b/>
                <w:bCs/>
                <w:sz w:val="24"/>
                <w:szCs w:val="24"/>
              </w:rPr>
            </w:pPr>
            <w:r w:rsidRPr="008C678C">
              <w:rPr>
                <w:rFonts w:ascii="Segoe UI" w:hAnsi="Segoe UI" w:cs="Segoe UI"/>
                <w:b/>
                <w:bCs/>
                <w:sz w:val="24"/>
                <w:szCs w:val="24"/>
              </w:rPr>
              <w:t xml:space="preserve">Please draft a proposed restriction to define the population and health technology usage characteristics that would define eligibility for funding: </w:t>
            </w:r>
            <w:r>
              <w:rPr>
                <w:rFonts w:ascii="Segoe UI" w:hAnsi="Segoe UI" w:cs="Segoe UI"/>
                <w:b/>
                <w:bCs/>
                <w:sz w:val="24"/>
                <w:szCs w:val="24"/>
              </w:rPr>
              <w:br/>
            </w:r>
            <w:r>
              <w:rPr>
                <w:rFonts w:ascii="Segoe UI" w:hAnsi="Segoe UI" w:cs="Segoe UI"/>
                <w:sz w:val="24"/>
                <w:szCs w:val="24"/>
              </w:rPr>
              <w:t>F</w:t>
            </w:r>
            <w:r w:rsidRPr="008C678C">
              <w:rPr>
                <w:rFonts w:ascii="Segoe UI" w:hAnsi="Segoe UI" w:cs="Segoe UI"/>
                <w:sz w:val="24"/>
                <w:szCs w:val="24"/>
              </w:rPr>
              <w:t>or the treatment of adult patients with unresectable or metastatic melanoma previously treated with a PD-1 blocking antibody, and if BRAF V600 mutation positive, a BRAF inhibitor with or without a MEK inhibitor.</w:t>
            </w:r>
          </w:p>
          <w:p w14:paraId="7C975B3D" w14:textId="218B3C7A" w:rsidR="00632A71" w:rsidRPr="00BD2486" w:rsidRDefault="00632A71" w:rsidP="00BD2486">
            <w:pPr>
              <w:spacing w:after="160"/>
              <w:rPr>
                <w:rFonts w:ascii="Segoe UI" w:hAnsi="Segoe UI" w:cs="Segoe UI"/>
                <w:sz w:val="24"/>
                <w:szCs w:val="24"/>
              </w:rPr>
            </w:pPr>
            <w:r w:rsidRPr="008C678C">
              <w:rPr>
                <w:rFonts w:ascii="Segoe UI" w:hAnsi="Segoe UI" w:cs="Segoe UI"/>
                <w:b/>
                <w:bCs/>
                <w:sz w:val="24"/>
                <w:szCs w:val="24"/>
              </w:rPr>
              <w:t xml:space="preserve">Proposed price of supply: </w:t>
            </w:r>
            <w:r>
              <w:rPr>
                <w:rFonts w:ascii="Segoe UI" w:hAnsi="Segoe UI" w:cs="Segoe UI"/>
                <w:b/>
                <w:bCs/>
                <w:sz w:val="24"/>
                <w:szCs w:val="24"/>
              </w:rPr>
              <w:br/>
            </w:r>
            <w:r w:rsidR="001C6355" w:rsidRPr="00BD2486">
              <w:rPr>
                <w:rFonts w:ascii="Segoe UI" w:hAnsi="Segoe UI" w:cs="Segoe UI"/>
                <w:sz w:val="24"/>
                <w:szCs w:val="24"/>
              </w:rPr>
              <w:t>REDACTED</w:t>
            </w:r>
          </w:p>
          <w:p w14:paraId="559422BA" w14:textId="5B882408" w:rsidR="00632A71" w:rsidRPr="00BD2486" w:rsidRDefault="00632A71" w:rsidP="00BD2486">
            <w:pPr>
              <w:spacing w:after="160"/>
              <w:rPr>
                <w:rFonts w:ascii="Segoe UI" w:hAnsi="Segoe UI" w:cs="Segoe UI"/>
                <w:b/>
                <w:bCs/>
                <w:sz w:val="24"/>
                <w:szCs w:val="24"/>
              </w:rPr>
            </w:pPr>
            <w:r w:rsidRPr="00BD2486">
              <w:rPr>
                <w:rFonts w:ascii="Segoe UI" w:hAnsi="Segoe UI" w:cs="Segoe UI"/>
                <w:b/>
                <w:bCs/>
                <w:sz w:val="24"/>
                <w:szCs w:val="24"/>
              </w:rPr>
              <w:t xml:space="preserve">Indicate the overall cost per patient of providing the proposed health technology: </w:t>
            </w:r>
            <w:r w:rsidRPr="00BD2486">
              <w:rPr>
                <w:rFonts w:ascii="Segoe UI" w:hAnsi="Segoe UI" w:cs="Segoe UI"/>
                <w:b/>
                <w:bCs/>
                <w:sz w:val="24"/>
                <w:szCs w:val="24"/>
              </w:rPr>
              <w:br/>
            </w:r>
            <w:r w:rsidR="001C6355" w:rsidRPr="00BD2486">
              <w:rPr>
                <w:rFonts w:ascii="Segoe UI" w:hAnsi="Segoe UI" w:cs="Segoe UI"/>
                <w:sz w:val="24"/>
                <w:szCs w:val="24"/>
              </w:rPr>
              <w:t>REDACTED</w:t>
            </w:r>
          </w:p>
          <w:p w14:paraId="73729609" w14:textId="35A9FA2D" w:rsidR="00632A71" w:rsidRPr="008C678C" w:rsidRDefault="00632A71" w:rsidP="00BD2486">
            <w:pPr>
              <w:spacing w:after="160"/>
              <w:rPr>
                <w:rFonts w:ascii="Segoe UI" w:hAnsi="Segoe UI" w:cs="Segoe UI"/>
                <w:sz w:val="24"/>
                <w:szCs w:val="24"/>
              </w:rPr>
            </w:pPr>
            <w:r w:rsidRPr="00BD2486">
              <w:rPr>
                <w:rFonts w:ascii="Segoe UI" w:hAnsi="Segoe UI" w:cs="Segoe UI"/>
                <w:b/>
                <w:bCs/>
                <w:sz w:val="24"/>
                <w:szCs w:val="24"/>
              </w:rPr>
              <w:t xml:space="preserve">Provide details and explain: </w:t>
            </w:r>
            <w:r w:rsidRPr="00BD2486">
              <w:rPr>
                <w:rFonts w:ascii="Segoe UI" w:hAnsi="Segoe UI" w:cs="Segoe UI"/>
                <w:b/>
                <w:bCs/>
                <w:sz w:val="24"/>
                <w:szCs w:val="24"/>
              </w:rPr>
              <w:br/>
            </w:r>
            <w:r w:rsidRPr="00BD2486">
              <w:rPr>
                <w:rFonts w:ascii="Segoe UI" w:hAnsi="Segoe UI" w:cs="Segoe UI"/>
                <w:sz w:val="24"/>
                <w:szCs w:val="24"/>
              </w:rPr>
              <w:t>For contextual purposes, the publicly reported United States list price for AMTAGVI is approximately USD $612,580</w:t>
            </w:r>
            <w:r w:rsidRPr="008C678C">
              <w:rPr>
                <w:rFonts w:ascii="Segoe UI" w:hAnsi="Segoe UI" w:cs="Segoe UI"/>
                <w:sz w:val="24"/>
                <w:szCs w:val="24"/>
              </w:rPr>
              <w:t xml:space="preserve">. When converted to Australian dollars, this provides a broad reference point only. It is important to note that </w:t>
            </w:r>
            <w:proofErr w:type="spellStart"/>
            <w:r w:rsidRPr="008C678C">
              <w:rPr>
                <w:rFonts w:ascii="Segoe UI" w:hAnsi="Segoe UI" w:cs="Segoe UI"/>
                <w:sz w:val="24"/>
                <w:szCs w:val="24"/>
              </w:rPr>
              <w:t>Iovance</w:t>
            </w:r>
            <w:proofErr w:type="spellEnd"/>
            <w:r w:rsidRPr="008C678C">
              <w:rPr>
                <w:rFonts w:ascii="Segoe UI" w:hAnsi="Segoe UI" w:cs="Segoe UI"/>
                <w:sz w:val="24"/>
                <w:szCs w:val="24"/>
              </w:rPr>
              <w:t xml:space="preserve"> does not expect the Australian price to reflect the US price, and any final pricing in Australia would be subject to reimbursement negotiations with relevant Australian funding bodies, including Commonwealth and State jurisdictions.</w:t>
            </w:r>
            <w:r w:rsidRPr="008C678C">
              <w:rPr>
                <w:rFonts w:ascii="Segoe UI" w:hAnsi="Segoe UI" w:cs="Segoe UI"/>
                <w:sz w:val="24"/>
                <w:szCs w:val="24"/>
              </w:rPr>
              <w:br/>
              <w:t>The overall cost per patient of providing the proposed health technology will be formally estimated through the economic modelling to be developed as part of the MSAC submission, which will incorporate all relevant cost components, including manufacturing, hospitalisation, supportive care, and associated resource use.</w:t>
            </w:r>
            <w:r w:rsidRPr="008C678C">
              <w:rPr>
                <w:rFonts w:ascii="Segoe UI" w:hAnsi="Segoe UI" w:cs="Segoe UI"/>
                <w:sz w:val="24"/>
                <w:szCs w:val="24"/>
              </w:rPr>
              <w:br/>
              <w:t>At this stage, anticipated out-of-pocket costs for patients have not yet been determined. It is expected that, if publicly funded, efforts would be made to minimise patient out-of-pocket expenses, consistent with current arrangements for other high-cost cancer therapies delivered within the Australian healthcare system.</w:t>
            </w:r>
          </w:p>
        </w:tc>
      </w:tr>
    </w:tbl>
    <w:p w14:paraId="34EE34FC" w14:textId="77777777" w:rsidR="00632A71" w:rsidRPr="008C678C" w:rsidRDefault="00632A71" w:rsidP="00632A71">
      <w:pPr>
        <w:rPr>
          <w:rFonts w:ascii="Segoe UI" w:hAnsi="Segoe UI" w:cs="Segoe UI"/>
        </w:rPr>
      </w:pPr>
    </w:p>
    <w:p w14:paraId="10C07FB1" w14:textId="77777777" w:rsidR="00BD2486" w:rsidRDefault="00BD2486">
      <w:pPr>
        <w:rPr>
          <w:rFonts w:ascii="Segoe UI" w:hAnsi="Segoe UI" w:cs="Segoe UI"/>
          <w:b/>
          <w:bCs/>
        </w:rPr>
      </w:pPr>
      <w:r>
        <w:rPr>
          <w:rFonts w:ascii="Segoe UI" w:hAnsi="Segoe UI" w:cs="Segoe UI"/>
          <w:b/>
          <w:bCs/>
        </w:rPr>
        <w:br w:type="page"/>
      </w:r>
    </w:p>
    <w:p w14:paraId="3706A6D6" w14:textId="609A0BB8" w:rsidR="00632A71" w:rsidRPr="008C678C" w:rsidRDefault="00632A71" w:rsidP="00632A71">
      <w:pPr>
        <w:rPr>
          <w:rFonts w:ascii="Segoe UI" w:hAnsi="Segoe UI" w:cs="Segoe UI"/>
        </w:rPr>
      </w:pPr>
      <w:r w:rsidRPr="008C678C">
        <w:rPr>
          <w:rFonts w:ascii="Segoe UI" w:hAnsi="Segoe UI" w:cs="Segoe UI"/>
          <w:b/>
          <w:bCs/>
        </w:rPr>
        <w:lastRenderedPageBreak/>
        <w:t>How is the technology / service funded at present? (For example: research funding; State-based funding; self-funded by patients; no funding or payments):</w:t>
      </w:r>
      <w:r w:rsidR="00BD2486">
        <w:rPr>
          <w:rFonts w:ascii="Segoe UI" w:hAnsi="Segoe UI" w:cs="Segoe UI"/>
          <w:b/>
          <w:bCs/>
        </w:rPr>
        <w:br/>
      </w:r>
      <w:proofErr w:type="spellStart"/>
      <w:r w:rsidRPr="008C678C">
        <w:rPr>
          <w:rFonts w:ascii="Segoe UI" w:hAnsi="Segoe UI" w:cs="Segoe UI"/>
        </w:rPr>
        <w:t>Lifileucel</w:t>
      </w:r>
      <w:proofErr w:type="spellEnd"/>
      <w:r w:rsidRPr="008C678C">
        <w:rPr>
          <w:rFonts w:ascii="Segoe UI" w:hAnsi="Segoe UI" w:cs="Segoe UI"/>
        </w:rPr>
        <w:t xml:space="preserve"> is not currently listed on the Pharmaceutical Benefits Scheme (PBS) in Australia and is not routinely funded through Medicare or State-based hospital funding arrangements.</w:t>
      </w:r>
      <w:r w:rsidRPr="008C678C">
        <w:rPr>
          <w:rFonts w:ascii="Segoe UI" w:hAnsi="Segoe UI" w:cs="Segoe UI"/>
        </w:rPr>
        <w:br/>
      </w:r>
      <w:r w:rsidRPr="008C678C">
        <w:rPr>
          <w:rFonts w:ascii="Segoe UI" w:hAnsi="Segoe UI" w:cs="Segoe UI"/>
        </w:rPr>
        <w:br/>
        <w:t>There is currently no established public reimbursement mechanism in Australia for this therapy outside of research or sponsor-supported access programs.</w:t>
      </w:r>
    </w:p>
    <w:p w14:paraId="00BE7AF7" w14:textId="64257FF1" w:rsidR="008C678C" w:rsidRPr="008C678C" w:rsidRDefault="008C678C" w:rsidP="00632A71">
      <w:pPr>
        <w:pStyle w:val="Heading1"/>
      </w:pPr>
      <w:r w:rsidRPr="008C678C">
        <w:t>Claims</w:t>
      </w:r>
    </w:p>
    <w:p w14:paraId="16A9620E" w14:textId="528A1E1A" w:rsidR="008C678C" w:rsidRPr="008C678C" w:rsidRDefault="008C678C" w:rsidP="008C678C">
      <w:pPr>
        <w:rPr>
          <w:rFonts w:ascii="Segoe UI" w:hAnsi="Segoe UI" w:cs="Segoe UI"/>
        </w:rPr>
      </w:pPr>
      <w:r w:rsidRPr="008C678C">
        <w:rPr>
          <w:rFonts w:ascii="Segoe UI" w:hAnsi="Segoe UI" w:cs="Segoe UI"/>
          <w:b/>
        </w:rPr>
        <w:t>In terms of health outcomes (comparative benefits and harms), is the proposed technology claimed to be superior, non-inferior or inferior to the comparator(s)?</w:t>
      </w:r>
      <w:r w:rsidR="00BD2486">
        <w:rPr>
          <w:rFonts w:ascii="Segoe UI" w:hAnsi="Segoe UI" w:cs="Segoe UI"/>
          <w:b/>
        </w:rPr>
        <w:br/>
      </w:r>
      <w:r w:rsidRPr="008C678C">
        <w:rPr>
          <w:rFonts w:ascii="Segoe UI" w:hAnsi="Segoe UI" w:cs="Segoe UI"/>
        </w:rPr>
        <w:t>Superior</w:t>
      </w:r>
    </w:p>
    <w:p w14:paraId="180FC4D4" w14:textId="4D81700F" w:rsidR="008C678C" w:rsidRPr="008C678C" w:rsidRDefault="008C678C" w:rsidP="008C678C">
      <w:pPr>
        <w:rPr>
          <w:rFonts w:ascii="Segoe UI" w:hAnsi="Segoe UI" w:cs="Segoe UI"/>
        </w:rPr>
      </w:pPr>
      <w:r w:rsidRPr="008C678C">
        <w:rPr>
          <w:rFonts w:ascii="Segoe UI" w:hAnsi="Segoe UI" w:cs="Segoe UI"/>
          <w:b/>
        </w:rPr>
        <w:t xml:space="preserve">Please state what the overall claim </w:t>
      </w:r>
      <w:proofErr w:type="gramStart"/>
      <w:r w:rsidRPr="008C678C">
        <w:rPr>
          <w:rFonts w:ascii="Segoe UI" w:hAnsi="Segoe UI" w:cs="Segoe UI"/>
          <w:b/>
        </w:rPr>
        <w:t>is, and</w:t>
      </w:r>
      <w:proofErr w:type="gramEnd"/>
      <w:r w:rsidRPr="008C678C">
        <w:rPr>
          <w:rFonts w:ascii="Segoe UI" w:hAnsi="Segoe UI" w:cs="Segoe UI"/>
          <w:b/>
        </w:rPr>
        <w:t xml:space="preserve"> provide a rationale:</w:t>
      </w:r>
      <w:r w:rsidR="00BD2486">
        <w:rPr>
          <w:rFonts w:ascii="Segoe UI" w:hAnsi="Segoe UI" w:cs="Segoe UI"/>
          <w:b/>
        </w:rPr>
        <w:br/>
      </w:r>
      <w:proofErr w:type="spellStart"/>
      <w:r w:rsidRPr="008C678C">
        <w:rPr>
          <w:rFonts w:ascii="Segoe UI" w:hAnsi="Segoe UI" w:cs="Segoe UI"/>
        </w:rPr>
        <w:t>Lifileucel</w:t>
      </w:r>
      <w:proofErr w:type="spellEnd"/>
      <w:r w:rsidRPr="008C678C">
        <w:rPr>
          <w:rFonts w:ascii="Segoe UI" w:hAnsi="Segoe UI" w:cs="Segoe UI"/>
        </w:rPr>
        <w:t xml:space="preserve"> is claimed to be clinically superior to the nominated comparators (nivolumab–ipilimumab retreatment and </w:t>
      </w:r>
      <w:r w:rsidR="00EE6215" w:rsidRPr="00EE6215">
        <w:rPr>
          <w:rFonts w:ascii="Segoe UI" w:hAnsi="Segoe UI" w:cs="Segoe UI"/>
        </w:rPr>
        <w:t>Best Supportive Care</w:t>
      </w:r>
      <w:r w:rsidRPr="008C678C">
        <w:rPr>
          <w:rFonts w:ascii="Segoe UI" w:hAnsi="Segoe UI" w:cs="Segoe UI"/>
        </w:rPr>
        <w:t>) in terms of overall health outcomes, based on the following considerations:</w:t>
      </w:r>
      <w:r w:rsidRPr="008C678C">
        <w:rPr>
          <w:rFonts w:ascii="Segoe UI" w:hAnsi="Segoe UI" w:cs="Segoe UI"/>
        </w:rPr>
        <w:br/>
        <w:t>1. Clinically meaningful efficacy in a refractory population with poor prognosis</w:t>
      </w:r>
      <w:r w:rsidRPr="008C678C">
        <w:rPr>
          <w:rFonts w:ascii="Segoe UI" w:hAnsi="Segoe UI" w:cs="Segoe UI"/>
        </w:rPr>
        <w:br/>
        <w:t xml:space="preserve">The pivotal C-144-01 study demonstrated that </w:t>
      </w:r>
      <w:proofErr w:type="spellStart"/>
      <w:r w:rsidRPr="008C678C">
        <w:rPr>
          <w:rFonts w:ascii="Segoe UI" w:hAnsi="Segoe UI" w:cs="Segoe UI"/>
        </w:rPr>
        <w:t>lifileucel</w:t>
      </w:r>
      <w:proofErr w:type="spellEnd"/>
      <w:r w:rsidRPr="008C678C">
        <w:rPr>
          <w:rFonts w:ascii="Segoe UI" w:hAnsi="Segoe UI" w:cs="Segoe UI"/>
        </w:rPr>
        <w:t xml:space="preserve"> produces objective and durable tumour responses in a heavily pre-treated population who had progressed following standard therapies, including anti-PD-1 and (where relevant) BRAF±MEK inhibitors. This population typically has limited effective treatment options and poor expected outcomes, and historical response rates with available therapies are low. The observed response rates and long-term survival signals therefore represent a clinically meaningful improvement over expected outcomes with current care</w:t>
      </w:r>
      <w:r w:rsidRPr="008C678C">
        <w:rPr>
          <w:rFonts w:ascii="Segoe UI" w:hAnsi="Segoe UI" w:cs="Segoe UI"/>
        </w:rPr>
        <w:br/>
        <w:t>2. Evidence of durability and long-term survival benefit</w:t>
      </w:r>
      <w:r w:rsidRPr="008C678C">
        <w:rPr>
          <w:rFonts w:ascii="Segoe UI" w:hAnsi="Segoe UI" w:cs="Segoe UI"/>
        </w:rPr>
        <w:br/>
      </w:r>
      <w:proofErr w:type="spellStart"/>
      <w:r w:rsidRPr="008C678C">
        <w:rPr>
          <w:rFonts w:ascii="Segoe UI" w:hAnsi="Segoe UI" w:cs="Segoe UI"/>
        </w:rPr>
        <w:t>Lifileucel</w:t>
      </w:r>
      <w:proofErr w:type="spellEnd"/>
      <w:r w:rsidRPr="008C678C">
        <w:rPr>
          <w:rFonts w:ascii="Segoe UI" w:hAnsi="Segoe UI" w:cs="Segoe UI"/>
        </w:rPr>
        <w:t xml:space="preserve"> demonstrates durable responses and a long-term survival plateau, with approximately 20% of patients alive at 5 years in follow-up analyses. This suggests the potential for long-term disease control or remission, which is not commonly achieved with existing later-line therapies. Durable responses are particularly important in advanced melanoma and support a claim of superior </w:t>
      </w:r>
      <w:proofErr w:type="gramStart"/>
      <w:r w:rsidRPr="008C678C">
        <w:rPr>
          <w:rFonts w:ascii="Segoe UI" w:hAnsi="Segoe UI" w:cs="Segoe UI"/>
        </w:rPr>
        <w:t>long term</w:t>
      </w:r>
      <w:proofErr w:type="gramEnd"/>
      <w:r w:rsidRPr="008C678C">
        <w:rPr>
          <w:rFonts w:ascii="Segoe UI" w:hAnsi="Segoe UI" w:cs="Segoe UI"/>
        </w:rPr>
        <w:t xml:space="preserve"> benefit.</w:t>
      </w:r>
    </w:p>
    <w:p w14:paraId="3C12CFBA" w14:textId="77777777" w:rsidR="00BD2486" w:rsidRDefault="00BD2486">
      <w:pPr>
        <w:rPr>
          <w:rFonts w:ascii="Segoe UI" w:eastAsia="Segoe UI" w:hAnsi="Segoe UI" w:cs="Times New Roman"/>
          <w:b/>
          <w:color w:val="213E60"/>
          <w:kern w:val="0"/>
          <w:sz w:val="32"/>
          <w:szCs w:val="20"/>
          <w14:ligatures w14:val="none"/>
        </w:rPr>
      </w:pPr>
      <w:r>
        <w:br w:type="page"/>
      </w:r>
    </w:p>
    <w:p w14:paraId="2FFEB3B0" w14:textId="5ABA671E" w:rsidR="008C678C" w:rsidRPr="008C678C" w:rsidRDefault="008C678C" w:rsidP="00632A71">
      <w:pPr>
        <w:pStyle w:val="Heading1"/>
      </w:pPr>
      <w:r w:rsidRPr="008C678C">
        <w:lastRenderedPageBreak/>
        <w:t>Estimated utilisation</w:t>
      </w:r>
    </w:p>
    <w:p w14:paraId="0C8CB750" w14:textId="128D5579" w:rsidR="008C678C" w:rsidRPr="00BD2486" w:rsidRDefault="008C678C" w:rsidP="008C678C">
      <w:pPr>
        <w:rPr>
          <w:rFonts w:ascii="Segoe UI" w:hAnsi="Segoe UI" w:cs="Segoe UI"/>
        </w:rPr>
      </w:pPr>
      <w:r w:rsidRPr="008C678C">
        <w:rPr>
          <w:rFonts w:ascii="Segoe UI" w:hAnsi="Segoe UI" w:cs="Segoe UI"/>
          <w:b/>
        </w:rPr>
        <w:t>Estimate the prevalence and/or incidence of the proposed population:</w:t>
      </w:r>
      <w:r w:rsidR="00632A71">
        <w:rPr>
          <w:rFonts w:ascii="Segoe UI" w:hAnsi="Segoe UI" w:cs="Segoe UI"/>
          <w:b/>
        </w:rPr>
        <w:br/>
      </w:r>
      <w:proofErr w:type="spellStart"/>
      <w:r w:rsidRPr="00BD2486">
        <w:rPr>
          <w:rFonts w:ascii="Segoe UI" w:hAnsi="Segoe UI" w:cs="Segoe UI"/>
        </w:rPr>
        <w:t>Iovance</w:t>
      </w:r>
      <w:proofErr w:type="spellEnd"/>
      <w:r w:rsidRPr="00BD2486">
        <w:rPr>
          <w:rFonts w:ascii="Segoe UI" w:hAnsi="Segoe UI" w:cs="Segoe UI"/>
        </w:rPr>
        <w:t xml:space="preserve"> estimates an incidence of around </w:t>
      </w:r>
      <w:r w:rsidR="001C6355" w:rsidRPr="00BD2486">
        <w:rPr>
          <w:rFonts w:ascii="Segoe UI" w:hAnsi="Segoe UI" w:cs="Segoe UI"/>
        </w:rPr>
        <w:t>REDACTED</w:t>
      </w:r>
      <w:r w:rsidRPr="00BD2486">
        <w:rPr>
          <w:rFonts w:ascii="Segoe UI" w:hAnsi="Segoe UI" w:cs="Segoe UI"/>
        </w:rPr>
        <w:t xml:space="preserve"> patients in Australia with unresectable or metastatic melanoma fit the indication and at steady state, </w:t>
      </w:r>
      <w:r w:rsidR="001C6355" w:rsidRPr="00BD2486">
        <w:rPr>
          <w:rFonts w:ascii="Segoe UI" w:hAnsi="Segoe UI" w:cs="Segoe UI"/>
        </w:rPr>
        <w:t>REDACTED</w:t>
      </w:r>
      <w:r w:rsidRPr="00BD2486">
        <w:rPr>
          <w:rFonts w:ascii="Segoe UI" w:hAnsi="Segoe UI" w:cs="Segoe UI"/>
        </w:rPr>
        <w:t xml:space="preserve"> of patients meeting the indication will receive AMTAGVI.</w:t>
      </w:r>
    </w:p>
    <w:p w14:paraId="0D611D88" w14:textId="77777777" w:rsidR="008C678C" w:rsidRPr="00BD2486" w:rsidRDefault="008C678C" w:rsidP="008C678C">
      <w:pPr>
        <w:rPr>
          <w:rFonts w:ascii="Segoe UI" w:hAnsi="Segoe UI" w:cs="Segoe UI"/>
          <w:b/>
        </w:rPr>
      </w:pPr>
      <w:r w:rsidRPr="00BD2486">
        <w:rPr>
          <w:rFonts w:ascii="Segoe UI" w:hAnsi="Segoe UI" w:cs="Segoe UI"/>
          <w:b/>
        </w:rPr>
        <w:t>Provide the percentage uptake of the proposed health technology by the proposed population:</w:t>
      </w:r>
    </w:p>
    <w:p w14:paraId="34CB44AC" w14:textId="5ED25909" w:rsidR="008C678C" w:rsidRPr="00BD2486" w:rsidRDefault="008C678C" w:rsidP="008C678C">
      <w:pPr>
        <w:rPr>
          <w:rFonts w:ascii="Segoe UI" w:hAnsi="Segoe UI" w:cs="Segoe UI"/>
        </w:rPr>
      </w:pPr>
      <w:r w:rsidRPr="00BD2486">
        <w:rPr>
          <w:rFonts w:ascii="Segoe UI" w:hAnsi="Segoe UI" w:cs="Segoe UI"/>
          <w:b/>
        </w:rPr>
        <w:t xml:space="preserve">Year 1 estimated uptake (%): </w:t>
      </w:r>
      <w:r w:rsidR="00632A71" w:rsidRPr="00BD2486">
        <w:rPr>
          <w:rFonts w:ascii="Segoe UI" w:hAnsi="Segoe UI" w:cs="Segoe UI"/>
          <w:b/>
        </w:rPr>
        <w:br/>
      </w:r>
      <w:r w:rsidR="001C6355" w:rsidRPr="00BD2486">
        <w:rPr>
          <w:rFonts w:ascii="Segoe UI" w:hAnsi="Segoe UI" w:cs="Segoe UI"/>
        </w:rPr>
        <w:t>REDACTED</w:t>
      </w:r>
    </w:p>
    <w:p w14:paraId="73F00E5B" w14:textId="3220FAE7" w:rsidR="008C678C" w:rsidRPr="00BD2486" w:rsidRDefault="008C678C" w:rsidP="008C678C">
      <w:pPr>
        <w:rPr>
          <w:rFonts w:ascii="Segoe UI" w:hAnsi="Segoe UI" w:cs="Segoe UI"/>
        </w:rPr>
      </w:pPr>
      <w:r w:rsidRPr="00BD2486">
        <w:rPr>
          <w:rFonts w:ascii="Segoe UI" w:hAnsi="Segoe UI" w:cs="Segoe UI"/>
          <w:b/>
        </w:rPr>
        <w:t xml:space="preserve">Year 2 estimated uptake (%): </w:t>
      </w:r>
      <w:r w:rsidR="00632A71" w:rsidRPr="00BD2486">
        <w:rPr>
          <w:rFonts w:ascii="Segoe UI" w:hAnsi="Segoe UI" w:cs="Segoe UI"/>
          <w:b/>
        </w:rPr>
        <w:br/>
      </w:r>
      <w:r w:rsidR="001C6355" w:rsidRPr="00BD2486">
        <w:rPr>
          <w:rFonts w:ascii="Segoe UI" w:hAnsi="Segoe UI" w:cs="Segoe UI"/>
        </w:rPr>
        <w:t>REDACTED</w:t>
      </w:r>
    </w:p>
    <w:p w14:paraId="1C3A0BEB" w14:textId="410CCEB6" w:rsidR="008C678C" w:rsidRPr="00BD2486" w:rsidRDefault="008C678C" w:rsidP="008C678C">
      <w:pPr>
        <w:rPr>
          <w:rFonts w:ascii="Segoe UI" w:hAnsi="Segoe UI" w:cs="Segoe UI"/>
          <w:b/>
        </w:rPr>
      </w:pPr>
      <w:r w:rsidRPr="00BD2486">
        <w:rPr>
          <w:rFonts w:ascii="Segoe UI" w:hAnsi="Segoe UI" w:cs="Segoe UI"/>
          <w:b/>
        </w:rPr>
        <w:t xml:space="preserve">Year 3 estimated uptake (%): </w:t>
      </w:r>
      <w:r w:rsidR="00632A71" w:rsidRPr="00BD2486">
        <w:rPr>
          <w:rFonts w:ascii="Segoe UI" w:hAnsi="Segoe UI" w:cs="Segoe UI"/>
          <w:b/>
        </w:rPr>
        <w:br/>
      </w:r>
      <w:r w:rsidR="001C6355" w:rsidRPr="00BD2486">
        <w:rPr>
          <w:rFonts w:ascii="Segoe UI" w:hAnsi="Segoe UI" w:cs="Segoe UI"/>
        </w:rPr>
        <w:t>REDACTED</w:t>
      </w:r>
    </w:p>
    <w:p w14:paraId="504823E9" w14:textId="2440C3AC" w:rsidR="008C678C" w:rsidRPr="00BD2486" w:rsidRDefault="008C678C" w:rsidP="008C678C">
      <w:pPr>
        <w:rPr>
          <w:rFonts w:ascii="Segoe UI" w:hAnsi="Segoe UI" w:cs="Segoe UI"/>
          <w:b/>
        </w:rPr>
      </w:pPr>
      <w:r w:rsidRPr="00BD2486">
        <w:rPr>
          <w:rFonts w:ascii="Segoe UI" w:hAnsi="Segoe UI" w:cs="Segoe UI"/>
          <w:b/>
        </w:rPr>
        <w:t xml:space="preserve">Year 4 estimated uptake (%): </w:t>
      </w:r>
      <w:r w:rsidR="00632A71" w:rsidRPr="00BD2486">
        <w:rPr>
          <w:rFonts w:ascii="Segoe UI" w:hAnsi="Segoe UI" w:cs="Segoe UI"/>
          <w:b/>
        </w:rPr>
        <w:br/>
      </w:r>
      <w:r w:rsidR="001C6355" w:rsidRPr="00BD2486">
        <w:rPr>
          <w:rFonts w:ascii="Segoe UI" w:hAnsi="Segoe UI" w:cs="Segoe UI"/>
        </w:rPr>
        <w:t>REDACTED</w:t>
      </w:r>
    </w:p>
    <w:p w14:paraId="6957FDDD" w14:textId="77777777" w:rsidR="001C6355" w:rsidRPr="00BD2486" w:rsidRDefault="008C678C" w:rsidP="008C678C">
      <w:pPr>
        <w:rPr>
          <w:rFonts w:ascii="Segoe UI" w:hAnsi="Segoe UI" w:cs="Segoe UI"/>
          <w:b/>
        </w:rPr>
      </w:pPr>
      <w:r w:rsidRPr="00BD2486">
        <w:rPr>
          <w:rFonts w:ascii="Segoe UI" w:hAnsi="Segoe UI" w:cs="Segoe UI"/>
          <w:b/>
        </w:rPr>
        <w:t xml:space="preserve">Estimate the number of patients who will utilise the proposed technology for the first full year: </w:t>
      </w:r>
      <w:r w:rsidR="00632A71" w:rsidRPr="00BD2486">
        <w:rPr>
          <w:rFonts w:ascii="Segoe UI" w:hAnsi="Segoe UI" w:cs="Segoe UI"/>
          <w:b/>
        </w:rPr>
        <w:br/>
      </w:r>
      <w:r w:rsidR="001C6355" w:rsidRPr="00BD2486">
        <w:rPr>
          <w:rFonts w:ascii="Segoe UI" w:hAnsi="Segoe UI" w:cs="Segoe UI"/>
        </w:rPr>
        <w:t>REDACTED</w:t>
      </w:r>
      <w:r w:rsidR="001C6355" w:rsidRPr="00BD2486">
        <w:rPr>
          <w:rFonts w:ascii="Segoe UI" w:hAnsi="Segoe UI" w:cs="Segoe UI"/>
          <w:b/>
        </w:rPr>
        <w:t xml:space="preserve"> </w:t>
      </w:r>
    </w:p>
    <w:p w14:paraId="40521801" w14:textId="55D50CC6" w:rsidR="008C678C" w:rsidRPr="00632A71" w:rsidRDefault="008C678C" w:rsidP="008C678C">
      <w:pPr>
        <w:rPr>
          <w:rFonts w:ascii="Segoe UI" w:hAnsi="Segoe UI" w:cs="Segoe UI"/>
          <w:b/>
        </w:rPr>
      </w:pPr>
      <w:r w:rsidRPr="00BD2486">
        <w:rPr>
          <w:rFonts w:ascii="Segoe UI" w:hAnsi="Segoe UI" w:cs="Segoe UI"/>
          <w:b/>
        </w:rPr>
        <w:t xml:space="preserve">Will the technology be needed more than once per patient? </w:t>
      </w:r>
      <w:r w:rsidR="00632A71" w:rsidRPr="00BD2486">
        <w:rPr>
          <w:rFonts w:ascii="Segoe UI" w:hAnsi="Segoe UI" w:cs="Segoe UI"/>
          <w:b/>
        </w:rPr>
        <w:br/>
      </w:r>
      <w:r w:rsidRPr="00BD2486">
        <w:rPr>
          <w:rFonts w:ascii="Segoe UI" w:hAnsi="Segoe UI" w:cs="Segoe UI"/>
        </w:rPr>
        <w:t>No, once only</w:t>
      </w:r>
    </w:p>
    <w:p w14:paraId="05DFC11F" w14:textId="77777777" w:rsidR="00133449" w:rsidRPr="0010048D" w:rsidRDefault="00133449" w:rsidP="00133449">
      <w:pPr>
        <w:pStyle w:val="Heading1"/>
        <w:rPr>
          <w:rFonts w:cs="Segoe UI"/>
        </w:rPr>
      </w:pPr>
      <w:r w:rsidRPr="0010048D">
        <w:rPr>
          <w:rFonts w:cs="Segoe UI"/>
        </w:rPr>
        <w:t>Consultation</w:t>
      </w:r>
    </w:p>
    <w:p w14:paraId="7400652D" w14:textId="77777777" w:rsidR="00133449" w:rsidRDefault="00133449" w:rsidP="00133449">
      <w:pPr>
        <w:rPr>
          <w:rFonts w:ascii="Segoe UI" w:hAnsi="Segoe UI" w:cs="Segoe UI"/>
          <w:b/>
        </w:rPr>
      </w:pPr>
      <w:r w:rsidRPr="0065027C">
        <w:rPr>
          <w:rFonts w:ascii="Segoe UI" w:hAnsi="Segoe UI" w:cs="Segoe UI"/>
          <w:b/>
        </w:rPr>
        <w:t xml:space="preserve">List all entities that are relevant to the proposed service / health technology. The list can </w:t>
      </w:r>
      <w:r w:rsidRPr="00F370D9">
        <w:rPr>
          <w:rFonts w:ascii="Segoe UI" w:hAnsi="Segoe UI" w:cs="Segoe UI"/>
          <w:b/>
        </w:rPr>
        <w:t>include</w:t>
      </w:r>
      <w:r w:rsidRPr="0065027C">
        <w:rPr>
          <w:rFonts w:ascii="Segoe UI" w:hAnsi="Segoe UI" w:cs="Segoe UI"/>
          <w:b/>
        </w:rPr>
        <w:t xml:space="preserve"> professional bodies / organisations who provide, request, may be impacted by the service/health technology; sponsor(s) and / or manufacturer(s) who produce similar products; patient and consumer advocacy organisations or individuals relevant to the proposed service/health technology.</w:t>
      </w:r>
    </w:p>
    <w:p w14:paraId="772FBC62" w14:textId="512DF209" w:rsidR="00632A71" w:rsidRPr="00BD2486" w:rsidRDefault="00632A71" w:rsidP="00133449">
      <w:pPr>
        <w:rPr>
          <w:rFonts w:ascii="Segoe UI" w:hAnsi="Segoe UI" w:cs="Segoe UI"/>
          <w:bCs/>
          <w:u w:val="single"/>
        </w:rPr>
      </w:pPr>
      <w:r w:rsidRPr="00BD2486">
        <w:rPr>
          <w:rFonts w:ascii="Segoe UI" w:hAnsi="Segoe UI" w:cs="Segoe UI"/>
          <w:bCs/>
          <w:u w:val="single"/>
        </w:rPr>
        <w:t>Entit</w:t>
      </w:r>
      <w:r w:rsidR="00BD2486">
        <w:rPr>
          <w:rFonts w:ascii="Segoe UI" w:hAnsi="Segoe UI" w:cs="Segoe UI"/>
          <w:bCs/>
          <w:u w:val="single"/>
        </w:rPr>
        <w:t>ies</w:t>
      </w:r>
      <w:r w:rsidRPr="00BD2486">
        <w:rPr>
          <w:rFonts w:ascii="Segoe UI" w:hAnsi="Segoe UI" w:cs="Segoe UI"/>
          <w:bCs/>
          <w:u w:val="single"/>
        </w:rPr>
        <w:t xml:space="preserve"> who provide the health technology/service:</w:t>
      </w:r>
    </w:p>
    <w:p w14:paraId="735F5157" w14:textId="77777777" w:rsidR="00632A71" w:rsidRDefault="00632A71" w:rsidP="00632A71">
      <w:pPr>
        <w:rPr>
          <w:rFonts w:ascii="Segoe UI" w:hAnsi="Segoe UI" w:cs="Segoe UI"/>
          <w:bCs/>
        </w:rPr>
      </w:pPr>
      <w:r>
        <w:rPr>
          <w:rFonts w:ascii="Segoe UI" w:hAnsi="Segoe UI" w:cs="Segoe UI"/>
          <w:bCs/>
        </w:rPr>
        <w:t>MELANOMA INSTITUTE AUSTRALIA</w:t>
      </w:r>
    </w:p>
    <w:p w14:paraId="56A4C251" w14:textId="77777777" w:rsidR="00632A71" w:rsidRDefault="00632A71" w:rsidP="00632A71">
      <w:pPr>
        <w:rPr>
          <w:rFonts w:ascii="Segoe UI" w:hAnsi="Segoe UI" w:cs="Segoe UI"/>
          <w:bCs/>
        </w:rPr>
      </w:pPr>
      <w:r>
        <w:rPr>
          <w:rFonts w:ascii="Segoe UI" w:hAnsi="Segoe UI" w:cs="Segoe UI"/>
          <w:bCs/>
        </w:rPr>
        <w:t>MEDICAL ONCOLOGY GROUP OF AUSTRALIA</w:t>
      </w:r>
    </w:p>
    <w:p w14:paraId="675AA4AD" w14:textId="15D79850" w:rsidR="00852F46" w:rsidRPr="00BE1BFB" w:rsidRDefault="00852F46" w:rsidP="00852F46">
      <w:pPr>
        <w:rPr>
          <w:rFonts w:ascii="Segoe UI" w:hAnsi="Segoe UI" w:cs="Segoe UI"/>
          <w:bCs/>
          <w:u w:val="single"/>
        </w:rPr>
      </w:pPr>
      <w:r w:rsidRPr="00BE1BFB">
        <w:rPr>
          <w:rFonts w:ascii="Segoe UI" w:hAnsi="Segoe UI" w:cs="Segoe UI"/>
          <w:bCs/>
          <w:u w:val="single"/>
        </w:rPr>
        <w:lastRenderedPageBreak/>
        <w:t>Entit</w:t>
      </w:r>
      <w:r>
        <w:rPr>
          <w:rFonts w:ascii="Segoe UI" w:hAnsi="Segoe UI" w:cs="Segoe UI"/>
          <w:bCs/>
          <w:u w:val="single"/>
        </w:rPr>
        <w:t xml:space="preserve">ies </w:t>
      </w:r>
      <w:r w:rsidRPr="00BE1BFB">
        <w:rPr>
          <w:rFonts w:ascii="Segoe UI" w:hAnsi="Segoe UI" w:cs="Segoe UI"/>
          <w:bCs/>
          <w:u w:val="single"/>
        </w:rPr>
        <w:t>who may be impacted by the health technology/service:</w:t>
      </w:r>
    </w:p>
    <w:p w14:paraId="2A269941" w14:textId="77777777" w:rsidR="00852F46" w:rsidRDefault="00852F46" w:rsidP="00852F46">
      <w:pPr>
        <w:rPr>
          <w:rFonts w:ascii="Segoe UI" w:hAnsi="Segoe UI" w:cs="Segoe UI"/>
          <w:bCs/>
        </w:rPr>
      </w:pPr>
      <w:r>
        <w:rPr>
          <w:rFonts w:ascii="Segoe UI" w:hAnsi="Segoe UI" w:cs="Segoe UI"/>
          <w:bCs/>
        </w:rPr>
        <w:t>MELANOMA INSTITUTE AUSTRALIA</w:t>
      </w:r>
    </w:p>
    <w:p w14:paraId="25D228DC" w14:textId="77777777" w:rsidR="00852F46" w:rsidRDefault="00852F46" w:rsidP="00852F46">
      <w:pPr>
        <w:rPr>
          <w:rFonts w:ascii="Segoe UI" w:hAnsi="Segoe UI" w:cs="Segoe UI"/>
          <w:bCs/>
        </w:rPr>
      </w:pPr>
      <w:r>
        <w:rPr>
          <w:rFonts w:ascii="Segoe UI" w:hAnsi="Segoe UI" w:cs="Segoe UI"/>
          <w:bCs/>
        </w:rPr>
        <w:t>MEDICAL ONCOLOGY GROUP OF AUSTRALIA</w:t>
      </w:r>
    </w:p>
    <w:p w14:paraId="1AF87798" w14:textId="69469667" w:rsidR="002D2153" w:rsidRPr="00BD2486" w:rsidRDefault="002D2153" w:rsidP="00632A71">
      <w:pPr>
        <w:rPr>
          <w:rFonts w:ascii="Segoe UI" w:hAnsi="Segoe UI" w:cs="Segoe UI"/>
          <w:bCs/>
          <w:u w:val="single"/>
        </w:rPr>
      </w:pPr>
      <w:r w:rsidRPr="00BD2486">
        <w:rPr>
          <w:rFonts w:ascii="Segoe UI" w:hAnsi="Segoe UI" w:cs="Segoe UI"/>
          <w:bCs/>
          <w:u w:val="single"/>
        </w:rPr>
        <w:t>Patient and consumer advocacy organisations relevant to the proposed service/health technology:</w:t>
      </w:r>
    </w:p>
    <w:p w14:paraId="6A214201" w14:textId="77777777" w:rsidR="002D2153" w:rsidRDefault="002D2153" w:rsidP="002D2153">
      <w:pPr>
        <w:rPr>
          <w:rFonts w:ascii="Segoe UI" w:hAnsi="Segoe UI" w:cs="Segoe UI"/>
          <w:bCs/>
        </w:rPr>
      </w:pPr>
      <w:r>
        <w:rPr>
          <w:rFonts w:ascii="Segoe UI" w:hAnsi="Segoe UI" w:cs="Segoe UI"/>
          <w:bCs/>
        </w:rPr>
        <w:t>Australian Melanoma &amp; Skin Cancer Alliance (AMSCA)</w:t>
      </w:r>
    </w:p>
    <w:p w14:paraId="05BE94C6" w14:textId="77777777" w:rsidR="00133449" w:rsidRPr="0010048D" w:rsidRDefault="00133449" w:rsidP="00133449">
      <w:pPr>
        <w:pStyle w:val="Heading1"/>
        <w:rPr>
          <w:rFonts w:cs="Segoe UI"/>
        </w:rPr>
      </w:pPr>
      <w:r w:rsidRPr="0010048D">
        <w:rPr>
          <w:rFonts w:cs="Segoe UI"/>
        </w:rPr>
        <w:t>Regulatory information</w:t>
      </w:r>
    </w:p>
    <w:p w14:paraId="7B5E1A7C" w14:textId="77777777" w:rsidR="00133449" w:rsidRPr="0010048D" w:rsidRDefault="00133449" w:rsidP="00133449">
      <w:pPr>
        <w:rPr>
          <w:rFonts w:ascii="Segoe UI" w:hAnsi="Segoe UI" w:cs="Segoe UI"/>
        </w:rPr>
      </w:pPr>
      <w:r w:rsidRPr="0010048D">
        <w:rPr>
          <w:rFonts w:ascii="Segoe UI" w:eastAsia="Segoe UI" w:hAnsi="Segoe UI" w:cs="Segoe UI"/>
          <w:b/>
          <w:color w:val="000000"/>
        </w:rPr>
        <w:t>Would the proposed health technology involve the use of a medical device, in-vitro diagnostic test, radioactive tracer or any other type of therapeutic good?</w:t>
      </w:r>
    </w:p>
    <w:p w14:paraId="642B0DD7" w14:textId="77777777" w:rsidR="00133449" w:rsidRPr="0010048D" w:rsidRDefault="00133449" w:rsidP="00133449">
      <w:pPr>
        <w:rPr>
          <w:rFonts w:ascii="Segoe UI" w:eastAsia="Segoe UI" w:hAnsi="Segoe UI" w:cs="Segoe UI"/>
          <w:color w:val="000000"/>
        </w:rPr>
      </w:pPr>
      <w:r w:rsidRPr="00646B43">
        <w:rPr>
          <w:rFonts w:ascii="Segoe UI" w:eastAsia="Segoe UI" w:hAnsi="Segoe UI" w:cs="Segoe UI"/>
          <w:color w:val="000000"/>
        </w:rPr>
        <w:t>Yes</w:t>
      </w:r>
    </w:p>
    <w:p w14:paraId="62BEE89D" w14:textId="01655D06" w:rsidR="00133449" w:rsidRPr="0010048D" w:rsidRDefault="00133449" w:rsidP="00133449">
      <w:pPr>
        <w:rPr>
          <w:rFonts w:ascii="Segoe UI" w:hAnsi="Segoe UI" w:cs="Segoe UI"/>
        </w:rPr>
      </w:pPr>
      <w:r w:rsidRPr="0010048D">
        <w:rPr>
          <w:rFonts w:ascii="Segoe UI" w:eastAsia="Segoe UI" w:hAnsi="Segoe UI" w:cs="Segoe UI"/>
          <w:b/>
          <w:color w:val="000000"/>
        </w:rPr>
        <w:t xml:space="preserve">Has it been listed or registered or included in the Australian Register of Therapeutic Goods (ARTG) by the Therapeutic Goods Administration (TGA)? </w:t>
      </w:r>
    </w:p>
    <w:p w14:paraId="50EEC45F" w14:textId="77777777" w:rsidR="00133449" w:rsidRPr="007C5FA4" w:rsidRDefault="00133449" w:rsidP="00133449">
      <w:pPr>
        <w:rPr>
          <w:rFonts w:ascii="Segoe UI" w:hAnsi="Segoe UI" w:cs="Segoe UI"/>
        </w:rPr>
      </w:pPr>
      <w:r w:rsidRPr="007C5FA4">
        <w:rPr>
          <w:rFonts w:ascii="Segoe UI" w:eastAsia="Segoe UI" w:hAnsi="Segoe UI" w:cs="Segoe UI"/>
          <w:color w:val="000000"/>
        </w:rPr>
        <w:t>Yes</w:t>
      </w:r>
    </w:p>
    <w:p w14:paraId="72F05B95" w14:textId="77777777" w:rsidR="00133449" w:rsidRPr="0010048D" w:rsidRDefault="00133449" w:rsidP="00133449">
      <w:pPr>
        <w:rPr>
          <w:rFonts w:ascii="Segoe UI" w:hAnsi="Segoe UI" w:cs="Segoe UI"/>
        </w:rPr>
      </w:pPr>
      <w:r w:rsidRPr="0010048D">
        <w:rPr>
          <w:rFonts w:ascii="Segoe UI" w:eastAsia="Segoe UI" w:hAnsi="Segoe UI" w:cs="Segoe UI"/>
          <w:b/>
          <w:color w:val="000000"/>
        </w:rPr>
        <w:t>Is the therapeutic good classified by the TGA as either a Class III or Active Implantable Medical Device (AIMD) against the TGA regulatory scheme for devices?</w:t>
      </w:r>
    </w:p>
    <w:p w14:paraId="09F652A0" w14:textId="77777777" w:rsidR="00133449" w:rsidRPr="007C5FA4" w:rsidRDefault="00133449" w:rsidP="00133449">
      <w:pPr>
        <w:rPr>
          <w:rFonts w:ascii="Segoe UI" w:hAnsi="Segoe UI" w:cs="Segoe UI"/>
        </w:rPr>
      </w:pPr>
      <w:r w:rsidRPr="007C5FA4">
        <w:rPr>
          <w:rFonts w:ascii="Segoe UI" w:eastAsia="Segoe UI" w:hAnsi="Segoe UI" w:cs="Segoe UI"/>
          <w:color w:val="000000"/>
        </w:rPr>
        <w:t>No</w:t>
      </w:r>
    </w:p>
    <w:p w14:paraId="49CC8264" w14:textId="77777777" w:rsidR="00133449" w:rsidRPr="0010048D" w:rsidRDefault="00133449" w:rsidP="00133449">
      <w:pPr>
        <w:rPr>
          <w:rFonts w:ascii="Segoe UI" w:eastAsia="Segoe UI" w:hAnsi="Segoe UI" w:cs="Segoe UI"/>
          <w:b/>
          <w:bCs/>
          <w:color w:val="000000"/>
        </w:rPr>
      </w:pPr>
      <w:r w:rsidRPr="0010048D">
        <w:rPr>
          <w:rFonts w:ascii="Segoe UI" w:eastAsia="Segoe UI" w:hAnsi="Segoe UI" w:cs="Segoe UI"/>
          <w:b/>
          <w:bCs/>
          <w:color w:val="000000"/>
        </w:rPr>
        <w:t>Please enter all relevant ARTG IDs:</w:t>
      </w:r>
    </w:p>
    <w:tbl>
      <w:tblPr>
        <w:tblStyle w:val="TableGrid"/>
        <w:tblW w:w="0" w:type="auto"/>
        <w:tblLook w:val="0620" w:firstRow="1" w:lastRow="0" w:firstColumn="0" w:lastColumn="0" w:noHBand="1" w:noVBand="1"/>
      </w:tblPr>
      <w:tblGrid>
        <w:gridCol w:w="2689"/>
        <w:gridCol w:w="6326"/>
      </w:tblGrid>
      <w:tr w:rsidR="00133449" w:rsidRPr="0010048D" w14:paraId="2B76FECF" w14:textId="77777777" w:rsidTr="002D2153">
        <w:trPr>
          <w:cantSplit/>
          <w:tblHeader/>
        </w:trPr>
        <w:tc>
          <w:tcPr>
            <w:tcW w:w="2689" w:type="dxa"/>
            <w:tcMar>
              <w:top w:w="113" w:type="dxa"/>
              <w:bottom w:w="113" w:type="dxa"/>
            </w:tcMar>
          </w:tcPr>
          <w:p w14:paraId="45B30DFF" w14:textId="77777777" w:rsidR="00133449" w:rsidRPr="0010048D" w:rsidRDefault="00133449" w:rsidP="0065027C">
            <w:pPr>
              <w:rPr>
                <w:rFonts w:ascii="Segoe UI" w:hAnsi="Segoe UI" w:cs="Segoe UI"/>
                <w:b/>
              </w:rPr>
            </w:pPr>
            <w:r w:rsidRPr="0010048D">
              <w:rPr>
                <w:rFonts w:ascii="Segoe UI" w:hAnsi="Segoe UI" w:cs="Segoe UI"/>
                <w:b/>
              </w:rPr>
              <w:t>ARTG ID</w:t>
            </w:r>
          </w:p>
        </w:tc>
        <w:tc>
          <w:tcPr>
            <w:tcW w:w="6326" w:type="dxa"/>
            <w:tcMar>
              <w:top w:w="113" w:type="dxa"/>
              <w:bottom w:w="113" w:type="dxa"/>
            </w:tcMar>
          </w:tcPr>
          <w:p w14:paraId="012CB70C" w14:textId="77777777" w:rsidR="00133449" w:rsidRPr="0010048D" w:rsidRDefault="00133449" w:rsidP="0065027C">
            <w:pPr>
              <w:rPr>
                <w:rFonts w:ascii="Segoe UI" w:hAnsi="Segoe UI" w:cs="Segoe UI"/>
                <w:b/>
              </w:rPr>
            </w:pPr>
            <w:r w:rsidRPr="0010048D">
              <w:rPr>
                <w:rFonts w:ascii="Segoe UI" w:hAnsi="Segoe UI" w:cs="Segoe UI"/>
                <w:b/>
              </w:rPr>
              <w:t>ARTG name</w:t>
            </w:r>
          </w:p>
        </w:tc>
      </w:tr>
      <w:tr w:rsidR="00133449" w:rsidRPr="0010048D" w14:paraId="1A5F28AD" w14:textId="77777777" w:rsidTr="002D2153">
        <w:tc>
          <w:tcPr>
            <w:tcW w:w="2689" w:type="dxa"/>
            <w:tcMar>
              <w:top w:w="113" w:type="dxa"/>
              <w:bottom w:w="113" w:type="dxa"/>
            </w:tcMar>
          </w:tcPr>
          <w:p w14:paraId="0F1A0E90" w14:textId="77777777" w:rsidR="00133449" w:rsidRPr="0010048D" w:rsidRDefault="00133449" w:rsidP="0065027C">
            <w:pPr>
              <w:rPr>
                <w:rFonts w:ascii="Segoe UI" w:hAnsi="Segoe UI" w:cs="Segoe UI"/>
                <w:bCs/>
              </w:rPr>
            </w:pPr>
            <w:r>
              <w:rPr>
                <w:rFonts w:ascii="Segoe UI" w:hAnsi="Segoe UI" w:cs="Segoe UI"/>
                <w:bCs/>
              </w:rPr>
              <w:t>527457</w:t>
            </w:r>
          </w:p>
        </w:tc>
        <w:tc>
          <w:tcPr>
            <w:tcW w:w="6326" w:type="dxa"/>
            <w:tcMar>
              <w:top w:w="113" w:type="dxa"/>
              <w:bottom w:w="113" w:type="dxa"/>
            </w:tcMar>
          </w:tcPr>
          <w:p w14:paraId="75AD749A" w14:textId="77777777" w:rsidR="00133449" w:rsidRPr="0010048D" w:rsidRDefault="00133449" w:rsidP="0065027C">
            <w:pPr>
              <w:rPr>
                <w:rFonts w:ascii="Segoe UI" w:hAnsi="Segoe UI" w:cs="Segoe UI"/>
                <w:bCs/>
              </w:rPr>
            </w:pPr>
            <w:r>
              <w:rPr>
                <w:rFonts w:ascii="Segoe UI" w:hAnsi="Segoe UI" w:cs="Segoe UI"/>
                <w:bCs/>
              </w:rPr>
              <w:t xml:space="preserve">T cells - </w:t>
            </w:r>
            <w:proofErr w:type="spellStart"/>
            <w:r>
              <w:rPr>
                <w:rFonts w:ascii="Segoe UI" w:hAnsi="Segoe UI" w:cs="Segoe UI"/>
                <w:bCs/>
              </w:rPr>
              <w:t>Lifileucel</w:t>
            </w:r>
            <w:proofErr w:type="spellEnd"/>
            <w:r>
              <w:rPr>
                <w:rFonts w:ascii="Segoe UI" w:hAnsi="Segoe UI" w:cs="Segoe UI"/>
                <w:bCs/>
              </w:rPr>
              <w:t xml:space="preserve">, cryopreserved - T - </w:t>
            </w:r>
            <w:proofErr w:type="spellStart"/>
            <w:r>
              <w:rPr>
                <w:rFonts w:ascii="Segoe UI" w:hAnsi="Segoe UI" w:cs="Segoe UI"/>
                <w:bCs/>
              </w:rPr>
              <w:t>Amtagvi</w:t>
            </w:r>
            <w:proofErr w:type="spellEnd"/>
          </w:p>
        </w:tc>
      </w:tr>
    </w:tbl>
    <w:p w14:paraId="4FA8464B" w14:textId="77777777" w:rsidR="00133449" w:rsidRDefault="00133449" w:rsidP="00133449">
      <w:pPr>
        <w:spacing w:before="240"/>
        <w:rPr>
          <w:rFonts w:ascii="Segoe UI" w:eastAsia="Segoe UI" w:hAnsi="Segoe UI" w:cs="Segoe UI"/>
          <w:b/>
          <w:color w:val="000000"/>
        </w:rPr>
      </w:pPr>
      <w:r w:rsidRPr="0010048D">
        <w:rPr>
          <w:rFonts w:ascii="Segoe UI" w:eastAsia="Segoe UI" w:hAnsi="Segoe UI" w:cs="Segoe UI"/>
          <w:b/>
          <w:color w:val="000000"/>
        </w:rPr>
        <w:t>Is the intended purpose in this application the same as the intended purpose of the ARTG listing(s)?</w:t>
      </w:r>
    </w:p>
    <w:p w14:paraId="721C44D1" w14:textId="0FD73AEE" w:rsidR="002D2153" w:rsidRPr="002D2153" w:rsidRDefault="002D2153" w:rsidP="00133449">
      <w:pPr>
        <w:spacing w:before="240"/>
        <w:rPr>
          <w:rFonts w:ascii="Segoe UI" w:eastAsia="Segoe UI" w:hAnsi="Segoe UI" w:cs="Segoe UI"/>
          <w:bCs/>
          <w:color w:val="000000"/>
        </w:rPr>
      </w:pPr>
      <w:r w:rsidRPr="002D2153">
        <w:rPr>
          <w:rFonts w:ascii="Segoe UI" w:eastAsia="Segoe UI" w:hAnsi="Segoe UI" w:cs="Segoe UI"/>
          <w:bCs/>
          <w:color w:val="000000"/>
        </w:rPr>
        <w:t>Yes</w:t>
      </w:r>
    </w:p>
    <w:bookmarkEnd w:id="0"/>
    <w:p w14:paraId="118D91EB" w14:textId="77777777" w:rsidR="001B376D" w:rsidRDefault="001B376D"/>
    <w:sectPr w:rsidR="001B376D" w:rsidSect="00133449">
      <w:headerReference w:type="even" r:id="rId7"/>
      <w:headerReference w:type="default" r:id="rId8"/>
      <w:footerReference w:type="even" r:id="rId9"/>
      <w:footerReference w:type="default" r:id="rId10"/>
      <w:pgSz w:w="11905" w:h="16837"/>
      <w:pgMar w:top="1440" w:right="1440" w:bottom="1440" w:left="1440" w:header="0" w:footer="213"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E1CA0" w14:textId="77777777" w:rsidR="00446E36" w:rsidRDefault="00446E36">
      <w:pPr>
        <w:spacing w:after="0" w:line="240" w:lineRule="auto"/>
      </w:pPr>
      <w:r>
        <w:separator/>
      </w:r>
    </w:p>
  </w:endnote>
  <w:endnote w:type="continuationSeparator" w:id="0">
    <w:p w14:paraId="1E2EEE93" w14:textId="77777777" w:rsidR="00446E36" w:rsidRDefault="00446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67936" w14:textId="339B7E73" w:rsidR="009E32D2" w:rsidRDefault="00633C01">
    <w:pPr>
      <w:pStyle w:val="Footer"/>
    </w:pPr>
    <w:r>
      <w:rPr>
        <w:noProof/>
      </w:rPr>
      <mc:AlternateContent>
        <mc:Choice Requires="wps">
          <w:drawing>
            <wp:anchor distT="0" distB="0" distL="0" distR="0" simplePos="0" relativeHeight="251667456" behindDoc="0" locked="0" layoutInCell="1" allowOverlap="1" wp14:anchorId="6F4ED698" wp14:editId="68BBC6CF">
              <wp:simplePos x="635" y="635"/>
              <wp:positionH relativeFrom="page">
                <wp:align>center</wp:align>
              </wp:positionH>
              <wp:positionV relativeFrom="page">
                <wp:align>bottom</wp:align>
              </wp:positionV>
              <wp:extent cx="622300" cy="405765"/>
              <wp:effectExtent l="0" t="0" r="6350" b="0"/>
              <wp:wrapNone/>
              <wp:docPr id="34052155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2C8ED7F9" w14:textId="7F0038DB" w:rsidR="00633C01" w:rsidRPr="00633C01" w:rsidRDefault="00633C01" w:rsidP="00633C01">
                          <w:pPr>
                            <w:spacing w:after="0"/>
                            <w:rPr>
                              <w:rFonts w:ascii="Aptos" w:eastAsia="Aptos" w:hAnsi="Aptos" w:cs="Aptos"/>
                              <w:noProof/>
                              <w:color w:val="FF0000"/>
                            </w:rPr>
                          </w:pPr>
                          <w:r w:rsidRPr="00633C01">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4ED698" id="_x0000_t202" coordsize="21600,21600" o:spt="202" path="m,l,21600r21600,l21600,xe">
              <v:stroke joinstyle="miter"/>
              <v:path gradientshapeok="t" o:connecttype="rect"/>
            </v:shapetype>
            <v:shape id="Text Box 7" o:spid="_x0000_s1027" type="#_x0000_t202" alt="OFFICIAL" style="position:absolute;margin-left:0;margin-top:0;width:49pt;height:31.9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5fdM0wwCAAAcBAAA&#10;DgAAAAAAAAAAAAAAAAAuAgAAZHJzL2Uyb0RvYy54bWxQSwECLQAUAAYACAAAACEAwLHFXtoAAAAD&#10;AQAADwAAAAAAAAAAAAAAAABmBAAAZHJzL2Rvd25yZXYueG1sUEsFBgAAAAAEAAQA8wAAAG0FAAAA&#10;AA==&#10;" filled="f" stroked="f">
              <v:fill o:detectmouseclick="t"/>
              <v:textbox style="mso-fit-shape-to-text:t" inset="0,0,0,15pt">
                <w:txbxContent>
                  <w:p w14:paraId="2C8ED7F9" w14:textId="7F0038DB" w:rsidR="00633C01" w:rsidRPr="00633C01" w:rsidRDefault="00633C01" w:rsidP="00633C01">
                    <w:pPr>
                      <w:spacing w:after="0"/>
                      <w:rPr>
                        <w:rFonts w:ascii="Aptos" w:eastAsia="Aptos" w:hAnsi="Aptos" w:cs="Aptos"/>
                        <w:noProof/>
                        <w:color w:val="FF0000"/>
                      </w:rPr>
                    </w:pPr>
                    <w:r w:rsidRPr="00633C01">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2080" w14:textId="1B430FCF" w:rsidR="001B376D" w:rsidRDefault="001B376D">
    <w:pPr>
      <w:pStyle w:val="Footer"/>
      <w:jc w:val="right"/>
    </w:pPr>
  </w:p>
  <w:p w14:paraId="6552B54D" w14:textId="77777777" w:rsidR="001B376D" w:rsidRDefault="001B376D">
    <w:pPr>
      <w:pStyle w:val="EmptyCellLayoutStyle"/>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39840" w14:textId="77777777" w:rsidR="00446E36" w:rsidRDefault="00446E36">
      <w:pPr>
        <w:spacing w:after="0" w:line="240" w:lineRule="auto"/>
      </w:pPr>
      <w:r>
        <w:separator/>
      </w:r>
    </w:p>
  </w:footnote>
  <w:footnote w:type="continuationSeparator" w:id="0">
    <w:p w14:paraId="46BE9770" w14:textId="77777777" w:rsidR="00446E36" w:rsidRDefault="00446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DD1D" w14:textId="58DD5E29" w:rsidR="009E32D2" w:rsidRDefault="00633C01">
    <w:pPr>
      <w:pStyle w:val="Header"/>
    </w:pPr>
    <w:r>
      <w:rPr>
        <w:noProof/>
      </w:rPr>
      <mc:AlternateContent>
        <mc:Choice Requires="wps">
          <w:drawing>
            <wp:anchor distT="0" distB="0" distL="0" distR="0" simplePos="0" relativeHeight="251664384" behindDoc="0" locked="0" layoutInCell="1" allowOverlap="1" wp14:anchorId="3F72434E" wp14:editId="760A5930">
              <wp:simplePos x="635" y="635"/>
              <wp:positionH relativeFrom="page">
                <wp:align>center</wp:align>
              </wp:positionH>
              <wp:positionV relativeFrom="page">
                <wp:align>top</wp:align>
              </wp:positionV>
              <wp:extent cx="622300" cy="405765"/>
              <wp:effectExtent l="0" t="0" r="6350" b="13335"/>
              <wp:wrapNone/>
              <wp:docPr id="28543474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8AEA601" w14:textId="7F232EBB" w:rsidR="00633C01" w:rsidRPr="00633C01" w:rsidRDefault="00633C01" w:rsidP="00633C01">
                          <w:pPr>
                            <w:spacing w:after="0"/>
                            <w:rPr>
                              <w:rFonts w:ascii="Aptos" w:eastAsia="Aptos" w:hAnsi="Aptos" w:cs="Aptos"/>
                              <w:noProof/>
                              <w:color w:val="FF0000"/>
                            </w:rPr>
                          </w:pPr>
                          <w:r w:rsidRPr="00633C01">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72434E" id="_x0000_t202" coordsize="21600,21600" o:spt="202" path="m,l,21600r21600,l21600,xe">
              <v:stroke joinstyle="miter"/>
              <v:path gradientshapeok="t" o:connecttype="rect"/>
            </v:shapetype>
            <v:shape id="Text Box 4" o:spid="_x0000_s1026" type="#_x0000_t202" alt="OFFICIAL" style="position:absolute;margin-left:0;margin-top:0;width:49pt;height:31.9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fill o:detectmouseclick="t"/>
              <v:textbox style="mso-fit-shape-to-text:t" inset="0,15pt,0,0">
                <w:txbxContent>
                  <w:p w14:paraId="18AEA601" w14:textId="7F232EBB" w:rsidR="00633C01" w:rsidRPr="00633C01" w:rsidRDefault="00633C01" w:rsidP="00633C01">
                    <w:pPr>
                      <w:spacing w:after="0"/>
                      <w:rPr>
                        <w:rFonts w:ascii="Aptos" w:eastAsia="Aptos" w:hAnsi="Aptos" w:cs="Aptos"/>
                        <w:noProof/>
                        <w:color w:val="FF0000"/>
                      </w:rPr>
                    </w:pPr>
                    <w:r w:rsidRPr="00633C01">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861E" w14:textId="76C24645" w:rsidR="001B376D" w:rsidRDefault="006759CC">
    <w:r>
      <w:c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49"/>
    <w:rsid w:val="00006B6C"/>
    <w:rsid w:val="00133449"/>
    <w:rsid w:val="001B376D"/>
    <w:rsid w:val="001C6355"/>
    <w:rsid w:val="00203408"/>
    <w:rsid w:val="002D2153"/>
    <w:rsid w:val="003B222F"/>
    <w:rsid w:val="003B443D"/>
    <w:rsid w:val="003D5C3F"/>
    <w:rsid w:val="004459A6"/>
    <w:rsid w:val="00446E36"/>
    <w:rsid w:val="00473295"/>
    <w:rsid w:val="005A7827"/>
    <w:rsid w:val="00632A71"/>
    <w:rsid w:val="00633C01"/>
    <w:rsid w:val="006759CC"/>
    <w:rsid w:val="006A6049"/>
    <w:rsid w:val="00852F46"/>
    <w:rsid w:val="00887431"/>
    <w:rsid w:val="008C678C"/>
    <w:rsid w:val="008E7D9A"/>
    <w:rsid w:val="00970217"/>
    <w:rsid w:val="009E32D2"/>
    <w:rsid w:val="00A50D80"/>
    <w:rsid w:val="00A51977"/>
    <w:rsid w:val="00A922D9"/>
    <w:rsid w:val="00AD1FAF"/>
    <w:rsid w:val="00B07344"/>
    <w:rsid w:val="00BB6EE6"/>
    <w:rsid w:val="00BD2486"/>
    <w:rsid w:val="00C038F4"/>
    <w:rsid w:val="00CA5708"/>
    <w:rsid w:val="00D932B0"/>
    <w:rsid w:val="00E5148D"/>
    <w:rsid w:val="00EB1D62"/>
    <w:rsid w:val="00EE62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1C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3449"/>
    <w:pPr>
      <w:spacing w:before="240" w:after="240" w:line="259" w:lineRule="auto"/>
      <w:outlineLvl w:val="0"/>
    </w:pPr>
    <w:rPr>
      <w:rFonts w:ascii="Segoe UI" w:eastAsia="Segoe UI" w:hAnsi="Segoe UI" w:cs="Times New Roman"/>
      <w:b/>
      <w:color w:val="213E60"/>
      <w:kern w:val="0"/>
      <w:sz w:val="32"/>
      <w:szCs w:val="20"/>
      <w14:ligatures w14:val="none"/>
    </w:rPr>
  </w:style>
  <w:style w:type="paragraph" w:styleId="Heading2">
    <w:name w:val="heading 2"/>
    <w:basedOn w:val="Normal"/>
    <w:next w:val="Normal"/>
    <w:link w:val="Heading2Char"/>
    <w:uiPriority w:val="9"/>
    <w:semiHidden/>
    <w:unhideWhenUsed/>
    <w:qFormat/>
    <w:rsid w:val="008C678C"/>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449"/>
    <w:rPr>
      <w:rFonts w:ascii="Segoe UI" w:eastAsia="Segoe UI" w:hAnsi="Segoe UI" w:cs="Times New Roman"/>
      <w:b/>
      <w:color w:val="213E60"/>
      <w:kern w:val="0"/>
      <w:sz w:val="32"/>
      <w:szCs w:val="20"/>
      <w14:ligatures w14:val="none"/>
    </w:rPr>
  </w:style>
  <w:style w:type="paragraph" w:customStyle="1" w:styleId="EmptyCellLayoutStyle">
    <w:name w:val="EmptyCellLayoutStyle"/>
    <w:rsid w:val="00133449"/>
    <w:pPr>
      <w:spacing w:line="259" w:lineRule="auto"/>
    </w:pPr>
    <w:rPr>
      <w:rFonts w:ascii="Times New Roman" w:eastAsia="Times New Roman" w:hAnsi="Times New Roman" w:cs="Times New Roman"/>
      <w:kern w:val="0"/>
      <w:sz w:val="2"/>
      <w:szCs w:val="20"/>
      <w14:ligatures w14:val="none"/>
    </w:rPr>
  </w:style>
  <w:style w:type="paragraph" w:styleId="Title">
    <w:name w:val="Title"/>
    <w:basedOn w:val="Normal"/>
    <w:next w:val="Normal"/>
    <w:link w:val="TitleChar"/>
    <w:uiPriority w:val="10"/>
    <w:qFormat/>
    <w:rsid w:val="00133449"/>
    <w:pPr>
      <w:spacing w:after="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133449"/>
    <w:rPr>
      <w:rFonts w:asciiTheme="majorHAnsi" w:eastAsiaTheme="majorEastAsia" w:hAnsiTheme="majorHAnsi" w:cstheme="majorBidi"/>
      <w:spacing w:val="-10"/>
      <w:kern w:val="28"/>
      <w:sz w:val="56"/>
      <w:szCs w:val="56"/>
      <w14:ligatures w14:val="none"/>
    </w:rPr>
  </w:style>
  <w:style w:type="table" w:styleId="TableGrid">
    <w:name w:val="Table Grid"/>
    <w:basedOn w:val="TableNormal"/>
    <w:uiPriority w:val="39"/>
    <w:rsid w:val="0013344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133449"/>
    <w:pPr>
      <w:numPr>
        <w:ilvl w:val="1"/>
      </w:numPr>
    </w:pPr>
    <w:rPr>
      <w:color w:val="5A5A5A" w:themeColor="text1" w:themeTint="A5"/>
      <w:spacing w:val="15"/>
      <w:sz w:val="22"/>
      <w:szCs w:val="22"/>
    </w:rPr>
  </w:style>
  <w:style w:type="character" w:customStyle="1" w:styleId="SubtitleChar">
    <w:name w:val="Subtitle Char"/>
    <w:basedOn w:val="DefaultParagraphFont"/>
    <w:link w:val="Subtitle"/>
    <w:uiPriority w:val="11"/>
    <w:rsid w:val="00133449"/>
    <w:rPr>
      <w:color w:val="5A5A5A" w:themeColor="text1" w:themeTint="A5"/>
      <w:spacing w:val="15"/>
      <w:sz w:val="22"/>
      <w:szCs w:val="22"/>
    </w:rPr>
  </w:style>
  <w:style w:type="paragraph" w:styleId="Footer">
    <w:name w:val="footer"/>
    <w:basedOn w:val="Normal"/>
    <w:link w:val="FooterChar"/>
    <w:uiPriority w:val="99"/>
    <w:unhideWhenUsed/>
    <w:rsid w:val="001334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449"/>
  </w:style>
  <w:style w:type="character" w:styleId="PlaceholderText">
    <w:name w:val="Placeholder Text"/>
    <w:basedOn w:val="DefaultParagraphFont"/>
    <w:uiPriority w:val="99"/>
    <w:semiHidden/>
    <w:rsid w:val="00887431"/>
    <w:rPr>
      <w:color w:val="666666"/>
    </w:rPr>
  </w:style>
  <w:style w:type="paragraph" w:styleId="Header">
    <w:name w:val="header"/>
    <w:basedOn w:val="Normal"/>
    <w:link w:val="HeaderChar"/>
    <w:uiPriority w:val="99"/>
    <w:unhideWhenUsed/>
    <w:rsid w:val="009E32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32D2"/>
  </w:style>
  <w:style w:type="character" w:customStyle="1" w:styleId="Heading2Char">
    <w:name w:val="Heading 2 Char"/>
    <w:basedOn w:val="DefaultParagraphFont"/>
    <w:link w:val="Heading2"/>
    <w:uiPriority w:val="9"/>
    <w:semiHidden/>
    <w:rsid w:val="008C678C"/>
    <w:rPr>
      <w:rFonts w:asciiTheme="majorHAnsi" w:eastAsiaTheme="majorEastAsia" w:hAnsiTheme="majorHAnsi" w:cstheme="majorBidi"/>
      <w:color w:val="0F4761" w:themeColor="accent1" w:themeShade="BF"/>
      <w:sz w:val="26"/>
      <w:szCs w:val="26"/>
    </w:rPr>
  </w:style>
  <w:style w:type="character" w:styleId="CommentReference">
    <w:name w:val="annotation reference"/>
    <w:basedOn w:val="DefaultParagraphFont"/>
    <w:uiPriority w:val="99"/>
    <w:semiHidden/>
    <w:unhideWhenUsed/>
    <w:rsid w:val="00C038F4"/>
    <w:rPr>
      <w:sz w:val="16"/>
      <w:szCs w:val="16"/>
    </w:rPr>
  </w:style>
  <w:style w:type="paragraph" w:styleId="CommentText">
    <w:name w:val="annotation text"/>
    <w:basedOn w:val="Normal"/>
    <w:link w:val="CommentTextChar"/>
    <w:uiPriority w:val="99"/>
    <w:unhideWhenUsed/>
    <w:rsid w:val="00C038F4"/>
    <w:pPr>
      <w:spacing w:line="240" w:lineRule="auto"/>
    </w:pPr>
    <w:rPr>
      <w:sz w:val="20"/>
      <w:szCs w:val="20"/>
    </w:rPr>
  </w:style>
  <w:style w:type="character" w:customStyle="1" w:styleId="CommentTextChar">
    <w:name w:val="Comment Text Char"/>
    <w:basedOn w:val="DefaultParagraphFont"/>
    <w:link w:val="CommentText"/>
    <w:uiPriority w:val="99"/>
    <w:rsid w:val="00C038F4"/>
    <w:rPr>
      <w:sz w:val="20"/>
      <w:szCs w:val="20"/>
    </w:rPr>
  </w:style>
  <w:style w:type="paragraph" w:styleId="CommentSubject">
    <w:name w:val="annotation subject"/>
    <w:basedOn w:val="CommentText"/>
    <w:next w:val="CommentText"/>
    <w:link w:val="CommentSubjectChar"/>
    <w:uiPriority w:val="99"/>
    <w:semiHidden/>
    <w:unhideWhenUsed/>
    <w:rsid w:val="00C038F4"/>
    <w:rPr>
      <w:b/>
      <w:bCs/>
    </w:rPr>
  </w:style>
  <w:style w:type="character" w:customStyle="1" w:styleId="CommentSubjectChar">
    <w:name w:val="Comment Subject Char"/>
    <w:basedOn w:val="CommentTextChar"/>
    <w:link w:val="CommentSubject"/>
    <w:uiPriority w:val="99"/>
    <w:semiHidden/>
    <w:rsid w:val="00C038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502B4-B4D2-4F69-B729-A1FE74DB6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1708</Words>
  <Characters>10403</Characters>
  <Application>Microsoft Office Word</Application>
  <DocSecurity>0</DocSecurity>
  <Lines>247</Lines>
  <Paragraphs>104</Paragraphs>
  <ScaleCrop>false</ScaleCrop>
  <Company/>
  <LinksUpToDate>false</LinksUpToDate>
  <CharactersWithSpaces>12007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2026-09-22T00:15:00Z</dcterms:created>
  <dcterms:modified xsi:type="dcterms:W3CDTF">2026-09-22T00:18:00Z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1b53d3ad,11036375,750ccba1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639bff64,144bf24e,20af56a2</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2026-09-22T00:17:46Z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d700aa6f-1b69-45ea-ae58-b45087fb1558</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